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10.png" ContentType="image/png"/>
  <Override PartName="/word/media/image7.png" ContentType="image/png"/>
  <Override PartName="/word/media/image11.png" ContentType="image/png"/>
  <Override PartName="/word/media/image8.png" ContentType="image/png"/>
  <Override PartName="/word/media/image12.png" ContentType="image/png"/>
  <Override PartName="/word/media/image9.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b/>
          <w:bCs/>
          <w:color w:val="FF0000"/>
          <w:sz w:val="24"/>
          <w:szCs w:val="24"/>
        </w:rPr>
      </w:pPr>
      <w:r>
        <w:rPr/>
        <w:drawing>
          <wp:inline distT="0" distB="0" distL="0" distR="0">
            <wp:extent cx="1809750" cy="723900"/>
            <wp:effectExtent l="0" t="0" r="0" b="0"/>
            <wp:docPr id="1" name="Picture 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71" descr=""/>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inline>
        </w:drawing>
      </w:r>
    </w:p>
    <w:p>
      <w:pPr>
        <w:pStyle w:val="Normal"/>
        <w:bidi w:val="0"/>
        <w:jc w:val="left"/>
        <w:rPr/>
      </w:pPr>
      <w:r>
        <w:rPr/>
      </w:r>
    </w:p>
    <w:p>
      <w:pPr>
        <w:pStyle w:val="Normal"/>
        <w:bidi w:val="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pPr>
      <w:r>
        <w:rPr/>
      </w:r>
    </w:p>
    <w:p>
      <w:pPr>
        <w:pStyle w:val="Normal"/>
        <w:bidi w:val="0"/>
        <w:spacing w:lineRule="auto" w:line="259" w:before="0" w:after="0"/>
        <w:ind w:hanging="0" w:left="0"/>
        <w:jc w:val="left"/>
        <w:rPr>
          <w:sz w:val="32"/>
          <w:szCs w:val="32"/>
        </w:rPr>
      </w:pPr>
      <w:r>
        <w:rPr>
          <w:sz w:val="32"/>
          <w:szCs w:val="32"/>
        </w:rPr>
      </w:r>
    </w:p>
    <w:p>
      <w:pPr>
        <w:pStyle w:val="Normal"/>
        <w:bidi w:val="0"/>
        <w:ind w:hanging="10" w:left="10" w:right="95"/>
        <w:jc w:val="center"/>
        <w:rPr>
          <w:b/>
          <w:bCs/>
          <w:sz w:val="44"/>
          <w:szCs w:val="44"/>
        </w:rPr>
      </w:pPr>
      <w:r>
        <w:rPr>
          <w:b/>
          <w:bCs/>
          <w:sz w:val="44"/>
          <w:szCs w:val="44"/>
          <w:lang w:val="en-US"/>
        </w:rPr>
        <w:t>Data Mining Report</w:t>
      </w:r>
    </w:p>
    <w:p>
      <w:pPr>
        <w:pStyle w:val="Normal"/>
        <w:bidi w:val="0"/>
        <w:spacing w:lineRule="auto" w:line="259" w:before="0" w:after="0"/>
        <w:ind w:hanging="0" w:left="0"/>
        <w:jc w:val="left"/>
        <w:rPr/>
      </w:pPr>
      <w:r>
        <w:rPr/>
      </w:r>
    </w:p>
    <w:p>
      <w:pPr>
        <w:pStyle w:val="Normal"/>
        <w:bidi w:val="0"/>
        <w:spacing w:lineRule="auto" w:line="259" w:before="0" w:after="0"/>
        <w:ind w:hanging="0" w:left="0"/>
        <w:jc w:val="center"/>
        <w:rPr/>
      </w:pPr>
      <w:r>
        <w:rPr/>
      </w:r>
    </w:p>
    <w:p>
      <w:pPr>
        <w:pStyle w:val="Normal"/>
        <w:bidi w:val="0"/>
        <w:spacing w:lineRule="auto" w:line="259" w:before="0" w:after="0"/>
        <w:ind w:hanging="0" w:left="0"/>
        <w:jc w:val="center"/>
        <w:rPr/>
      </w:pPr>
      <w:r>
        <w:rPr/>
      </w:r>
    </w:p>
    <w:p>
      <w:pPr>
        <w:pStyle w:val="Normal"/>
        <w:bidi w:val="0"/>
        <w:spacing w:lineRule="auto" w:line="259" w:before="0" w:after="0"/>
        <w:ind w:hanging="0" w:left="0"/>
        <w:jc w:val="center"/>
        <w:rPr/>
      </w:pPr>
      <w:r>
        <w:rPr/>
        <w:t>Programme: BSc Applied Computing</w:t>
      </w:r>
    </w:p>
    <w:p>
      <w:pPr>
        <w:pStyle w:val="Normal"/>
        <w:bidi w:val="0"/>
        <w:spacing w:lineRule="auto" w:line="259" w:before="0" w:after="0"/>
        <w:ind w:hanging="0" w:left="0"/>
        <w:jc w:val="center"/>
        <w:rPr>
          <w:rFonts w:ascii="Arial" w:hAnsi="Arial" w:cs="Arial"/>
          <w:b/>
          <w:sz w:val="22"/>
          <w:szCs w:val="22"/>
        </w:rPr>
      </w:pPr>
      <w:r>
        <w:rPr>
          <w:rFonts w:cs="Arial" w:ascii="Arial" w:hAnsi="Arial"/>
          <w:b/>
          <w:sz w:val="22"/>
          <w:szCs w:val="22"/>
        </w:rPr>
      </w:r>
    </w:p>
    <w:p>
      <w:pPr>
        <w:pStyle w:val="Normal"/>
        <w:bidi w:val="0"/>
        <w:spacing w:lineRule="auto" w:line="360" w:before="0" w:after="0"/>
        <w:ind w:hanging="0" w:left="0"/>
        <w:jc w:val="center"/>
        <w:rPr>
          <w:sz w:val="24"/>
          <w:szCs w:val="24"/>
        </w:rPr>
      </w:pPr>
      <w:r>
        <w:rPr>
          <w:sz w:val="24"/>
          <w:szCs w:val="24"/>
        </w:rPr>
        <w:t>Module: Data Warehousing &amp; Data Mining</w:t>
      </w:r>
    </w:p>
    <w:p>
      <w:pPr>
        <w:pStyle w:val="Normal"/>
        <w:bidi w:val="0"/>
        <w:spacing w:lineRule="auto" w:line="360" w:before="0" w:after="0"/>
        <w:ind w:hanging="0" w:left="0"/>
        <w:jc w:val="center"/>
        <w:rPr>
          <w:sz w:val="24"/>
          <w:szCs w:val="24"/>
        </w:rPr>
      </w:pPr>
      <w:r>
        <w:rPr>
          <w:sz w:val="24"/>
          <w:szCs w:val="24"/>
        </w:rPr>
        <w:t>Module code: ACCA6026</w:t>
      </w:r>
    </w:p>
    <w:p>
      <w:pPr>
        <w:pStyle w:val="Normal"/>
        <w:bidi w:val="0"/>
        <w:spacing w:lineRule="auto" w:line="360" w:before="0" w:after="0"/>
        <w:ind w:hanging="0" w:left="0"/>
        <w:jc w:val="center"/>
        <w:rPr>
          <w:sz w:val="24"/>
          <w:szCs w:val="24"/>
        </w:rPr>
      </w:pPr>
      <w:r>
        <w:rPr>
          <w:sz w:val="24"/>
          <w:szCs w:val="24"/>
        </w:rPr>
        <w:t xml:space="preserve">Student Name: </w:t>
      </w:r>
      <w:r>
        <w:rPr>
          <w:sz w:val="24"/>
          <w:szCs w:val="24"/>
          <w:lang w:val="en-US"/>
        </w:rPr>
        <w:t>John Gabriel Kak Yomon Meki</w:t>
      </w:r>
    </w:p>
    <w:p>
      <w:pPr>
        <w:pStyle w:val="Normal"/>
        <w:bidi w:val="0"/>
        <w:spacing w:lineRule="auto" w:line="360" w:before="0" w:after="0"/>
        <w:ind w:hanging="0" w:left="0"/>
        <w:jc w:val="center"/>
        <w:rPr>
          <w:sz w:val="24"/>
          <w:szCs w:val="24"/>
        </w:rPr>
      </w:pPr>
      <w:r>
        <w:rPr>
          <w:sz w:val="24"/>
          <w:szCs w:val="24"/>
        </w:rPr>
        <w:t>Student ID:</w:t>
      </w:r>
      <w:r>
        <w:rPr>
          <w:sz w:val="24"/>
          <w:szCs w:val="24"/>
          <w:lang w:val="en-US"/>
        </w:rPr>
        <w:t xml:space="preserve"> 2321436</w:t>
      </w:r>
    </w:p>
    <w:p>
      <w:pPr>
        <w:pStyle w:val="Normal"/>
        <w:bidi w:val="0"/>
        <w:ind w:hanging="0" w:left="0"/>
        <w:jc w:val="center"/>
        <w:rPr>
          <w:lang w:val="en-US"/>
        </w:rPr>
      </w:pPr>
      <w:r>
        <w:rPr>
          <w:lang w:val="en-US"/>
        </w:rPr>
        <w:t>Lecturer: Md Abrar Jahin Almazi Bipon</w:t>
      </w:r>
    </w:p>
    <w:p>
      <w:pPr>
        <w:pStyle w:val="Normal"/>
        <w:bidi w:val="0"/>
        <w:spacing w:lineRule="auto" w:line="259" w:before="0" w:after="0"/>
        <w:ind w:hanging="0" w:left="0"/>
        <w:jc w:val="center"/>
        <w:rPr/>
      </w:pPr>
      <w:r>
        <w:rPr/>
      </w:r>
    </w:p>
    <w:p>
      <w:pPr>
        <w:pStyle w:val="Normal"/>
        <w:bidi w:val="0"/>
        <w:spacing w:lineRule="auto" w:line="259" w:before="0" w:after="0"/>
        <w:ind w:hanging="0" w:left="0"/>
        <w:jc w:val="center"/>
        <w:rPr/>
      </w:pPr>
      <w:r>
        <w:rPr/>
        <w:t>Submission Date</w:t>
      </w:r>
      <w:r>
        <w:rPr>
          <w:lang w:val="en-US"/>
        </w:rPr>
        <w:t>: 31 July 2026</w:t>
      </w:r>
    </w:p>
    <w:p>
      <w:pPr>
        <w:pStyle w:val="Normal"/>
        <w:bidi w:val="0"/>
        <w:spacing w:lineRule="auto" w:line="259" w:before="0" w:after="0"/>
        <w:ind w:hanging="0" w:left="0"/>
        <w:jc w:val="center"/>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rFonts w:ascii="arial" w:hAnsi="arial"/>
          <w:sz w:val="22"/>
          <w:szCs w:val="22"/>
        </w:rPr>
      </w:pPr>
      <w:r>
        <w:rPr>
          <w:rFonts w:ascii="arial" w:hAnsi="arial"/>
          <w:sz w:val="22"/>
          <w:szCs w:val="22"/>
        </w:rPr>
      </w:r>
    </w:p>
    <w:sdt>
      <w:sdtPr>
        <w:docPartObj>
          <w:docPartGallery w:val="Table of Contents"/>
          <w:docPartUnique w:val="true"/>
        </w:docPartObj>
      </w:sdtPr>
      <w:sdtContent>
        <w:p>
          <w:pPr>
            <w:pStyle w:val="TOCHeading"/>
            <w:suppressLineNumbers/>
            <w:ind w:hanging="0" w:left="0"/>
            <w:rPr>
              <w:b/>
              <w:bCs/>
              <w:sz w:val="32"/>
              <w:szCs w:val="32"/>
            </w:rPr>
          </w:pPr>
          <w:r>
            <w:rPr>
              <w:b/>
              <w:bCs/>
              <w:sz w:val="32"/>
              <w:szCs w:val="32"/>
            </w:rPr>
            <w:t>Table of Contents</w:t>
          </w:r>
        </w:p>
        <w:p>
          <w:pPr>
            <w:pStyle w:val="TOC1"/>
            <w:tabs>
              <w:tab w:val="clear" w:pos="9360"/>
              <w:tab w:val="right" w:pos="9359" w:leader="dot"/>
            </w:tabs>
            <w:rPr/>
          </w:pPr>
          <w:r>
            <w:fldChar w:fldCharType="begin"/>
          </w:r>
          <w:r>
            <w:rPr>
              <w:rStyle w:val="IndexLink"/>
            </w:rPr>
            <w:instrText xml:space="preserve"> TOC \f \o "1-9" \h</w:instrText>
          </w:r>
          <w:r>
            <w:rPr>
              <w:rStyle w:val="IndexLink"/>
            </w:rPr>
            <w:fldChar w:fldCharType="separate"/>
          </w:r>
          <w:hyperlink w:anchor="__RefHeading___Toc403_889290767">
            <w:r>
              <w:rPr>
                <w:rStyle w:val="IndexLink"/>
              </w:rPr>
              <w:t>1. Introduction</w:t>
            </w:r>
            <w:r>
              <w:rPr>
                <w:rStyle w:val="IndexLink"/>
              </w:rPr>
              <w:tab/>
              <w:t>3</w:t>
            </w:r>
          </w:hyperlink>
        </w:p>
        <w:p>
          <w:pPr>
            <w:pStyle w:val="TOC1"/>
            <w:tabs>
              <w:tab w:val="clear" w:pos="9360"/>
              <w:tab w:val="right" w:pos="9359" w:leader="dot"/>
            </w:tabs>
            <w:rPr/>
          </w:pPr>
          <w:hyperlink w:anchor="__RefHeading___Toc2616_2708111163">
            <w:r>
              <w:rPr>
                <w:rStyle w:val="IndexLink"/>
              </w:rPr>
              <w:t>2. Data Mining in Customer Analytics</w:t>
              <w:tab/>
              <w:t>3</w:t>
            </w:r>
          </w:hyperlink>
        </w:p>
        <w:p>
          <w:pPr>
            <w:pStyle w:val="TOC2"/>
            <w:tabs>
              <w:tab w:val="clear" w:pos="9077"/>
              <w:tab w:val="right" w:pos="9359" w:leader="dot"/>
            </w:tabs>
            <w:rPr/>
          </w:pPr>
          <w:hyperlink w:anchor="__RefHeading___Toc2618_2708111163">
            <w:r>
              <w:rPr>
                <w:rStyle w:val="IndexLink"/>
              </w:rPr>
              <w:t>2.1 Purpose and Practice of Data Mining</w:t>
              <w:tab/>
              <w:t>3</w:t>
            </w:r>
          </w:hyperlink>
        </w:p>
        <w:p>
          <w:pPr>
            <w:pStyle w:val="TOC2"/>
            <w:tabs>
              <w:tab w:val="clear" w:pos="9077"/>
              <w:tab w:val="right" w:pos="9359" w:leader="dot"/>
            </w:tabs>
            <w:rPr/>
          </w:pPr>
          <w:hyperlink w:anchor="__RefHeading___Toc1386_889290767">
            <w:r>
              <w:rPr>
                <w:rStyle w:val="IndexLink"/>
              </w:rPr>
              <w:t>2.2 Dataset Description and Exploration</w:t>
              <w:tab/>
              <w:t>4</w:t>
            </w:r>
          </w:hyperlink>
        </w:p>
        <w:p>
          <w:pPr>
            <w:pStyle w:val="TOC2"/>
            <w:tabs>
              <w:tab w:val="clear" w:pos="9077"/>
              <w:tab w:val="right" w:pos="9359" w:leader="dot"/>
            </w:tabs>
            <w:rPr/>
          </w:pPr>
          <w:hyperlink w:anchor="__RefHeading___Toc405_889290767">
            <w:r>
              <w:rPr>
                <w:rStyle w:val="IndexLink"/>
              </w:rPr>
              <w:t>2.3 Data pre-processing and post-processing</w:t>
              <w:tab/>
              <w:t>5</w:t>
            </w:r>
          </w:hyperlink>
        </w:p>
        <w:p>
          <w:pPr>
            <w:pStyle w:val="TOC2"/>
            <w:tabs>
              <w:tab w:val="clear" w:pos="9077"/>
              <w:tab w:val="right" w:pos="9359" w:leader="dot"/>
            </w:tabs>
            <w:rPr/>
          </w:pPr>
          <w:hyperlink w:anchor="__RefHeading___Toc407_889290767">
            <w:r>
              <w:rPr>
                <w:rStyle w:val="IndexLink"/>
              </w:rPr>
              <w:t>2.4 Sample Runs and Analysis Methods</w:t>
              <w:tab/>
              <w:t>7</w:t>
            </w:r>
          </w:hyperlink>
        </w:p>
        <w:p>
          <w:pPr>
            <w:pStyle w:val="TOC1"/>
            <w:tabs>
              <w:tab w:val="clear" w:pos="9360"/>
              <w:tab w:val="right" w:pos="9359" w:leader="dot"/>
            </w:tabs>
            <w:rPr/>
          </w:pPr>
          <w:hyperlink w:anchor="__RefHeading___Toc409_889290767">
            <w:r>
              <w:rPr>
                <w:rStyle w:val="IndexLink"/>
              </w:rPr>
              <w:t>3. Business Recommendations</w:t>
              <w:tab/>
              <w:t>12</w:t>
            </w:r>
          </w:hyperlink>
        </w:p>
        <w:p>
          <w:pPr>
            <w:pStyle w:val="TOC1"/>
            <w:tabs>
              <w:tab w:val="clear" w:pos="9360"/>
              <w:tab w:val="right" w:pos="9359" w:leader="dot"/>
            </w:tabs>
            <w:rPr/>
          </w:pPr>
          <w:hyperlink w:anchor="__RefHeading___Toc411_889290767">
            <w:r>
              <w:rPr>
                <w:rStyle w:val="IndexLink"/>
              </w:rPr>
              <w:t>4. Reflective Commentary</w:t>
              <w:tab/>
              <w:t>13</w:t>
            </w:r>
          </w:hyperlink>
        </w:p>
        <w:p>
          <w:pPr>
            <w:pStyle w:val="TOC1"/>
            <w:tabs>
              <w:tab w:val="clear" w:pos="9360"/>
              <w:tab w:val="right" w:pos="9359" w:leader="dot"/>
            </w:tabs>
            <w:rPr/>
          </w:pPr>
          <w:hyperlink w:anchor="__RefHeading___Toc413_889290767">
            <w:r>
              <w:rPr>
                <w:rStyle w:val="IndexLink"/>
              </w:rPr>
              <w:t>5. Conclusion</w:t>
              <w:tab/>
              <w:t>14</w:t>
            </w:r>
          </w:hyperlink>
        </w:p>
        <w:p>
          <w:pPr>
            <w:pStyle w:val="TOC1"/>
            <w:tabs>
              <w:tab w:val="clear" w:pos="9360"/>
              <w:tab w:val="right" w:pos="9359" w:leader="dot"/>
            </w:tabs>
            <w:rPr/>
          </w:pPr>
          <w:hyperlink w:anchor="__RefHeading___Toc415_889290767">
            <w:r>
              <w:rPr>
                <w:rStyle w:val="IndexLink"/>
              </w:rPr>
              <w:t>6. References</w:t>
              <w:tab/>
              <w:t>16</w:t>
            </w:r>
          </w:hyperlink>
        </w:p>
        <w:p>
          <w:pPr>
            <w:pStyle w:val="TOC1"/>
            <w:tabs>
              <w:tab w:val="clear" w:pos="9360"/>
              <w:tab w:val="right" w:pos="9359" w:leader="dot"/>
            </w:tabs>
            <w:rPr/>
          </w:pPr>
          <w:hyperlink w:anchor="__RefHeading___Toc417_889290767">
            <w:r>
              <w:rPr>
                <w:rStyle w:val="IndexLink"/>
              </w:rPr>
              <w:t>7. Appendix A Weka Confusion Matrices</w:t>
              <w:tab/>
              <w:t>18</w:t>
            </w:r>
          </w:hyperlink>
        </w:p>
        <w:p>
          <w:pPr>
            <w:pStyle w:val="TOC2"/>
            <w:tabs>
              <w:tab w:val="clear" w:pos="9077"/>
              <w:tab w:val="right" w:pos="9359" w:leader="dot"/>
            </w:tabs>
            <w:rPr/>
          </w:pPr>
          <w:hyperlink w:anchor="__RefHeading___Toc654_1566299942">
            <w:r>
              <w:rPr>
                <w:rStyle w:val="IndexLink"/>
              </w:rPr>
              <w:t>A.1 ZeroR Confusion Matrix</w:t>
              <w:tab/>
              <w:t>18</w:t>
            </w:r>
          </w:hyperlink>
        </w:p>
        <w:p>
          <w:pPr>
            <w:pStyle w:val="TOC2"/>
            <w:tabs>
              <w:tab w:val="clear" w:pos="9077"/>
              <w:tab w:val="right" w:pos="9359" w:leader="dot"/>
            </w:tabs>
            <w:rPr/>
          </w:pPr>
          <w:hyperlink w:anchor="__RefHeading___Toc656_1566299942">
            <w:r>
              <w:rPr>
                <w:rStyle w:val="IndexLink"/>
              </w:rPr>
              <w:t>A.2 J48 Decision Tree Confusion Matrix</w:t>
              <w:tab/>
              <w:t>18</w:t>
            </w:r>
          </w:hyperlink>
        </w:p>
        <w:p>
          <w:pPr>
            <w:pStyle w:val="TOC2"/>
            <w:tabs>
              <w:tab w:val="clear" w:pos="9077"/>
              <w:tab w:val="right" w:pos="9359" w:leader="dot"/>
            </w:tabs>
            <w:rPr/>
          </w:pPr>
          <w:hyperlink w:anchor="__RefHeading___Toc658_1566299942">
            <w:r>
              <w:rPr>
                <w:rStyle w:val="IndexLink"/>
              </w:rPr>
              <w:t>A.3 Logistic Regression Confusion Matrix</w:t>
              <w:tab/>
              <w:t>19</w:t>
            </w:r>
          </w:hyperlink>
        </w:p>
        <w:p>
          <w:pPr>
            <w:pStyle w:val="TOC2"/>
            <w:tabs>
              <w:tab w:val="clear" w:pos="9077"/>
              <w:tab w:val="right" w:pos="9359" w:leader="dot"/>
            </w:tabs>
            <w:rPr/>
          </w:pPr>
          <w:hyperlink w:anchor="__RefHeading___Toc660_1566299942">
            <w:r>
              <w:rPr>
                <w:rStyle w:val="IndexLink"/>
              </w:rPr>
              <w:t>A.4 Random Forest Confusion Matrix</w:t>
              <w:tab/>
              <w:t>19</w:t>
            </w:r>
          </w:hyperlink>
        </w:p>
        <w:p>
          <w:pPr>
            <w:pStyle w:val="TOC2"/>
            <w:tabs>
              <w:tab w:val="clear" w:pos="9077"/>
              <w:tab w:val="right" w:pos="9359" w:leader="dot"/>
            </w:tabs>
            <w:rPr/>
          </w:pPr>
          <w:hyperlink w:anchor="__RefHeading___Toc662_1566299942">
            <w:r>
              <w:rPr>
                <w:rStyle w:val="IndexLink"/>
              </w:rPr>
              <w:t>A.5 Naïve Bayes Confusion Matrix</w:t>
              <w:tab/>
              <w:t>20</w:t>
            </w:r>
          </w:hyperlink>
          <w:r>
            <w:rPr>
              <w:rStyle w:val="IndexLink"/>
            </w:rPr>
            <w:fldChar w:fldCharType="end"/>
          </w:r>
        </w:p>
      </w:sdtContent>
    </w:sdt>
    <w:p>
      <w:pPr>
        <w:pStyle w:val="Normal"/>
        <w:widowControl/>
        <w:suppressAutoHyphens w:val="true"/>
        <w:overflowPunct w:val="false"/>
        <w:bidi w:val="0"/>
        <w:spacing w:lineRule="auto" w:line="360" w:before="240" w:after="0"/>
        <w:ind w:hanging="0" w:left="0"/>
        <w:jc w:val="left"/>
        <w:rPr>
          <w:rFonts w:ascii="arial" w:hAnsi="arial"/>
          <w:sz w:val="22"/>
          <w:szCs w:val="22"/>
        </w:rPr>
      </w:pPr>
      <w:r>
        <w:rPr>
          <w:rFonts w:ascii="arial" w:hAnsi="arial"/>
          <w:sz w:val="22"/>
          <w:szCs w:val="22"/>
        </w:rPr>
      </w:r>
    </w:p>
    <w:p>
      <w:pPr>
        <w:pStyle w:val="Normal"/>
        <w:widowControl/>
        <w:suppressAutoHyphens w:val="true"/>
        <w:overflowPunct w:val="false"/>
        <w:bidi w:val="0"/>
        <w:spacing w:lineRule="auto" w:line="360" w:before="240" w:after="0"/>
        <w:ind w:hanging="0" w:left="0"/>
        <w:jc w:val="left"/>
        <w:rPr>
          <w:rFonts w:ascii="arial" w:hAnsi="arial"/>
          <w:sz w:val="22"/>
          <w:szCs w:val="22"/>
        </w:rPr>
      </w:pPr>
      <w:r>
        <w:rPr>
          <w:rFonts w:ascii="arial" w:hAnsi="arial"/>
          <w:sz w:val="22"/>
          <w:szCs w:val="22"/>
        </w:rPr>
      </w:r>
    </w:p>
    <w:p>
      <w:pPr>
        <w:pStyle w:val="Normal"/>
        <w:widowControl/>
        <w:suppressAutoHyphens w:val="true"/>
        <w:overflowPunct w:val="false"/>
        <w:bidi w:val="0"/>
        <w:spacing w:lineRule="auto" w:line="360" w:before="240" w:after="0"/>
        <w:ind w:hanging="0" w:left="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Heading1"/>
        <w:widowControl/>
        <w:suppressAutoHyphens w:val="true"/>
        <w:overflowPunct w:val="false"/>
        <w:bidi w:val="0"/>
        <w:spacing w:lineRule="auto" w:line="360" w:before="240" w:after="0"/>
        <w:ind w:hanging="0" w:left="0"/>
        <w:jc w:val="left"/>
        <w:rPr/>
      </w:pPr>
      <w:bookmarkStart w:id="0" w:name="__RefHeading___Toc403_889290767"/>
      <w:bookmarkEnd w:id="0"/>
      <w:r>
        <w:rPr>
          <w:rFonts w:ascii="arial" w:hAnsi="arial"/>
          <w:sz w:val="32"/>
          <w:szCs w:val="32"/>
          <w:lang w:val="en-US" w:eastAsia="en-US" w:bidi="ar-SA"/>
        </w:rPr>
        <w:t>1. Introduction</w:t>
      </w:r>
    </w:p>
    <w:p>
      <w:pPr>
        <w:pStyle w:val="Normal"/>
        <w:spacing w:lineRule="auto" w:line="360" w:before="120" w:after="120"/>
        <w:jc w:val="left"/>
        <w:rPr/>
      </w:pPr>
      <w:r>
        <w:rPr>
          <w:rFonts w:ascii="arial" w:hAnsi="arial"/>
          <w:sz w:val="22"/>
          <w:szCs w:val="22"/>
        </w:rPr>
        <w:t>Retaining existing customers is a major challenge in the telecommunications industry, where customer churn can significantly affect revenue, profitability, and long-term business growth. As competition increases, organisations rely on data-driven approaches to identify customers likely to leave and develop targeted retention strategies. Data mining provides techniques for analysing large datasets to support customer behaviour analysis and business decision-making. This report investigates customer churn prediction and customer segmentation using the IBM Telco Customer Churn dataset. Several classification and clustering techniques are implemented and evaluated in Weka to determine their suitability for supporting customer retention and improving business decisions.</w:t>
      </w:r>
    </w:p>
    <w:p>
      <w:pPr>
        <w:pStyle w:val="Heading1"/>
        <w:rPr>
          <w:sz w:val="32"/>
          <w:szCs w:val="32"/>
        </w:rPr>
      </w:pPr>
      <w:bookmarkStart w:id="1" w:name="__RefHeading___Toc2616_2708111163"/>
      <w:bookmarkEnd w:id="1"/>
      <w:r>
        <w:rPr>
          <w:sz w:val="32"/>
          <w:szCs w:val="32"/>
        </w:rPr>
        <w:t>2. Data Mining in Customer Analytics</w:t>
      </w:r>
    </w:p>
    <w:p>
      <w:pPr>
        <w:pStyle w:val="Heading2"/>
        <w:widowControl/>
        <w:suppressAutoHyphens w:val="true"/>
        <w:overflowPunct w:val="false"/>
        <w:bidi w:val="0"/>
        <w:jc w:val="left"/>
        <w:rPr>
          <w:kern w:val="0"/>
          <w:sz w:val="28"/>
          <w:szCs w:val="28"/>
          <w:lang w:val="en-US" w:eastAsia="en-US" w:bidi="ar-SA"/>
        </w:rPr>
      </w:pPr>
      <w:bookmarkStart w:id="2" w:name="__RefHeading___Toc2618_2708111163"/>
      <w:bookmarkEnd w:id="2"/>
      <w:r>
        <w:rPr>
          <w:kern w:val="0"/>
          <w:sz w:val="28"/>
          <w:szCs w:val="28"/>
          <w:lang w:val="en-US" w:eastAsia="en-US" w:bidi="ar-SA"/>
        </w:rPr>
        <w:t>2.1 Purpose and Practice of Data Mining</w:t>
      </w:r>
    </w:p>
    <w:p>
      <w:pPr>
        <w:pStyle w:val="Normal"/>
        <w:spacing w:lineRule="auto" w:line="360" w:before="120" w:after="120"/>
        <w:rPr>
          <w:rFonts w:ascii="arial" w:hAnsi="arial"/>
          <w:sz w:val="22"/>
          <w:szCs w:val="22"/>
        </w:rPr>
      </w:pPr>
      <w:r>
        <w:rPr>
          <w:rFonts w:ascii="arial" w:hAnsi="arial"/>
          <w:sz w:val="22"/>
          <w:szCs w:val="22"/>
        </w:rPr>
        <w:t xml:space="preserve">Data mining is the process of discovering meaningful patterns, relationships, and trends from </w:t>
      </w:r>
    </w:p>
    <w:p>
      <w:pPr>
        <w:pStyle w:val="Normal"/>
        <w:spacing w:lineRule="auto" w:line="360" w:before="120" w:after="120"/>
        <w:rPr>
          <w:rFonts w:ascii="arial" w:hAnsi="arial"/>
          <w:sz w:val="22"/>
          <w:szCs w:val="22"/>
        </w:rPr>
      </w:pPr>
      <w:r>
        <w:rPr>
          <w:rFonts w:ascii="arial" w:hAnsi="arial"/>
          <w:sz w:val="22"/>
          <w:szCs w:val="22"/>
        </w:rPr>
        <w:t xml:space="preserve">large datasets to support informed decision-making [2]. It combines statistical analysis, machine </w:t>
      </w:r>
    </w:p>
    <w:p>
      <w:pPr>
        <w:pStyle w:val="Normal"/>
        <w:spacing w:lineRule="auto" w:line="360" w:before="120" w:after="120"/>
        <w:rPr>
          <w:rFonts w:ascii="arial" w:hAnsi="arial"/>
          <w:sz w:val="22"/>
          <w:szCs w:val="22"/>
        </w:rPr>
      </w:pPr>
      <w:r>
        <w:rPr>
          <w:rFonts w:ascii="arial" w:hAnsi="arial"/>
          <w:sz w:val="22"/>
          <w:szCs w:val="22"/>
        </w:rPr>
        <w:t xml:space="preserve">learning, and data exploration techniques to transform raw data into useful knowledge. Rather </w:t>
      </w:r>
    </w:p>
    <w:p>
      <w:pPr>
        <w:pStyle w:val="Normal"/>
        <w:spacing w:lineRule="auto" w:line="360" w:before="120" w:after="120"/>
        <w:rPr>
          <w:rFonts w:ascii="arial" w:hAnsi="arial"/>
          <w:sz w:val="22"/>
          <w:szCs w:val="22"/>
        </w:rPr>
      </w:pPr>
      <w:r>
        <w:rPr>
          <w:rFonts w:ascii="arial" w:hAnsi="arial"/>
          <w:sz w:val="22"/>
          <w:szCs w:val="22"/>
        </w:rPr>
        <w:t xml:space="preserve">than simply describing past events, it enables organisations to predict future outcomes and </w:t>
      </w:r>
    </w:p>
    <w:p>
      <w:pPr>
        <w:pStyle w:val="Normal"/>
        <w:spacing w:lineRule="auto" w:line="360" w:before="120" w:after="120"/>
        <w:rPr>
          <w:rFonts w:ascii="arial" w:hAnsi="arial"/>
          <w:sz w:val="22"/>
          <w:szCs w:val="22"/>
        </w:rPr>
      </w:pPr>
      <w:r>
        <w:rPr>
          <w:rFonts w:ascii="arial" w:hAnsi="arial"/>
          <w:sz w:val="22"/>
          <w:szCs w:val="22"/>
        </w:rPr>
        <w:t>identify opportunities for improving business performance [2], [3].</w:t>
      </w:r>
    </w:p>
    <w:p>
      <w:pPr>
        <w:pStyle w:val="Normal"/>
        <w:spacing w:lineRule="auto" w:line="360" w:before="120" w:after="120"/>
        <w:rPr>
          <w:rFonts w:ascii="arial" w:hAnsi="arial"/>
          <w:sz w:val="22"/>
          <w:szCs w:val="22"/>
        </w:rPr>
      </w:pPr>
      <w:r>
        <w:rPr>
          <w:rFonts w:ascii="arial" w:hAnsi="arial"/>
          <w:sz w:val="22"/>
          <w:szCs w:val="22"/>
        </w:rPr>
        <w:t xml:space="preserve">In retail and business environments, data mining supports a wide range of activities, including </w:t>
      </w:r>
    </w:p>
    <w:p>
      <w:pPr>
        <w:pStyle w:val="Normal"/>
        <w:spacing w:lineRule="auto" w:line="360" w:before="120" w:after="120"/>
        <w:rPr>
          <w:rFonts w:ascii="arial" w:hAnsi="arial"/>
          <w:sz w:val="22"/>
          <w:szCs w:val="22"/>
        </w:rPr>
      </w:pPr>
      <w:r>
        <w:rPr>
          <w:rFonts w:ascii="arial" w:hAnsi="arial"/>
          <w:sz w:val="22"/>
          <w:szCs w:val="22"/>
        </w:rPr>
        <w:t xml:space="preserve">customer segmentation, sales forecasting, fraud detection, recommendation systems, and </w:t>
      </w:r>
    </w:p>
    <w:p>
      <w:pPr>
        <w:pStyle w:val="Normal"/>
        <w:spacing w:lineRule="auto" w:line="360" w:before="120" w:after="120"/>
        <w:rPr>
          <w:rFonts w:ascii="arial" w:hAnsi="arial"/>
          <w:sz w:val="22"/>
          <w:szCs w:val="22"/>
        </w:rPr>
      </w:pPr>
      <w:r>
        <w:rPr>
          <w:rFonts w:ascii="arial" w:hAnsi="arial"/>
          <w:sz w:val="22"/>
          <w:szCs w:val="22"/>
        </w:rPr>
        <w:t xml:space="preserve">customer relationship management (CRM). One of its most valuable applications is customer </w:t>
      </w:r>
    </w:p>
    <w:p>
      <w:pPr>
        <w:pStyle w:val="Normal"/>
        <w:spacing w:lineRule="auto" w:line="360" w:before="120" w:after="120"/>
        <w:rPr>
          <w:rFonts w:ascii="arial" w:hAnsi="arial"/>
          <w:sz w:val="22"/>
          <w:szCs w:val="22"/>
        </w:rPr>
      </w:pPr>
      <w:r>
        <w:rPr>
          <w:rFonts w:ascii="arial" w:hAnsi="arial"/>
          <w:sz w:val="22"/>
          <w:szCs w:val="22"/>
        </w:rPr>
        <w:t xml:space="preserve">analytics, where historical customer data are analysed to understand purchasing behaviour, </w:t>
      </w:r>
    </w:p>
    <w:p>
      <w:pPr>
        <w:pStyle w:val="Normal"/>
        <w:spacing w:lineRule="auto" w:line="360" w:before="120" w:after="120"/>
        <w:rPr>
          <w:rFonts w:ascii="arial" w:hAnsi="arial"/>
          <w:sz w:val="22"/>
          <w:szCs w:val="22"/>
        </w:rPr>
      </w:pPr>
      <w:r>
        <w:rPr>
          <w:rFonts w:ascii="arial" w:hAnsi="arial"/>
          <w:sz w:val="22"/>
          <w:szCs w:val="22"/>
        </w:rPr>
        <w:t xml:space="preserve">predict future actions, and improve service delivery [2]. These insights enable organisations to </w:t>
      </w:r>
    </w:p>
    <w:p>
      <w:pPr>
        <w:pStyle w:val="Normal"/>
        <w:spacing w:lineRule="auto" w:line="360" w:before="120" w:after="120"/>
        <w:rPr>
          <w:rFonts w:ascii="arial" w:hAnsi="arial"/>
          <w:sz w:val="22"/>
          <w:szCs w:val="22"/>
        </w:rPr>
      </w:pPr>
      <w:r>
        <w:rPr>
          <w:rFonts w:ascii="arial" w:hAnsi="arial"/>
          <w:sz w:val="22"/>
          <w:szCs w:val="22"/>
        </w:rPr>
        <w:t>make evidence-based decisions and allocate resources more effectively.</w:t>
      </w:r>
    </w:p>
    <w:p>
      <w:pPr>
        <w:pStyle w:val="Normal"/>
        <w:spacing w:lineRule="auto" w:line="360" w:before="120" w:after="120"/>
        <w:rPr>
          <w:rFonts w:ascii="arial" w:hAnsi="arial"/>
          <w:sz w:val="22"/>
          <w:szCs w:val="22"/>
        </w:rPr>
      </w:pPr>
      <w:r>
        <w:rPr>
          <w:rFonts w:ascii="arial" w:hAnsi="arial"/>
          <w:sz w:val="22"/>
          <w:szCs w:val="22"/>
        </w:rPr>
        <w:t xml:space="preserve">Customer churn prediction is a common application of classification techniques, which estimate </w:t>
      </w:r>
    </w:p>
    <w:p>
      <w:pPr>
        <w:pStyle w:val="Normal"/>
        <w:spacing w:lineRule="auto" w:line="360" w:before="120" w:after="120"/>
        <w:rPr>
          <w:rFonts w:ascii="arial" w:hAnsi="arial"/>
          <w:sz w:val="22"/>
          <w:szCs w:val="22"/>
        </w:rPr>
      </w:pPr>
      <w:r>
        <w:rPr>
          <w:rFonts w:ascii="arial" w:hAnsi="arial"/>
          <w:sz w:val="22"/>
          <w:szCs w:val="22"/>
        </w:rPr>
        <w:t xml:space="preserve">the likelihood that a customer will discontinue a service. Clustering techniques complement this </w:t>
      </w:r>
    </w:p>
    <w:p>
      <w:pPr>
        <w:pStyle w:val="Normal"/>
        <w:spacing w:lineRule="auto" w:line="360" w:before="120" w:after="120"/>
        <w:rPr>
          <w:rFonts w:ascii="arial" w:hAnsi="arial"/>
          <w:sz w:val="22"/>
          <w:szCs w:val="22"/>
        </w:rPr>
      </w:pPr>
      <w:r>
        <w:rPr>
          <w:rFonts w:ascii="arial" w:hAnsi="arial"/>
          <w:sz w:val="22"/>
          <w:szCs w:val="22"/>
        </w:rPr>
        <w:t>process by identifying groups of customers with similar characteristics, allowing businesses to</w:t>
      </w:r>
    </w:p>
    <w:p>
      <w:pPr>
        <w:pStyle w:val="Normal"/>
        <w:spacing w:lineRule="auto" w:line="360" w:before="120" w:after="120"/>
        <w:rPr>
          <w:rFonts w:ascii="arial" w:hAnsi="arial"/>
          <w:sz w:val="22"/>
          <w:szCs w:val="22"/>
        </w:rPr>
      </w:pPr>
      <w:r>
        <w:rPr>
          <w:rFonts w:ascii="arial" w:hAnsi="arial"/>
          <w:sz w:val="22"/>
          <w:szCs w:val="22"/>
        </w:rPr>
        <w:t xml:space="preserve"> </w:t>
      </w:r>
      <w:r>
        <w:rPr>
          <w:rFonts w:ascii="arial" w:hAnsi="arial"/>
          <w:sz w:val="22"/>
          <w:szCs w:val="22"/>
        </w:rPr>
        <w:t xml:space="preserve">tailor products, services, and retention strategies to different customer segments [2], [3]. </w:t>
      </w:r>
    </w:p>
    <w:p>
      <w:pPr>
        <w:pStyle w:val="Normal"/>
        <w:spacing w:lineRule="auto" w:line="360" w:before="120" w:after="120"/>
        <w:rPr>
          <w:rFonts w:ascii="arial" w:hAnsi="arial"/>
          <w:sz w:val="22"/>
          <w:szCs w:val="22"/>
        </w:rPr>
      </w:pPr>
      <w:r>
        <w:rPr>
          <w:rFonts w:ascii="arial" w:hAnsi="arial"/>
          <w:sz w:val="22"/>
          <w:szCs w:val="22"/>
        </w:rPr>
        <w:t xml:space="preserve">However, predictive performance alone is insufficient. Effective data mining models should also </w:t>
      </w:r>
    </w:p>
    <w:p>
      <w:pPr>
        <w:pStyle w:val="Normal"/>
        <w:spacing w:lineRule="auto" w:line="360" w:before="120" w:after="120"/>
        <w:rPr>
          <w:rFonts w:ascii="arial" w:hAnsi="arial"/>
          <w:sz w:val="22"/>
          <w:szCs w:val="22"/>
        </w:rPr>
      </w:pPr>
      <w:r>
        <w:rPr>
          <w:rFonts w:ascii="arial" w:hAnsi="arial"/>
          <w:sz w:val="22"/>
          <w:szCs w:val="22"/>
        </w:rPr>
        <w:t xml:space="preserve">produce reliable, interpretable, and practical results that support business decision-making [4]. </w:t>
      </w:r>
    </w:p>
    <w:p>
      <w:pPr>
        <w:pStyle w:val="Normal"/>
        <w:spacing w:lineRule="auto" w:line="360" w:before="120" w:after="120"/>
        <w:rPr>
          <w:rFonts w:ascii="arial" w:hAnsi="arial"/>
          <w:sz w:val="22"/>
          <w:szCs w:val="22"/>
        </w:rPr>
      </w:pPr>
      <w:r>
        <w:rPr>
          <w:rFonts w:ascii="arial" w:hAnsi="arial"/>
          <w:sz w:val="22"/>
          <w:szCs w:val="22"/>
        </w:rPr>
        <w:t xml:space="preserve">Consequently, organisations increasingly combine predictive modelling with customer </w:t>
      </w:r>
    </w:p>
    <w:p>
      <w:pPr>
        <w:pStyle w:val="Normal"/>
        <w:spacing w:lineRule="auto" w:line="360" w:before="120" w:after="120"/>
        <w:rPr>
          <w:rFonts w:ascii="arial" w:hAnsi="arial"/>
          <w:sz w:val="22"/>
          <w:szCs w:val="22"/>
        </w:rPr>
      </w:pPr>
      <w:r>
        <w:rPr>
          <w:rFonts w:ascii="arial" w:hAnsi="arial"/>
          <w:sz w:val="22"/>
          <w:szCs w:val="22"/>
        </w:rPr>
        <w:t>segmentation to improve retention strategies and maintain long-term customer relationships.</w:t>
      </w:r>
    </w:p>
    <w:p>
      <w:pPr>
        <w:pStyle w:val="Normal"/>
        <w:spacing w:lineRule="auto" w:line="360" w:before="120" w:after="120"/>
        <w:jc w:val="left"/>
        <w:rPr>
          <w:rFonts w:ascii="arial" w:hAnsi="arial"/>
          <w:sz w:val="22"/>
          <w:szCs w:val="22"/>
        </w:rPr>
      </w:pPr>
      <w:r>
        <w:rPr>
          <w:rFonts w:ascii="arial" w:hAnsi="arial"/>
          <w:sz w:val="22"/>
          <w:szCs w:val="22"/>
        </w:rPr>
      </w:r>
    </w:p>
    <w:p>
      <w:pPr>
        <w:pStyle w:val="Heading2"/>
        <w:rPr>
          <w:sz w:val="28"/>
          <w:szCs w:val="28"/>
        </w:rPr>
      </w:pPr>
      <w:bookmarkStart w:id="3" w:name="__RefHeading___Toc1386_889290767"/>
      <w:bookmarkEnd w:id="3"/>
      <w:r>
        <w:rPr>
          <w:sz w:val="28"/>
          <w:szCs w:val="28"/>
        </w:rPr>
        <w:t>2.2 Dataset Description and Exploration</w:t>
      </w:r>
    </w:p>
    <w:p>
      <w:pPr>
        <w:pStyle w:val="Normal"/>
        <w:spacing w:lineRule="auto" w:line="360" w:before="120" w:after="120"/>
        <w:jc w:val="left"/>
        <w:rPr/>
      </w:pPr>
      <w:r>
        <w:rPr>
          <w:rFonts w:ascii="arial" w:hAnsi="arial"/>
          <w:sz w:val="22"/>
          <w:szCs w:val="22"/>
        </w:rPr>
        <w:t>The analysis was conducted using the IBM Telco Customer Churn dataset, a publicly available</w:t>
      </w:r>
    </w:p>
    <w:p>
      <w:pPr>
        <w:pStyle w:val="Normal"/>
        <w:spacing w:lineRule="auto" w:line="360" w:before="120" w:after="120"/>
        <w:jc w:val="left"/>
        <w:rPr/>
      </w:pPr>
      <w:r>
        <w:rPr>
          <w:rFonts w:ascii="arial" w:hAnsi="arial"/>
          <w:sz w:val="22"/>
          <w:szCs w:val="22"/>
        </w:rPr>
        <w:t xml:space="preserve"> </w:t>
      </w:r>
      <w:r>
        <w:rPr>
          <w:rFonts w:ascii="arial" w:hAnsi="arial"/>
          <w:sz w:val="22"/>
          <w:szCs w:val="22"/>
        </w:rPr>
        <w:t xml:space="preserve">dataset widely used for customer analytics and machine learning research [5]. It contains </w:t>
      </w:r>
    </w:p>
    <w:p>
      <w:pPr>
        <w:pStyle w:val="Normal"/>
        <w:spacing w:lineRule="auto" w:line="360" w:before="120" w:after="120"/>
        <w:jc w:val="left"/>
        <w:rPr/>
      </w:pPr>
      <w:r>
        <w:rPr>
          <w:rFonts w:ascii="arial" w:hAnsi="arial"/>
          <w:sz w:val="22"/>
          <w:szCs w:val="22"/>
        </w:rPr>
        <w:t xml:space="preserve">customer demographic information, subscribed services, account details, billing records and a </w:t>
      </w:r>
    </w:p>
    <w:p>
      <w:pPr>
        <w:pStyle w:val="Normal"/>
        <w:spacing w:lineRule="auto" w:line="360" w:before="120" w:after="120"/>
        <w:jc w:val="left"/>
        <w:rPr/>
      </w:pPr>
      <w:r>
        <w:rPr>
          <w:rFonts w:ascii="arial" w:hAnsi="arial"/>
          <w:sz w:val="22"/>
          <w:szCs w:val="22"/>
        </w:rPr>
        <w:t xml:space="preserve">binary target variable indicating whether a customer remained with the telecommunications </w:t>
      </w:r>
    </w:p>
    <w:p>
      <w:pPr>
        <w:pStyle w:val="Normal"/>
        <w:spacing w:lineRule="auto" w:line="360" w:before="120" w:after="120"/>
        <w:jc w:val="left"/>
        <w:rPr/>
      </w:pPr>
      <w:r>
        <w:rPr>
          <w:rFonts w:ascii="arial" w:hAnsi="arial"/>
          <w:sz w:val="22"/>
          <w:szCs w:val="22"/>
        </w:rPr>
        <w:t xml:space="preserve">provider or discontinued the service. The combination of numerical and categorical attributes </w:t>
      </w:r>
    </w:p>
    <w:p>
      <w:pPr>
        <w:pStyle w:val="Normal"/>
        <w:spacing w:lineRule="auto" w:line="360" w:before="120" w:after="120"/>
        <w:jc w:val="left"/>
        <w:rPr/>
      </w:pPr>
      <w:r>
        <w:rPr>
          <w:rFonts w:ascii="arial" w:hAnsi="arial"/>
          <w:sz w:val="22"/>
          <w:szCs w:val="22"/>
        </w:rPr>
        <w:t xml:space="preserve">makes the dataset suitable for both classification and clustering tasks, allowing customer churn </w:t>
      </w:r>
    </w:p>
    <w:p>
      <w:pPr>
        <w:pStyle w:val="Normal"/>
        <w:spacing w:lineRule="auto" w:line="360" w:before="120" w:after="120"/>
        <w:jc w:val="left"/>
        <w:rPr/>
      </w:pPr>
      <w:r>
        <w:rPr>
          <w:rFonts w:ascii="arial" w:hAnsi="arial"/>
          <w:sz w:val="22"/>
          <w:szCs w:val="22"/>
        </w:rPr>
        <w:t>to be predicted while supporting customer segmentation.</w:t>
      </w:r>
    </w:p>
    <w:p>
      <w:pPr>
        <w:pStyle w:val="Normal"/>
        <w:spacing w:lineRule="auto" w:line="360" w:before="120" w:after="120"/>
        <w:jc w:val="left"/>
        <w:rPr/>
      </w:pPr>
      <w:r>
        <w:rPr>
          <w:rFonts w:ascii="arial" w:hAnsi="arial"/>
          <w:sz w:val="22"/>
          <w:szCs w:val="22"/>
        </w:rPr>
        <w:t>The original dataset consisted of 7,043 customer records described by 21 attributes, including</w:t>
      </w:r>
    </w:p>
    <w:p>
      <w:pPr>
        <w:pStyle w:val="Normal"/>
        <w:spacing w:lineRule="auto" w:line="360" w:before="120" w:after="120"/>
        <w:jc w:val="left"/>
        <w:rPr/>
      </w:pPr>
      <w:r>
        <w:rPr>
          <w:rFonts w:ascii="arial" w:hAnsi="arial"/>
          <w:sz w:val="22"/>
          <w:szCs w:val="22"/>
        </w:rPr>
        <w:t xml:space="preserve"> </w:t>
      </w:r>
      <w:r>
        <w:rPr>
          <w:rFonts w:ascii="arial" w:hAnsi="arial"/>
          <w:sz w:val="22"/>
          <w:szCs w:val="22"/>
        </w:rPr>
        <w:t xml:space="preserve">the unique customerID field. During the initial inspection, 11 records were found to contain </w:t>
      </w:r>
    </w:p>
    <w:p>
      <w:pPr>
        <w:pStyle w:val="Normal"/>
        <w:spacing w:lineRule="auto" w:line="360" w:before="120" w:after="120"/>
        <w:jc w:val="left"/>
        <w:rPr/>
      </w:pPr>
      <w:r>
        <w:rPr>
          <w:rFonts w:ascii="arial" w:hAnsi="arial"/>
          <w:sz w:val="22"/>
          <w:szCs w:val="22"/>
        </w:rPr>
        <w:t xml:space="preserve">missing values in the TotalCharges attribute. As these represented only a small proportion of </w:t>
      </w:r>
    </w:p>
    <w:p>
      <w:pPr>
        <w:pStyle w:val="Normal"/>
        <w:spacing w:lineRule="auto" w:line="360" w:before="120" w:after="120"/>
        <w:jc w:val="left"/>
        <w:rPr/>
      </w:pPr>
      <w:r>
        <w:rPr>
          <w:rFonts w:ascii="arial" w:hAnsi="arial"/>
          <w:sz w:val="22"/>
          <w:szCs w:val="22"/>
        </w:rPr>
        <w:t xml:space="preserve">the dataset, they were removed rather than imputed to preserve the integrity of the financial </w:t>
      </w:r>
    </w:p>
    <w:p>
      <w:pPr>
        <w:pStyle w:val="Normal"/>
        <w:spacing w:lineRule="auto" w:line="360" w:before="120" w:after="120"/>
        <w:jc w:val="left"/>
        <w:rPr/>
      </w:pPr>
      <w:r>
        <w:rPr>
          <w:rFonts w:ascii="arial" w:hAnsi="arial"/>
          <w:sz w:val="22"/>
          <w:szCs w:val="22"/>
        </w:rPr>
        <w:t xml:space="preserve">information. The customerID attribute was also excluded because it functions solely as a unique </w:t>
      </w:r>
    </w:p>
    <w:p>
      <w:pPr>
        <w:pStyle w:val="Normal"/>
        <w:spacing w:lineRule="auto" w:line="360" w:before="120" w:after="120"/>
        <w:jc w:val="left"/>
        <w:rPr/>
      </w:pPr>
      <w:r>
        <w:rPr>
          <w:rFonts w:ascii="arial" w:hAnsi="arial"/>
          <w:sz w:val="22"/>
          <w:szCs w:val="22"/>
        </w:rPr>
        <w:t xml:space="preserve">identifier and provides no predictive value. Following these adjustments, the analytical dataset </w:t>
      </w:r>
    </w:p>
    <w:p>
      <w:pPr>
        <w:pStyle w:val="Normal"/>
        <w:spacing w:lineRule="auto" w:line="360" w:before="120" w:after="120"/>
        <w:jc w:val="left"/>
        <w:rPr/>
      </w:pPr>
      <w:r>
        <w:rPr>
          <w:rFonts w:ascii="arial" w:hAnsi="arial"/>
          <w:sz w:val="22"/>
          <w:szCs w:val="22"/>
        </w:rPr>
        <w:t xml:space="preserve">contained 7,032 complete customer records and 20 predictive attributes, with Churn retained as </w:t>
      </w:r>
    </w:p>
    <w:p>
      <w:pPr>
        <w:pStyle w:val="Normal"/>
        <w:spacing w:lineRule="auto" w:line="360" w:before="120" w:after="120"/>
        <w:jc w:val="left"/>
        <w:rPr/>
      </w:pPr>
      <w:r>
        <w:rPr>
          <w:rFonts w:ascii="arial" w:hAnsi="arial"/>
          <w:sz w:val="22"/>
          <w:szCs w:val="22"/>
        </w:rPr>
        <w:t>the target variable.</w:t>
      </w:r>
    </w:p>
    <w:p>
      <w:pPr>
        <w:pStyle w:val="Normal"/>
        <w:spacing w:lineRule="auto" w:line="360" w:before="120" w:after="120"/>
        <w:jc w:val="left"/>
        <w:rPr/>
      </w:pPr>
      <w:r>
        <w:rPr>
          <w:rFonts w:ascii="arial" w:hAnsi="arial"/>
          <w:sz w:val="22"/>
          <w:szCs w:val="22"/>
        </w:rPr>
        <w:t xml:space="preserve">The dataset includes four main categories of information. Demographic variables describe </w:t>
      </w:r>
    </w:p>
    <w:p>
      <w:pPr>
        <w:pStyle w:val="Normal"/>
        <w:spacing w:lineRule="auto" w:line="360" w:before="120" w:after="120"/>
        <w:jc w:val="left"/>
        <w:rPr/>
      </w:pPr>
      <w:r>
        <w:rPr>
          <w:rFonts w:ascii="arial" w:hAnsi="arial"/>
          <w:sz w:val="22"/>
          <w:szCs w:val="22"/>
        </w:rPr>
        <w:t xml:space="preserve">customer characteristics such as gender, senior citizen status and partnership. Account-related </w:t>
      </w:r>
    </w:p>
    <w:p>
      <w:pPr>
        <w:pStyle w:val="Normal"/>
        <w:spacing w:lineRule="auto" w:line="360" w:before="120" w:after="120"/>
        <w:jc w:val="left"/>
        <w:rPr/>
      </w:pPr>
      <w:r>
        <w:rPr>
          <w:rFonts w:ascii="arial" w:hAnsi="arial"/>
          <w:sz w:val="22"/>
          <w:szCs w:val="22"/>
        </w:rPr>
        <w:t xml:space="preserve">variables include contract type, tenure, payment method and billing preferences. Service-related </w:t>
      </w:r>
    </w:p>
    <w:p>
      <w:pPr>
        <w:pStyle w:val="Normal"/>
        <w:spacing w:lineRule="auto" w:line="360" w:before="120" w:after="120"/>
        <w:jc w:val="left"/>
        <w:rPr/>
      </w:pPr>
      <w:r>
        <w:rPr>
          <w:rFonts w:ascii="arial" w:hAnsi="arial"/>
          <w:sz w:val="22"/>
          <w:szCs w:val="22"/>
        </w:rPr>
        <w:t xml:space="preserve">attributes record the telecommunications services subscribed to by each customer, while </w:t>
      </w:r>
    </w:p>
    <w:p>
      <w:pPr>
        <w:pStyle w:val="Normal"/>
        <w:spacing w:lineRule="auto" w:line="360" w:before="120" w:after="120"/>
        <w:jc w:val="left"/>
        <w:rPr/>
      </w:pPr>
      <w:r>
        <w:rPr>
          <w:rFonts w:ascii="arial" w:hAnsi="arial"/>
          <w:sz w:val="22"/>
          <w:szCs w:val="22"/>
        </w:rPr>
        <w:t xml:space="preserve">financial variables capture monthly and cumulative charges. Together, these attributes provide a </w:t>
      </w:r>
    </w:p>
    <w:p>
      <w:pPr>
        <w:pStyle w:val="Normal"/>
        <w:spacing w:lineRule="auto" w:line="360" w:before="120" w:after="120"/>
        <w:jc w:val="left"/>
        <w:rPr/>
      </w:pPr>
      <w:r>
        <w:rPr>
          <w:rFonts w:ascii="arial" w:hAnsi="arial"/>
          <w:sz w:val="22"/>
          <w:szCs w:val="22"/>
        </w:rPr>
        <w:t xml:space="preserve">comprehensive representation of customer behaviour and the factors that may influence </w:t>
      </w:r>
    </w:p>
    <w:p>
      <w:pPr>
        <w:pStyle w:val="Normal"/>
        <w:spacing w:lineRule="auto" w:line="360" w:before="120" w:after="120"/>
        <w:jc w:val="left"/>
        <w:rPr/>
      </w:pPr>
      <w:r>
        <w:rPr>
          <w:rFonts w:ascii="arial" w:hAnsi="arial"/>
          <w:sz w:val="22"/>
          <w:szCs w:val="22"/>
        </w:rPr>
        <w:t>customer attrition.</w:t>
      </w:r>
    </w:p>
    <w:p>
      <w:pPr>
        <w:pStyle w:val="Normal"/>
        <w:spacing w:lineRule="auto" w:line="360" w:before="120" w:after="120"/>
        <w:jc w:val="left"/>
        <w:rPr/>
      </w:pPr>
      <w:r>
        <w:rPr>
          <w:rFonts w:ascii="arial" w:hAnsi="arial"/>
          <w:sz w:val="22"/>
          <w:szCs w:val="22"/>
        </w:rPr>
        <w:t xml:space="preserve">Exploratory data analysis (EDA) was performed using Microsoft Excel and Tableau before </w:t>
      </w:r>
    </w:p>
    <w:p>
      <w:pPr>
        <w:pStyle w:val="Normal"/>
        <w:spacing w:lineRule="auto" w:line="360" w:before="120" w:after="120"/>
        <w:jc w:val="left"/>
        <w:rPr/>
      </w:pPr>
      <w:r>
        <w:rPr>
          <w:rFonts w:ascii="arial" w:hAnsi="arial"/>
          <w:sz w:val="22"/>
          <w:szCs w:val="22"/>
        </w:rPr>
        <w:t xml:space="preserve">predictive modelling. The purpose of this stage was to verify data quality, understand the </w:t>
      </w:r>
    </w:p>
    <w:p>
      <w:pPr>
        <w:pStyle w:val="Normal"/>
        <w:spacing w:lineRule="auto" w:line="360" w:before="120" w:after="120"/>
        <w:jc w:val="left"/>
        <w:rPr/>
      </w:pPr>
      <w:r>
        <w:rPr>
          <w:rFonts w:ascii="arial" w:hAnsi="arial"/>
          <w:sz w:val="22"/>
          <w:szCs w:val="22"/>
        </w:rPr>
        <w:t xml:space="preserve">distribution of key variables and identify patterns that could influence model performance [6]. </w:t>
      </w:r>
    </w:p>
    <w:p>
      <w:pPr>
        <w:pStyle w:val="Normal"/>
        <w:spacing w:lineRule="auto" w:line="360" w:before="120" w:after="120"/>
        <w:jc w:val="left"/>
        <w:rPr/>
      </w:pPr>
      <w:r>
        <w:rPr>
          <w:rFonts w:ascii="arial" w:hAnsi="arial"/>
          <w:sz w:val="22"/>
          <w:szCs w:val="22"/>
        </w:rPr>
        <w:t xml:space="preserve">The analysis showed that approximately 73.42% of customers remained with the provider, </w:t>
      </w:r>
    </w:p>
    <w:p>
      <w:pPr>
        <w:pStyle w:val="Normal"/>
        <w:spacing w:lineRule="auto" w:line="360" w:before="120" w:after="120"/>
        <w:jc w:val="left"/>
        <w:rPr/>
      </w:pPr>
      <w:r>
        <w:rPr>
          <w:rFonts w:ascii="arial" w:hAnsi="arial"/>
          <w:sz w:val="22"/>
          <w:szCs w:val="22"/>
        </w:rPr>
        <w:t xml:space="preserve">whereas 26.58% had churned. Although this represents a moderate class imbalance, the </w:t>
      </w:r>
    </w:p>
    <w:p>
      <w:pPr>
        <w:pStyle w:val="Normal"/>
        <w:spacing w:lineRule="auto" w:line="360" w:before="120" w:after="120"/>
        <w:jc w:val="left"/>
        <w:rPr/>
      </w:pPr>
      <w:r>
        <w:rPr>
          <w:rFonts w:ascii="arial" w:hAnsi="arial"/>
          <w:sz w:val="22"/>
          <w:szCs w:val="22"/>
        </w:rPr>
        <w:t>original distribution was retained because it reflects realistic business conditions.</w:t>
      </w:r>
    </w:p>
    <w:p>
      <w:pPr>
        <w:pStyle w:val="Normal"/>
        <w:spacing w:lineRule="auto" w:line="360" w:before="120" w:after="120"/>
        <w:jc w:val="left"/>
        <w:rPr/>
      </w:pPr>
      <w:r>
        <w:rPr>
          <w:rFonts w:ascii="arial" w:hAnsi="arial"/>
          <w:sz w:val="22"/>
          <w:szCs w:val="22"/>
        </w:rPr>
        <w:t xml:space="preserve">Further exploration identified several behavioural trends. Customers on month-to-month </w:t>
      </w:r>
    </w:p>
    <w:p>
      <w:pPr>
        <w:pStyle w:val="Normal"/>
        <w:spacing w:lineRule="auto" w:line="360" w:before="120" w:after="120"/>
        <w:jc w:val="left"/>
        <w:rPr/>
      </w:pPr>
      <w:r>
        <w:rPr>
          <w:rFonts w:ascii="arial" w:hAnsi="arial"/>
          <w:sz w:val="22"/>
          <w:szCs w:val="22"/>
        </w:rPr>
        <w:t xml:space="preserve">contracts were considerably more likely to churn than those on longer-term contracts. </w:t>
      </w:r>
    </w:p>
    <w:p>
      <w:pPr>
        <w:pStyle w:val="Normal"/>
        <w:spacing w:lineRule="auto" w:line="360" w:before="120" w:after="120"/>
        <w:jc w:val="left"/>
        <w:rPr/>
      </w:pPr>
      <w:r>
        <w:rPr>
          <w:rFonts w:ascii="arial" w:hAnsi="arial"/>
          <w:sz w:val="22"/>
          <w:szCs w:val="22"/>
        </w:rPr>
        <w:t xml:space="preserve">Higher churn rates were also observed among customers using fibre optic internet services and </w:t>
      </w:r>
    </w:p>
    <w:p>
      <w:pPr>
        <w:pStyle w:val="Normal"/>
        <w:spacing w:lineRule="auto" w:line="360" w:before="120" w:after="120"/>
        <w:jc w:val="left"/>
        <w:rPr/>
      </w:pPr>
      <w:r>
        <w:rPr>
          <w:rFonts w:ascii="arial" w:hAnsi="arial"/>
          <w:sz w:val="22"/>
          <w:szCs w:val="22"/>
        </w:rPr>
        <w:t xml:space="preserve">electronic cheque payment methods, while shorter customer tenure was associated with a </w:t>
      </w:r>
    </w:p>
    <w:p>
      <w:pPr>
        <w:pStyle w:val="Normal"/>
        <w:spacing w:lineRule="auto" w:line="360" w:before="120" w:after="120"/>
        <w:jc w:val="left"/>
        <w:rPr/>
      </w:pPr>
      <w:r>
        <w:rPr>
          <w:rFonts w:ascii="arial" w:hAnsi="arial"/>
          <w:sz w:val="22"/>
          <w:szCs w:val="22"/>
        </w:rPr>
        <w:t xml:space="preserve">greater likelihood of service cancellation. These observations are consistent with findings </w:t>
      </w:r>
    </w:p>
    <w:p>
      <w:pPr>
        <w:pStyle w:val="Normal"/>
        <w:spacing w:lineRule="auto" w:line="360" w:before="120" w:after="120"/>
        <w:jc w:val="left"/>
        <w:rPr/>
      </w:pPr>
      <w:r>
        <w:rPr>
          <w:rFonts w:ascii="arial" w:hAnsi="arial"/>
          <w:sz w:val="22"/>
          <w:szCs w:val="22"/>
        </w:rPr>
        <w:t xml:space="preserve">reported in previous customer churn studies [7], [8]. Consequently, the exploratory analysis not </w:t>
      </w:r>
    </w:p>
    <w:p>
      <w:pPr>
        <w:pStyle w:val="Normal"/>
        <w:spacing w:lineRule="auto" w:line="360" w:before="120" w:after="120"/>
        <w:jc w:val="left"/>
        <w:rPr/>
      </w:pPr>
      <w:r>
        <w:rPr>
          <w:rFonts w:ascii="arial" w:hAnsi="arial"/>
          <w:sz w:val="22"/>
          <w:szCs w:val="22"/>
        </w:rPr>
        <w:t xml:space="preserve">only improved understanding of the dataset but also identified the variables most likely to </w:t>
      </w:r>
    </w:p>
    <w:p>
      <w:pPr>
        <w:pStyle w:val="Normal"/>
        <w:spacing w:lineRule="auto" w:line="360" w:before="120" w:after="120"/>
        <w:jc w:val="left"/>
        <w:rPr/>
      </w:pPr>
      <w:r>
        <w:rPr>
          <w:rFonts w:ascii="arial" w:hAnsi="arial"/>
          <w:sz w:val="22"/>
          <w:szCs w:val="22"/>
        </w:rPr>
        <w:t>influence predictive modelling.</w:t>
      </w:r>
    </w:p>
    <w:p>
      <w:pPr>
        <w:pStyle w:val="Heading2"/>
        <w:rPr>
          <w:sz w:val="28"/>
          <w:szCs w:val="28"/>
        </w:rPr>
      </w:pPr>
      <w:bookmarkStart w:id="4" w:name="__RefHeading___Toc405_889290767"/>
      <w:bookmarkEnd w:id="4"/>
      <w:r>
        <w:rPr>
          <w:sz w:val="28"/>
          <w:szCs w:val="28"/>
        </w:rPr>
        <w:t>2.3 Data pre-processing and post-processing</w:t>
      </w:r>
    </w:p>
    <w:p>
      <w:pPr>
        <w:pStyle w:val="Normal"/>
        <w:spacing w:lineRule="auto" w:line="360" w:before="120" w:after="120"/>
        <w:jc w:val="left"/>
        <w:rPr>
          <w:rFonts w:ascii="arial" w:hAnsi="arial"/>
          <w:sz w:val="22"/>
          <w:szCs w:val="22"/>
        </w:rPr>
      </w:pPr>
      <w:r>
        <w:rPr>
          <w:rFonts w:ascii="arial" w:hAnsi="arial"/>
          <w:sz w:val="22"/>
          <w:szCs w:val="22"/>
        </w:rPr>
        <w:t>Data pre-processing is a critical stage of the data mining process because the quality of the</w:t>
      </w:r>
    </w:p>
    <w:p>
      <w:pPr>
        <w:pStyle w:val="Normal"/>
        <w:spacing w:lineRule="auto" w:line="360" w:before="120" w:after="120"/>
        <w:jc w:val="left"/>
        <w:rPr>
          <w:rFonts w:ascii="arial" w:hAnsi="arial"/>
          <w:sz w:val="22"/>
          <w:szCs w:val="22"/>
        </w:rPr>
      </w:pPr>
      <w:r>
        <w:rPr>
          <w:rFonts w:ascii="arial" w:hAnsi="arial"/>
          <w:sz w:val="22"/>
          <w:szCs w:val="22"/>
        </w:rPr>
        <w:t xml:space="preserve"> </w:t>
      </w:r>
      <w:r>
        <w:rPr>
          <w:rFonts w:ascii="arial" w:hAnsi="arial"/>
          <w:sz w:val="22"/>
          <w:szCs w:val="22"/>
        </w:rPr>
        <w:t xml:space="preserve">input data directly influences the reliability of predictive models [2]. Real-world datasets </w:t>
      </w:r>
    </w:p>
    <w:p>
      <w:pPr>
        <w:pStyle w:val="Normal"/>
        <w:spacing w:lineRule="auto" w:line="360" w:before="120" w:after="120"/>
        <w:jc w:val="left"/>
        <w:rPr>
          <w:rFonts w:ascii="arial" w:hAnsi="arial"/>
          <w:sz w:val="22"/>
          <w:szCs w:val="22"/>
        </w:rPr>
      </w:pPr>
      <w:r>
        <w:rPr>
          <w:rFonts w:ascii="arial" w:hAnsi="arial"/>
          <w:sz w:val="22"/>
          <w:szCs w:val="22"/>
        </w:rPr>
        <w:t xml:space="preserve">frequently contain missing values, redundant attributes and inconsistencies that can reduce </w:t>
      </w:r>
    </w:p>
    <w:p>
      <w:pPr>
        <w:pStyle w:val="Normal"/>
        <w:spacing w:lineRule="auto" w:line="360" w:before="120" w:after="120"/>
        <w:jc w:val="left"/>
        <w:rPr>
          <w:rFonts w:ascii="arial" w:hAnsi="arial"/>
          <w:sz w:val="22"/>
          <w:szCs w:val="22"/>
        </w:rPr>
      </w:pPr>
      <w:r>
        <w:rPr>
          <w:rFonts w:ascii="arial" w:hAnsi="arial"/>
          <w:sz w:val="22"/>
          <w:szCs w:val="22"/>
        </w:rPr>
        <w:t xml:space="preserve">model performance if left unaddressed. The objective of this stage was therefore to prepare a </w:t>
      </w:r>
    </w:p>
    <w:p>
      <w:pPr>
        <w:pStyle w:val="Normal"/>
        <w:spacing w:lineRule="auto" w:line="360" w:before="120" w:after="120"/>
        <w:jc w:val="left"/>
        <w:rPr>
          <w:rFonts w:ascii="arial" w:hAnsi="arial"/>
          <w:sz w:val="22"/>
          <w:szCs w:val="22"/>
        </w:rPr>
      </w:pPr>
      <w:r>
        <w:rPr>
          <w:rFonts w:ascii="arial" w:hAnsi="arial"/>
          <w:sz w:val="22"/>
          <w:szCs w:val="22"/>
        </w:rPr>
        <w:t>clean, consistent and representative dataset for analysis.</w:t>
      </w:r>
    </w:p>
    <w:p>
      <w:pPr>
        <w:pStyle w:val="Normal"/>
        <w:spacing w:lineRule="auto" w:line="360" w:before="120" w:after="120"/>
        <w:jc w:val="left"/>
        <w:rPr>
          <w:rFonts w:ascii="arial" w:hAnsi="arial"/>
          <w:sz w:val="22"/>
          <w:szCs w:val="22"/>
        </w:rPr>
      </w:pPr>
      <w:r>
        <w:rPr>
          <w:rFonts w:ascii="arial" w:hAnsi="arial"/>
          <w:sz w:val="22"/>
          <w:szCs w:val="22"/>
        </w:rPr>
        <w:t xml:space="preserve">The first step involved examining the dataset for missing values and data quality issues. </w:t>
      </w:r>
    </w:p>
    <w:p>
      <w:pPr>
        <w:pStyle w:val="Normal"/>
        <w:spacing w:lineRule="auto" w:line="360" w:before="120" w:after="120"/>
        <w:jc w:val="left"/>
        <w:rPr>
          <w:rFonts w:ascii="arial" w:hAnsi="arial"/>
          <w:sz w:val="22"/>
          <w:szCs w:val="22"/>
        </w:rPr>
      </w:pPr>
      <w:r>
        <w:rPr>
          <w:rFonts w:ascii="arial" w:hAnsi="arial"/>
          <w:sz w:val="22"/>
          <w:szCs w:val="22"/>
        </w:rPr>
        <w:t xml:space="preserve">Inspection identified 11 incomplete records containing missing values in the TotalCharges </w:t>
      </w:r>
    </w:p>
    <w:p>
      <w:pPr>
        <w:pStyle w:val="Normal"/>
        <w:spacing w:lineRule="auto" w:line="360" w:before="120" w:after="120"/>
        <w:jc w:val="left"/>
        <w:rPr>
          <w:rFonts w:ascii="arial" w:hAnsi="arial"/>
          <w:sz w:val="22"/>
          <w:szCs w:val="22"/>
        </w:rPr>
      </w:pPr>
      <w:r>
        <w:rPr>
          <w:rFonts w:ascii="arial" w:hAnsi="arial"/>
          <w:sz w:val="22"/>
          <w:szCs w:val="22"/>
        </w:rPr>
        <w:t xml:space="preserve">attribute. As these represented less than 0.2% of the dataset, the records were removed rather </w:t>
      </w:r>
    </w:p>
    <w:p>
      <w:pPr>
        <w:pStyle w:val="Normal"/>
        <w:spacing w:lineRule="auto" w:line="360" w:before="120" w:after="120"/>
        <w:jc w:val="left"/>
        <w:rPr>
          <w:rFonts w:ascii="arial" w:hAnsi="arial"/>
          <w:sz w:val="22"/>
          <w:szCs w:val="22"/>
        </w:rPr>
      </w:pPr>
      <w:r>
        <w:rPr>
          <w:rFonts w:ascii="arial" w:hAnsi="arial"/>
          <w:sz w:val="22"/>
          <w:szCs w:val="22"/>
        </w:rPr>
        <w:t xml:space="preserve">than replaced with estimated values, preserving the accuracy of the financial information while </w:t>
      </w:r>
    </w:p>
    <w:p>
      <w:pPr>
        <w:pStyle w:val="Normal"/>
        <w:spacing w:lineRule="auto" w:line="360" w:before="120" w:after="120"/>
        <w:jc w:val="left"/>
        <w:rPr>
          <w:rFonts w:ascii="arial" w:hAnsi="arial"/>
          <w:sz w:val="22"/>
          <w:szCs w:val="22"/>
        </w:rPr>
      </w:pPr>
      <w:r>
        <w:rPr>
          <w:rFonts w:ascii="arial" w:hAnsi="arial"/>
          <w:sz w:val="22"/>
          <w:szCs w:val="22"/>
        </w:rPr>
        <w:t xml:space="preserve">avoiding potential bias introduced through imputation [9]. Following their removal, the dataset </w:t>
      </w:r>
    </w:p>
    <w:p>
      <w:pPr>
        <w:pStyle w:val="Normal"/>
        <w:spacing w:lineRule="auto" w:line="360" w:before="120" w:after="120"/>
        <w:jc w:val="left"/>
        <w:rPr>
          <w:rFonts w:ascii="arial" w:hAnsi="arial"/>
          <w:sz w:val="22"/>
          <w:szCs w:val="22"/>
        </w:rPr>
      </w:pPr>
      <w:r>
        <w:rPr>
          <w:rFonts w:ascii="arial" w:hAnsi="arial"/>
          <w:sz w:val="22"/>
          <w:szCs w:val="22"/>
        </w:rPr>
        <w:t>contained 7,032 complete customer records.</w:t>
      </w:r>
    </w:p>
    <w:p>
      <w:pPr>
        <w:pStyle w:val="Normal"/>
        <w:spacing w:lineRule="auto" w:line="360" w:before="120" w:after="120"/>
        <w:jc w:val="left"/>
        <w:rPr>
          <w:rFonts w:ascii="arial" w:hAnsi="arial"/>
          <w:sz w:val="22"/>
          <w:szCs w:val="22"/>
        </w:rPr>
      </w:pPr>
      <w:r>
        <w:rPr>
          <w:rFonts w:ascii="arial" w:hAnsi="arial"/>
          <w:sz w:val="22"/>
          <w:szCs w:val="22"/>
        </w:rPr>
        <w:t xml:space="preserve">The customerID attribute was excluded before model development because it serves only as a </w:t>
      </w:r>
    </w:p>
    <w:p>
      <w:pPr>
        <w:pStyle w:val="Normal"/>
        <w:spacing w:lineRule="auto" w:line="360" w:before="120" w:after="120"/>
        <w:jc w:val="left"/>
        <w:rPr>
          <w:rFonts w:ascii="arial" w:hAnsi="arial"/>
          <w:sz w:val="22"/>
          <w:szCs w:val="22"/>
        </w:rPr>
      </w:pPr>
      <w:r>
        <w:rPr>
          <w:rFonts w:ascii="arial" w:hAnsi="arial"/>
          <w:sz w:val="22"/>
          <w:szCs w:val="22"/>
        </w:rPr>
        <w:t xml:space="preserve">unique identifier and contains no information relevant to predicting customer churn. Including </w:t>
      </w:r>
    </w:p>
    <w:p>
      <w:pPr>
        <w:pStyle w:val="Normal"/>
        <w:spacing w:lineRule="auto" w:line="360" w:before="120" w:after="120"/>
        <w:jc w:val="left"/>
        <w:rPr>
          <w:rFonts w:ascii="arial" w:hAnsi="arial"/>
          <w:sz w:val="22"/>
          <w:szCs w:val="22"/>
        </w:rPr>
      </w:pPr>
      <w:r>
        <w:rPr>
          <w:rFonts w:ascii="arial" w:hAnsi="arial"/>
          <w:sz w:val="22"/>
          <w:szCs w:val="22"/>
        </w:rPr>
        <w:t xml:space="preserve">identifier fields may increase model complexity without improving predictive performance [2]. </w:t>
      </w:r>
    </w:p>
    <w:p>
      <w:pPr>
        <w:pStyle w:val="Normal"/>
        <w:spacing w:lineRule="auto" w:line="360" w:before="120" w:after="120"/>
        <w:jc w:val="left"/>
        <w:rPr>
          <w:rFonts w:ascii="arial" w:hAnsi="arial"/>
          <w:sz w:val="22"/>
          <w:szCs w:val="22"/>
        </w:rPr>
      </w:pPr>
      <w:r>
        <w:rPr>
          <w:rFonts w:ascii="arial" w:hAnsi="arial"/>
          <w:sz w:val="22"/>
          <w:szCs w:val="22"/>
        </w:rPr>
        <w:t xml:space="preserve">The remaining variables were then verified to ensure that numerical attributes such as tenure, </w:t>
      </w:r>
    </w:p>
    <w:p>
      <w:pPr>
        <w:pStyle w:val="Normal"/>
        <w:spacing w:lineRule="auto" w:line="360" w:before="120" w:after="120"/>
        <w:jc w:val="left"/>
        <w:rPr>
          <w:rFonts w:ascii="arial" w:hAnsi="arial"/>
          <w:sz w:val="22"/>
          <w:szCs w:val="22"/>
        </w:rPr>
      </w:pPr>
      <w:r>
        <w:rPr>
          <w:rFonts w:ascii="arial" w:hAnsi="arial"/>
          <w:sz w:val="22"/>
          <w:szCs w:val="22"/>
        </w:rPr>
        <w:t xml:space="preserve">MonthlyCharges and TotalCharges were correctly formatted, while categorical variables </w:t>
      </w:r>
    </w:p>
    <w:p>
      <w:pPr>
        <w:pStyle w:val="Normal"/>
        <w:spacing w:lineRule="auto" w:line="360" w:before="120" w:after="120"/>
        <w:jc w:val="left"/>
        <w:rPr>
          <w:rFonts w:ascii="arial" w:hAnsi="arial"/>
          <w:sz w:val="22"/>
          <w:szCs w:val="22"/>
        </w:rPr>
      </w:pPr>
      <w:r>
        <w:rPr>
          <w:rFonts w:ascii="arial" w:hAnsi="arial"/>
          <w:sz w:val="22"/>
          <w:szCs w:val="22"/>
        </w:rPr>
        <w:t xml:space="preserve">including Contract, InternetService and PaymentMethod were checked for consistency before </w:t>
      </w:r>
    </w:p>
    <w:p>
      <w:pPr>
        <w:pStyle w:val="Normal"/>
        <w:spacing w:lineRule="auto" w:line="360" w:before="120" w:after="120"/>
        <w:jc w:val="left"/>
        <w:rPr>
          <w:rFonts w:ascii="arial" w:hAnsi="arial"/>
          <w:sz w:val="22"/>
          <w:szCs w:val="22"/>
        </w:rPr>
      </w:pPr>
      <w:r>
        <w:rPr>
          <w:rFonts w:ascii="arial" w:hAnsi="arial"/>
          <w:sz w:val="22"/>
          <w:szCs w:val="22"/>
        </w:rPr>
        <w:t>importing the dataset into Weka Explorer.</w:t>
      </w:r>
    </w:p>
    <w:p>
      <w:pPr>
        <w:pStyle w:val="Normal"/>
        <w:spacing w:lineRule="auto" w:line="360" w:before="120" w:after="120"/>
        <w:jc w:val="left"/>
        <w:rPr>
          <w:rFonts w:ascii="arial" w:hAnsi="arial"/>
          <w:sz w:val="22"/>
          <w:szCs w:val="22"/>
        </w:rPr>
      </w:pPr>
      <w:r>
        <w:rPr>
          <w:rFonts w:ascii="arial" w:hAnsi="arial"/>
          <w:sz w:val="22"/>
          <w:szCs w:val="22"/>
        </w:rPr>
        <w:t xml:space="preserve">Although the dataset exhibited a moderate class imbalance, with approximately 73% non-churn </w:t>
      </w:r>
    </w:p>
    <w:p>
      <w:pPr>
        <w:pStyle w:val="Normal"/>
        <w:spacing w:lineRule="auto" w:line="360" w:before="120" w:after="120"/>
        <w:jc w:val="left"/>
        <w:rPr>
          <w:rFonts w:ascii="arial" w:hAnsi="arial"/>
          <w:sz w:val="22"/>
          <w:szCs w:val="22"/>
        </w:rPr>
      </w:pPr>
      <w:r>
        <w:rPr>
          <w:rFonts w:ascii="arial" w:hAnsi="arial"/>
          <w:sz w:val="22"/>
          <w:szCs w:val="22"/>
        </w:rPr>
        <w:t xml:space="preserve">and 27% churn observations, no balancing technique was applied. Maintaining the original class </w:t>
      </w:r>
    </w:p>
    <w:p>
      <w:pPr>
        <w:pStyle w:val="Normal"/>
        <w:spacing w:lineRule="auto" w:line="360" w:before="120" w:after="120"/>
        <w:jc w:val="left"/>
        <w:rPr>
          <w:rFonts w:ascii="arial" w:hAnsi="arial"/>
          <w:sz w:val="22"/>
          <w:szCs w:val="22"/>
        </w:rPr>
      </w:pPr>
      <w:r>
        <w:rPr>
          <w:rFonts w:ascii="arial" w:hAnsi="arial"/>
          <w:sz w:val="22"/>
          <w:szCs w:val="22"/>
        </w:rPr>
        <w:t xml:space="preserve">distribution provides a more realistic representation of operational business data and allows </w:t>
      </w:r>
    </w:p>
    <w:p>
      <w:pPr>
        <w:pStyle w:val="Normal"/>
        <w:spacing w:lineRule="auto" w:line="360" w:before="120" w:after="120"/>
        <w:jc w:val="left"/>
        <w:rPr>
          <w:rFonts w:ascii="arial" w:hAnsi="arial"/>
          <w:sz w:val="22"/>
          <w:szCs w:val="22"/>
        </w:rPr>
      </w:pPr>
      <w:r>
        <w:rPr>
          <w:rFonts w:ascii="arial" w:hAnsi="arial"/>
          <w:sz w:val="22"/>
          <w:szCs w:val="22"/>
        </w:rPr>
        <w:t xml:space="preserve">model performance to be evaluated under practical conditions [10]. Instead of just relying on </w:t>
      </w:r>
    </w:p>
    <w:p>
      <w:pPr>
        <w:pStyle w:val="Normal"/>
        <w:spacing w:lineRule="auto" w:line="360" w:before="120" w:after="120"/>
        <w:jc w:val="left"/>
        <w:rPr>
          <w:rFonts w:ascii="arial" w:hAnsi="arial"/>
          <w:sz w:val="22"/>
          <w:szCs w:val="22"/>
        </w:rPr>
      </w:pPr>
      <w:r>
        <w:rPr>
          <w:rFonts w:ascii="arial" w:hAnsi="arial"/>
          <w:sz w:val="22"/>
          <w:szCs w:val="22"/>
        </w:rPr>
        <w:t xml:space="preserve">classification accuracy, several complementary performance measures were considered, </w:t>
      </w:r>
    </w:p>
    <w:p>
      <w:pPr>
        <w:pStyle w:val="Normal"/>
        <w:spacing w:lineRule="auto" w:line="360" w:before="120" w:after="120"/>
        <w:jc w:val="left"/>
        <w:rPr>
          <w:rFonts w:ascii="arial" w:hAnsi="arial"/>
          <w:sz w:val="22"/>
          <w:szCs w:val="22"/>
        </w:rPr>
      </w:pPr>
      <w:r>
        <w:rPr>
          <w:rFonts w:ascii="arial" w:hAnsi="arial"/>
          <w:sz w:val="22"/>
          <w:szCs w:val="22"/>
        </w:rPr>
        <w:t xml:space="preserve">including precision, recall, ROC Area and Cohen's Kappa, providing a more balanced </w:t>
      </w:r>
    </w:p>
    <w:p>
      <w:pPr>
        <w:pStyle w:val="Normal"/>
        <w:spacing w:lineRule="auto" w:line="360" w:before="120" w:after="120"/>
        <w:jc w:val="left"/>
        <w:rPr>
          <w:rFonts w:ascii="arial" w:hAnsi="arial"/>
          <w:sz w:val="22"/>
          <w:szCs w:val="22"/>
        </w:rPr>
      </w:pPr>
      <w:r>
        <w:rPr>
          <w:rFonts w:ascii="arial" w:hAnsi="arial"/>
          <w:sz w:val="22"/>
          <w:szCs w:val="22"/>
        </w:rPr>
        <w:t>assessment of predictive capability [11].</w:t>
      </w:r>
    </w:p>
    <w:p>
      <w:pPr>
        <w:pStyle w:val="Normal"/>
        <w:spacing w:lineRule="auto" w:line="360" w:before="120" w:after="120"/>
        <w:jc w:val="left"/>
        <w:rPr>
          <w:rFonts w:ascii="arial" w:hAnsi="arial"/>
          <w:sz w:val="22"/>
          <w:szCs w:val="22"/>
        </w:rPr>
      </w:pPr>
      <w:r>
        <w:rPr>
          <w:rFonts w:ascii="arial" w:hAnsi="arial"/>
          <w:sz w:val="22"/>
          <w:szCs w:val="22"/>
        </w:rPr>
        <w:t xml:space="preserve">All classification experiments were conducted using 10-fold cross-validation, a widely accepted </w:t>
      </w:r>
    </w:p>
    <w:p>
      <w:pPr>
        <w:pStyle w:val="Normal"/>
        <w:spacing w:lineRule="auto" w:line="360" w:before="120" w:after="120"/>
        <w:jc w:val="left"/>
        <w:rPr>
          <w:rFonts w:ascii="arial" w:hAnsi="arial"/>
          <w:sz w:val="22"/>
          <w:szCs w:val="22"/>
        </w:rPr>
      </w:pPr>
      <w:r>
        <w:rPr>
          <w:rFonts w:ascii="arial" w:hAnsi="arial"/>
          <w:sz w:val="22"/>
          <w:szCs w:val="22"/>
        </w:rPr>
        <w:t xml:space="preserve">validation technique that divides the dataset into ten subsets. Each subset is used once for </w:t>
      </w:r>
    </w:p>
    <w:p>
      <w:pPr>
        <w:pStyle w:val="Normal"/>
        <w:spacing w:lineRule="auto" w:line="360" w:before="120" w:after="120"/>
        <w:jc w:val="left"/>
        <w:rPr>
          <w:rFonts w:ascii="arial" w:hAnsi="arial"/>
          <w:sz w:val="22"/>
          <w:szCs w:val="22"/>
        </w:rPr>
      </w:pPr>
      <w:r>
        <w:rPr>
          <w:rFonts w:ascii="arial" w:hAnsi="arial"/>
          <w:sz w:val="22"/>
          <w:szCs w:val="22"/>
        </w:rPr>
        <w:t xml:space="preserve">testing while the remaining subsets are used for training, with the final performance obtained by </w:t>
      </w:r>
    </w:p>
    <w:p>
      <w:pPr>
        <w:pStyle w:val="Normal"/>
        <w:spacing w:lineRule="auto" w:line="360" w:before="120" w:after="120"/>
        <w:jc w:val="left"/>
        <w:rPr>
          <w:rFonts w:ascii="arial" w:hAnsi="arial"/>
          <w:sz w:val="22"/>
          <w:szCs w:val="22"/>
        </w:rPr>
      </w:pPr>
      <w:r>
        <w:rPr>
          <w:rFonts w:ascii="arial" w:hAnsi="arial"/>
          <w:sz w:val="22"/>
          <w:szCs w:val="22"/>
        </w:rPr>
        <w:t xml:space="preserve">averaging the results across all iterations [12]. Compared with a single train-test split, this </w:t>
      </w:r>
    </w:p>
    <w:p>
      <w:pPr>
        <w:pStyle w:val="Normal"/>
        <w:spacing w:lineRule="auto" w:line="360" w:before="120" w:after="120"/>
        <w:jc w:val="left"/>
        <w:rPr>
          <w:rFonts w:ascii="arial" w:hAnsi="arial"/>
          <w:sz w:val="22"/>
          <w:szCs w:val="22"/>
        </w:rPr>
      </w:pPr>
      <w:r>
        <w:rPr>
          <w:rFonts w:ascii="arial" w:hAnsi="arial"/>
          <w:sz w:val="22"/>
          <w:szCs w:val="22"/>
        </w:rPr>
        <w:t>approach reduces sampling bias and produces a more reliable estimate of model performance.</w:t>
      </w:r>
    </w:p>
    <w:p>
      <w:pPr>
        <w:pStyle w:val="Normal"/>
        <w:spacing w:lineRule="auto" w:line="360" w:before="120" w:after="120"/>
        <w:jc w:val="left"/>
        <w:rPr>
          <w:rFonts w:ascii="arial" w:hAnsi="arial"/>
          <w:sz w:val="22"/>
          <w:szCs w:val="22"/>
        </w:rPr>
      </w:pPr>
      <w:r>
        <w:rPr>
          <w:rFonts w:ascii="arial" w:hAnsi="arial"/>
          <w:sz w:val="22"/>
          <w:szCs w:val="22"/>
        </w:rPr>
        <w:t xml:space="preserve">Following model development, post-processing activities were carried out to organise and </w:t>
      </w:r>
    </w:p>
    <w:p>
      <w:pPr>
        <w:pStyle w:val="Normal"/>
        <w:spacing w:lineRule="auto" w:line="360" w:before="120" w:after="120"/>
        <w:jc w:val="left"/>
        <w:rPr>
          <w:rFonts w:ascii="arial" w:hAnsi="arial"/>
          <w:sz w:val="22"/>
          <w:szCs w:val="22"/>
        </w:rPr>
      </w:pPr>
      <w:r>
        <w:rPr>
          <w:rFonts w:ascii="arial" w:hAnsi="arial"/>
          <w:sz w:val="22"/>
          <w:szCs w:val="22"/>
        </w:rPr>
        <w:t xml:space="preserve">interpret the experimental results. Performance measures generated by Weka, including </w:t>
      </w:r>
    </w:p>
    <w:p>
      <w:pPr>
        <w:pStyle w:val="Normal"/>
        <w:spacing w:lineRule="auto" w:line="360" w:before="120" w:after="120"/>
        <w:jc w:val="left"/>
        <w:rPr>
          <w:rFonts w:ascii="arial" w:hAnsi="arial"/>
          <w:sz w:val="22"/>
          <w:szCs w:val="22"/>
        </w:rPr>
      </w:pPr>
      <w:r>
        <w:rPr>
          <w:rFonts w:ascii="arial" w:hAnsi="arial"/>
          <w:sz w:val="22"/>
          <w:szCs w:val="22"/>
        </w:rPr>
        <w:t xml:space="preserve">classification accuracy, precision, recall, ROC Area and Cohen's Kappa, were summarised in </w:t>
      </w:r>
    </w:p>
    <w:p>
      <w:pPr>
        <w:pStyle w:val="Normal"/>
        <w:spacing w:lineRule="auto" w:line="360" w:before="120" w:after="120"/>
        <w:jc w:val="left"/>
        <w:rPr>
          <w:rFonts w:ascii="arial" w:hAnsi="arial"/>
          <w:sz w:val="22"/>
          <w:szCs w:val="22"/>
        </w:rPr>
      </w:pPr>
      <w:r>
        <w:rPr>
          <w:rFonts w:ascii="arial" w:hAnsi="arial"/>
          <w:sz w:val="22"/>
          <w:szCs w:val="22"/>
        </w:rPr>
        <w:t xml:space="preserve">comparative tables to facilitate objective evaluation across the five classifiers. Confusion </w:t>
      </w:r>
    </w:p>
    <w:p>
      <w:pPr>
        <w:pStyle w:val="Normal"/>
        <w:spacing w:lineRule="auto" w:line="360" w:before="120" w:after="120"/>
        <w:jc w:val="left"/>
        <w:rPr>
          <w:rFonts w:ascii="arial" w:hAnsi="arial"/>
          <w:sz w:val="22"/>
          <w:szCs w:val="22"/>
        </w:rPr>
      </w:pPr>
      <w:r>
        <w:rPr>
          <w:rFonts w:ascii="arial" w:hAnsi="arial"/>
          <w:sz w:val="22"/>
          <w:szCs w:val="22"/>
        </w:rPr>
        <w:t xml:space="preserve">matrices were also examined to assess each model's ability to distinguish between customers </w:t>
      </w:r>
    </w:p>
    <w:p>
      <w:pPr>
        <w:pStyle w:val="Normal"/>
        <w:spacing w:lineRule="auto" w:line="360" w:before="120" w:after="120"/>
        <w:jc w:val="left"/>
        <w:rPr>
          <w:rFonts w:ascii="arial" w:hAnsi="arial"/>
          <w:sz w:val="22"/>
          <w:szCs w:val="22"/>
        </w:rPr>
      </w:pPr>
      <w:r>
        <w:rPr>
          <w:rFonts w:ascii="arial" w:hAnsi="arial"/>
          <w:sz w:val="22"/>
          <w:szCs w:val="22"/>
        </w:rPr>
        <w:t xml:space="preserve">who churned and those who remained. Finally, Tableau was used to produce visualisations that </w:t>
      </w:r>
    </w:p>
    <w:p>
      <w:pPr>
        <w:pStyle w:val="Normal"/>
        <w:spacing w:lineRule="auto" w:line="360" w:before="120" w:after="120"/>
        <w:jc w:val="left"/>
        <w:rPr>
          <w:rFonts w:ascii="arial" w:hAnsi="arial"/>
          <w:sz w:val="22"/>
          <w:szCs w:val="22"/>
        </w:rPr>
      </w:pPr>
      <w:r>
        <w:rPr>
          <w:rFonts w:ascii="arial" w:hAnsi="arial"/>
          <w:sz w:val="22"/>
          <w:szCs w:val="22"/>
        </w:rPr>
        <w:t xml:space="preserve">summarised both the exploratory analysis and the comparative algorithm performance, </w:t>
      </w:r>
    </w:p>
    <w:p>
      <w:pPr>
        <w:pStyle w:val="Normal"/>
        <w:spacing w:lineRule="auto" w:line="360" w:before="120" w:after="120"/>
        <w:jc w:val="left"/>
        <w:rPr>
          <w:rFonts w:ascii="arial" w:hAnsi="arial"/>
          <w:sz w:val="22"/>
          <w:szCs w:val="22"/>
        </w:rPr>
      </w:pPr>
      <w:r>
        <w:rPr>
          <w:rFonts w:ascii="arial" w:hAnsi="arial"/>
          <w:sz w:val="22"/>
          <w:szCs w:val="22"/>
        </w:rPr>
        <w:t xml:space="preserve">presenting the findings in a clear and accessible manner. These post-processing activities </w:t>
      </w:r>
    </w:p>
    <w:p>
      <w:pPr>
        <w:pStyle w:val="Normal"/>
        <w:spacing w:lineRule="auto" w:line="360" w:before="120" w:after="120"/>
        <w:jc w:val="left"/>
        <w:rPr>
          <w:rFonts w:ascii="arial" w:hAnsi="arial"/>
          <w:sz w:val="22"/>
          <w:szCs w:val="22"/>
        </w:rPr>
      </w:pPr>
      <w:r>
        <w:rPr>
          <w:rFonts w:ascii="arial" w:hAnsi="arial"/>
          <w:sz w:val="22"/>
          <w:szCs w:val="22"/>
        </w:rPr>
        <w:t xml:space="preserve">transformed the raw experimental outputs into meaningful business insights and established a </w:t>
      </w:r>
    </w:p>
    <w:p>
      <w:pPr>
        <w:pStyle w:val="Normal"/>
        <w:spacing w:lineRule="auto" w:line="360" w:before="120" w:after="120"/>
        <w:jc w:val="left"/>
        <w:rPr>
          <w:rFonts w:ascii="arial" w:hAnsi="arial"/>
          <w:sz w:val="22"/>
          <w:szCs w:val="22"/>
        </w:rPr>
      </w:pPr>
      <w:r>
        <w:rPr>
          <w:rFonts w:ascii="arial" w:hAnsi="arial"/>
          <w:sz w:val="22"/>
          <w:szCs w:val="22"/>
        </w:rPr>
        <w:t>sound foundation for the comparative analysis presented in the following section.</w:t>
      </w:r>
    </w:p>
    <w:p>
      <w:pPr>
        <w:pStyle w:val="Heading2"/>
        <w:rPr>
          <w:sz w:val="28"/>
          <w:szCs w:val="28"/>
        </w:rPr>
      </w:pPr>
      <w:bookmarkStart w:id="5" w:name="__RefHeading___Toc407_889290767"/>
      <w:bookmarkEnd w:id="5"/>
      <w:r>
        <w:rPr>
          <w:sz w:val="28"/>
          <w:szCs w:val="28"/>
        </w:rPr>
        <w:t>2.4 Sample Runs and Analysis Methods</w:t>
      </w:r>
    </w:p>
    <w:p>
      <w:pPr>
        <w:pStyle w:val="Normal"/>
        <w:spacing w:lineRule="auto" w:line="360" w:before="120" w:after="120"/>
        <w:jc w:val="left"/>
        <w:rPr>
          <w:sz w:val="22"/>
          <w:szCs w:val="22"/>
        </w:rPr>
      </w:pPr>
      <w:r>
        <w:rPr>
          <w:rFonts w:ascii="arial" w:hAnsi="arial"/>
          <w:sz w:val="22"/>
          <w:szCs w:val="22"/>
        </w:rPr>
        <w:t>The prepared IBM Telco Customer Churn dataset was analysed using Weka Explorer, an open-</w:t>
      </w:r>
    </w:p>
    <w:p>
      <w:pPr>
        <w:pStyle w:val="Normal"/>
        <w:spacing w:lineRule="auto" w:line="360" w:before="120" w:after="120"/>
        <w:jc w:val="left"/>
        <w:rPr>
          <w:sz w:val="22"/>
          <w:szCs w:val="22"/>
        </w:rPr>
      </w:pPr>
      <w:r>
        <w:rPr>
          <w:rFonts w:ascii="arial" w:hAnsi="arial"/>
          <w:sz w:val="22"/>
          <w:szCs w:val="22"/>
        </w:rPr>
        <w:t xml:space="preserve">source platform for implementing and evaluating machine learning algorithms [2], [13]. The </w:t>
      </w:r>
    </w:p>
    <w:p>
      <w:pPr>
        <w:pStyle w:val="Normal"/>
        <w:spacing w:lineRule="auto" w:line="360" w:before="120" w:after="120"/>
        <w:jc w:val="left"/>
        <w:rPr>
          <w:sz w:val="22"/>
          <w:szCs w:val="22"/>
        </w:rPr>
      </w:pPr>
      <w:r>
        <w:rPr>
          <w:rFonts w:ascii="arial" w:hAnsi="arial"/>
          <w:sz w:val="22"/>
          <w:szCs w:val="22"/>
        </w:rPr>
        <w:t xml:space="preserve">overall analytical process followed in this study is illustrated in Figure 1, showing the </w:t>
      </w:r>
    </w:p>
    <w:p>
      <w:pPr>
        <w:pStyle w:val="Normal"/>
        <w:spacing w:lineRule="auto" w:line="360" w:before="120" w:after="120"/>
        <w:jc w:val="left"/>
        <w:rPr>
          <w:sz w:val="22"/>
          <w:szCs w:val="22"/>
        </w:rPr>
      </w:pPr>
      <w:r>
        <w:rPr>
          <w:rFonts w:ascii="arial" w:hAnsi="arial"/>
          <w:sz w:val="22"/>
          <w:szCs w:val="22"/>
        </w:rPr>
        <w:t>progression from data preparation to model evaluation.</w:t>
      </w:r>
    </w:p>
    <w:p>
      <w:pPr>
        <w:pStyle w:val="Normal"/>
        <w:spacing w:lineRule="auto" w:line="360" w:before="120" w:after="120"/>
        <w:jc w:val="left"/>
        <w:rPr/>
      </w:pPr>
      <w:r>
        <w:rPr>
          <w:b/>
          <w:bCs/>
        </w:rPr>
        <w:t>Data Preparation Workflow Figure</w:t>
      </w:r>
    </w:p>
    <w:p>
      <w:pPr>
        <w:pStyle w:val="Normal"/>
        <w:spacing w:lineRule="auto" w:line="360" w:before="120" w:after="120"/>
        <w:jc w:val="center"/>
        <w:rPr/>
      </w:pPr>
      <w:r>
        <w:rPr/>
        <w:drawing>
          <wp:anchor behindDoc="0" distT="0" distB="0" distL="0" distR="0" simplePos="0" locked="0" layoutInCell="0" allowOverlap="1" relativeHeight="8">
            <wp:simplePos x="0" y="0"/>
            <wp:positionH relativeFrom="column">
              <wp:posOffset>2100580</wp:posOffset>
            </wp:positionH>
            <wp:positionV relativeFrom="paragraph">
              <wp:posOffset>-55245</wp:posOffset>
            </wp:positionV>
            <wp:extent cx="1787525" cy="2607945"/>
            <wp:effectExtent l="0" t="0" r="0" b="0"/>
            <wp:wrapSquare wrapText="largest"/>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1787525" cy="2607945"/>
                    </a:xfrm>
                    <a:prstGeom prst="rect">
                      <a:avLst/>
                    </a:prstGeom>
                  </pic:spPr>
                </pic:pic>
              </a:graphicData>
            </a:graphic>
          </wp:anchor>
        </w:drawing>
      </w:r>
    </w:p>
    <w:p>
      <w:pPr>
        <w:pStyle w:val="Normal"/>
        <w:spacing w:lineRule="auto" w:line="360" w:before="120" w:after="120"/>
        <w:jc w:val="center"/>
        <w:rPr/>
      </w:pPr>
      <w:r>
        <w:rPr/>
      </w:r>
    </w:p>
    <w:p>
      <w:pPr>
        <w:pStyle w:val="Normal"/>
        <w:spacing w:lineRule="auto" w:line="360" w:before="120" w:after="120"/>
        <w:jc w:val="center"/>
        <w:rPr/>
      </w:pPr>
      <w:r>
        <w:rPr/>
      </w:r>
    </w:p>
    <w:p>
      <w:pPr>
        <w:pStyle w:val="Normal"/>
        <w:spacing w:lineRule="auto" w:line="360" w:before="120" w:after="120"/>
        <w:jc w:val="center"/>
        <w:rPr/>
      </w:pPr>
      <w:r>
        <w:rPr/>
      </w:r>
    </w:p>
    <w:p>
      <w:pPr>
        <w:pStyle w:val="Normal"/>
        <w:spacing w:lineRule="auto" w:line="360" w:before="120" w:after="120"/>
        <w:jc w:val="center"/>
        <w:rPr/>
      </w:pPr>
      <w:r>
        <w:rPr/>
      </w:r>
    </w:p>
    <w:p>
      <w:pPr>
        <w:pStyle w:val="Normal"/>
        <w:spacing w:lineRule="auto" w:line="360" w:before="120" w:after="120"/>
        <w:jc w:val="center"/>
        <w:rPr/>
      </w:pPr>
      <w:r>
        <w:rPr/>
      </w:r>
    </w:p>
    <w:p>
      <w:pPr>
        <w:pStyle w:val="Normal"/>
        <w:spacing w:lineRule="auto" w:line="360" w:before="120" w:after="120"/>
        <w:jc w:val="center"/>
        <w:rPr/>
      </w:pPr>
      <w:r>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pPr>
      <w:r>
        <w:rPr>
          <w:b/>
          <w:bCs/>
          <w:i w:val="false"/>
          <w:iCs w:val="false"/>
          <w:sz w:val="18"/>
          <w:szCs w:val="18"/>
        </w:rPr>
        <w:t>Figure 1:</w:t>
      </w:r>
      <w:r>
        <w:rPr>
          <w:i/>
          <w:iCs/>
          <w:sz w:val="18"/>
          <w:szCs w:val="18"/>
        </w:rPr>
        <w:t xml:space="preserve"> Data Preparation Workflow</w:t>
      </w:r>
    </w:p>
    <w:p>
      <w:pPr>
        <w:pStyle w:val="Normal"/>
        <w:spacing w:lineRule="auto" w:line="360" w:before="120" w:after="120"/>
        <w:jc w:val="left"/>
        <w:rPr>
          <w:rFonts w:ascii="arial" w:hAnsi="arial"/>
          <w:sz w:val="22"/>
          <w:szCs w:val="22"/>
        </w:rPr>
      </w:pPr>
      <w:r>
        <w:rPr/>
      </w:r>
    </w:p>
    <w:p>
      <w:pPr>
        <w:pStyle w:val="Normal"/>
        <w:spacing w:lineRule="auto" w:line="360" w:before="120" w:after="120"/>
        <w:jc w:val="left"/>
        <w:rPr>
          <w:rFonts w:ascii="arial" w:hAnsi="arial"/>
          <w:sz w:val="22"/>
          <w:szCs w:val="22"/>
        </w:rPr>
      </w:pPr>
      <w:r>
        <w:rPr>
          <w:rFonts w:ascii="arial" w:hAnsi="arial"/>
          <w:sz w:val="22"/>
          <w:szCs w:val="22"/>
        </w:rPr>
        <w:t xml:space="preserve">The Churn attribute was defined as the target class for all supervised learning experiments. </w:t>
      </w:r>
    </w:p>
    <w:p>
      <w:pPr>
        <w:pStyle w:val="Normal"/>
        <w:spacing w:lineRule="auto" w:line="360" w:before="120" w:after="120"/>
        <w:jc w:val="left"/>
        <w:rPr>
          <w:rFonts w:ascii="arial" w:hAnsi="arial"/>
          <w:sz w:val="22"/>
          <w:szCs w:val="22"/>
        </w:rPr>
      </w:pPr>
      <w:r>
        <w:rPr>
          <w:rFonts w:ascii="arial" w:hAnsi="arial"/>
          <w:sz w:val="22"/>
          <w:szCs w:val="22"/>
        </w:rPr>
        <w:t xml:space="preserve">Each classifier was evaluated using 10-fold cross-validation, in which the dataset was divided </w:t>
      </w:r>
    </w:p>
    <w:p>
      <w:pPr>
        <w:pStyle w:val="Normal"/>
        <w:spacing w:lineRule="auto" w:line="360" w:before="120" w:after="120"/>
        <w:jc w:val="left"/>
        <w:rPr>
          <w:rFonts w:ascii="arial" w:hAnsi="arial"/>
          <w:sz w:val="22"/>
          <w:szCs w:val="22"/>
        </w:rPr>
      </w:pPr>
      <w:r>
        <w:rPr>
          <w:rFonts w:ascii="arial" w:hAnsi="arial"/>
          <w:sz w:val="22"/>
          <w:szCs w:val="22"/>
        </w:rPr>
        <w:t xml:space="preserve">into ten subsets, with nine used for training and one for testing in each iteration [12]. This </w:t>
      </w:r>
    </w:p>
    <w:p>
      <w:pPr>
        <w:pStyle w:val="Normal"/>
        <w:spacing w:lineRule="auto" w:line="360" w:before="120" w:after="120"/>
        <w:jc w:val="left"/>
        <w:rPr>
          <w:rFonts w:ascii="arial" w:hAnsi="arial"/>
          <w:sz w:val="22"/>
          <w:szCs w:val="22"/>
        </w:rPr>
      </w:pPr>
      <w:r>
        <w:rPr>
          <w:rFonts w:ascii="arial" w:hAnsi="arial"/>
          <w:sz w:val="22"/>
          <w:szCs w:val="22"/>
        </w:rPr>
        <w:t>approach provides a reliable estimate of predictive performance while reducing sampling bias.</w:t>
      </w:r>
    </w:p>
    <w:p>
      <w:pPr>
        <w:pStyle w:val="Normal"/>
        <w:spacing w:lineRule="auto" w:line="360" w:before="120" w:after="120"/>
        <w:jc w:val="left"/>
        <w:rPr>
          <w:rFonts w:ascii="arial" w:hAnsi="arial"/>
          <w:sz w:val="22"/>
          <w:szCs w:val="22"/>
        </w:rPr>
      </w:pPr>
      <w:r>
        <w:rPr>
          <w:rFonts w:ascii="arial" w:hAnsi="arial"/>
          <w:sz w:val="22"/>
          <w:szCs w:val="22"/>
        </w:rPr>
        <w:t xml:space="preserve">Five supervised classification algorithms were evaluated. ZeroR served as the baseline </w:t>
      </w:r>
    </w:p>
    <w:p>
      <w:pPr>
        <w:pStyle w:val="Normal"/>
        <w:spacing w:lineRule="auto" w:line="360" w:before="120" w:after="120"/>
        <w:jc w:val="left"/>
        <w:rPr>
          <w:rFonts w:ascii="arial" w:hAnsi="arial"/>
          <w:sz w:val="22"/>
          <w:szCs w:val="22"/>
        </w:rPr>
      </w:pPr>
      <w:r>
        <w:rPr>
          <w:rFonts w:ascii="arial" w:hAnsi="arial"/>
          <w:sz w:val="22"/>
          <w:szCs w:val="22"/>
        </w:rPr>
        <w:t xml:space="preserve">classifier by predicting the majority class [2]. J48 Decision Tree generated interpretable decision </w:t>
      </w:r>
    </w:p>
    <w:p>
      <w:pPr>
        <w:pStyle w:val="Normal"/>
        <w:spacing w:lineRule="auto" w:line="360" w:before="120" w:after="120"/>
        <w:jc w:val="left"/>
        <w:rPr>
          <w:rFonts w:ascii="arial" w:hAnsi="arial"/>
          <w:sz w:val="22"/>
          <w:szCs w:val="22"/>
        </w:rPr>
      </w:pPr>
      <w:r>
        <w:rPr>
          <w:rFonts w:ascii="arial" w:hAnsi="arial"/>
          <w:sz w:val="22"/>
          <w:szCs w:val="22"/>
        </w:rPr>
        <w:t xml:space="preserve">rules [14], Logistic Regression estimated the probability of customer churn through statistical </w:t>
      </w:r>
    </w:p>
    <w:p>
      <w:pPr>
        <w:pStyle w:val="Normal"/>
        <w:spacing w:lineRule="auto" w:line="360" w:before="120" w:after="120"/>
        <w:jc w:val="left"/>
        <w:rPr>
          <w:rFonts w:ascii="arial" w:hAnsi="arial"/>
          <w:sz w:val="22"/>
          <w:szCs w:val="22"/>
        </w:rPr>
      </w:pPr>
      <w:r>
        <w:rPr>
          <w:rFonts w:ascii="arial" w:hAnsi="arial"/>
          <w:sz w:val="22"/>
          <w:szCs w:val="22"/>
        </w:rPr>
        <w:t xml:space="preserve">modelling [15], Random Forest combined multiple decision trees to improve prediction accuracy </w:t>
      </w:r>
    </w:p>
    <w:p>
      <w:pPr>
        <w:pStyle w:val="Normal"/>
        <w:spacing w:lineRule="auto" w:line="360" w:before="120" w:after="120"/>
        <w:jc w:val="left"/>
        <w:rPr>
          <w:rFonts w:ascii="arial" w:hAnsi="arial"/>
          <w:sz w:val="22"/>
          <w:szCs w:val="22"/>
        </w:rPr>
      </w:pPr>
      <w:r>
        <w:rPr>
          <w:rFonts w:ascii="arial" w:hAnsi="arial"/>
          <w:sz w:val="22"/>
          <w:szCs w:val="22"/>
        </w:rPr>
        <w:t xml:space="preserve">[16], and Naïve Bayes applied probabilistic classification based on Bayes' theorem [17]. </w:t>
      </w:r>
    </w:p>
    <w:p>
      <w:pPr>
        <w:pStyle w:val="Normal"/>
        <w:spacing w:lineRule="auto" w:line="360" w:before="120" w:after="120"/>
        <w:jc w:val="left"/>
        <w:rPr>
          <w:rFonts w:ascii="arial" w:hAnsi="arial"/>
          <w:sz w:val="22"/>
          <w:szCs w:val="22"/>
        </w:rPr>
      </w:pPr>
      <w:r>
        <w:rPr>
          <w:rFonts w:ascii="arial" w:hAnsi="arial"/>
          <w:sz w:val="22"/>
          <w:szCs w:val="22"/>
        </w:rPr>
        <w:t xml:space="preserve">In addition, SimpleKMeans clustering grouped customers with similar characteristics without </w:t>
      </w:r>
    </w:p>
    <w:p>
      <w:pPr>
        <w:pStyle w:val="Normal"/>
        <w:spacing w:lineRule="auto" w:line="360" w:before="120" w:after="120"/>
        <w:jc w:val="left"/>
        <w:rPr>
          <w:rFonts w:ascii="arial" w:hAnsi="arial"/>
          <w:sz w:val="22"/>
          <w:szCs w:val="22"/>
        </w:rPr>
      </w:pPr>
      <w:r>
        <w:rPr>
          <w:rFonts w:ascii="arial" w:hAnsi="arial"/>
          <w:sz w:val="22"/>
          <w:szCs w:val="22"/>
        </w:rPr>
        <w:t xml:space="preserve">predefined class labels, producing three distinct customer segments that support targeted </w:t>
      </w:r>
    </w:p>
    <w:p>
      <w:pPr>
        <w:pStyle w:val="Normal"/>
        <w:spacing w:lineRule="auto" w:line="360" w:before="120" w:after="120"/>
        <w:jc w:val="left"/>
        <w:rPr>
          <w:rFonts w:ascii="arial" w:hAnsi="arial"/>
          <w:sz w:val="22"/>
          <w:szCs w:val="22"/>
        </w:rPr>
      </w:pPr>
      <w:r>
        <w:rPr>
          <w:rFonts w:ascii="arial" w:hAnsi="arial"/>
          <w:sz w:val="22"/>
          <w:szCs w:val="22"/>
        </w:rPr>
        <w:t>retention strategies (Table 2) [18].</w:t>
      </w:r>
    </w:p>
    <w:p>
      <w:pPr>
        <w:pStyle w:val="Normal"/>
        <w:spacing w:lineRule="auto" w:line="360" w:before="120" w:after="120"/>
        <w:jc w:val="left"/>
        <w:rPr>
          <w:rFonts w:ascii="arial" w:hAnsi="arial"/>
          <w:sz w:val="22"/>
          <w:szCs w:val="22"/>
        </w:rPr>
      </w:pPr>
      <w:r>
        <w:rPr>
          <w:rFonts w:ascii="arial" w:hAnsi="arial"/>
          <w:sz w:val="22"/>
          <w:szCs w:val="22"/>
        </w:rPr>
        <w:t xml:space="preserve">Classifier performance was evaluated using accuracy, precision, recall, ROC Area and Cohen's </w:t>
      </w:r>
    </w:p>
    <w:p>
      <w:pPr>
        <w:pStyle w:val="Normal"/>
        <w:spacing w:lineRule="auto" w:line="360" w:before="120" w:after="120"/>
        <w:jc w:val="left"/>
        <w:rPr>
          <w:rFonts w:ascii="arial" w:hAnsi="arial"/>
          <w:sz w:val="22"/>
          <w:szCs w:val="22"/>
        </w:rPr>
      </w:pPr>
      <w:r>
        <w:rPr>
          <w:rFonts w:ascii="arial" w:hAnsi="arial"/>
          <w:sz w:val="22"/>
          <w:szCs w:val="22"/>
        </w:rPr>
        <w:t xml:space="preserve">Kappa, providing a balanced comparison of predictive capability [11]. The overall performance </w:t>
      </w:r>
    </w:p>
    <w:p>
      <w:pPr>
        <w:pStyle w:val="Normal"/>
        <w:spacing w:lineRule="auto" w:line="360" w:before="120" w:after="120"/>
        <w:jc w:val="left"/>
        <w:rPr>
          <w:rFonts w:ascii="arial" w:hAnsi="arial"/>
          <w:sz w:val="22"/>
          <w:szCs w:val="22"/>
        </w:rPr>
      </w:pPr>
      <w:r>
        <w:rPr>
          <w:rFonts w:ascii="arial" w:hAnsi="arial"/>
          <w:sz w:val="22"/>
          <w:szCs w:val="22"/>
        </w:rPr>
        <w:t xml:space="preserve">of the classification models is summarised in Table 1, while the corresponding confusion </w:t>
      </w:r>
    </w:p>
    <w:p>
      <w:pPr>
        <w:pStyle w:val="Normal"/>
        <w:spacing w:lineRule="auto" w:line="360" w:before="120" w:after="120"/>
        <w:jc w:val="left"/>
        <w:rPr>
          <w:rFonts w:ascii="arial" w:hAnsi="arial"/>
          <w:sz w:val="22"/>
          <w:szCs w:val="22"/>
        </w:rPr>
      </w:pPr>
      <w:r>
        <w:rPr>
          <w:rFonts w:ascii="arial" w:hAnsi="arial"/>
          <w:sz w:val="22"/>
          <w:szCs w:val="22"/>
        </w:rPr>
        <w:t xml:space="preserve">matrices, which provide a detailed breakdown of correct and incorrect classifications for each </w:t>
      </w:r>
    </w:p>
    <w:p>
      <w:pPr>
        <w:pStyle w:val="Normal"/>
        <w:spacing w:lineRule="auto" w:line="360" w:before="120" w:after="120"/>
        <w:jc w:val="left"/>
        <w:rPr/>
      </w:pPr>
      <w:r>
        <w:rPr>
          <w:rFonts w:ascii="arial" w:hAnsi="arial"/>
          <w:sz w:val="22"/>
          <w:szCs w:val="22"/>
        </w:rPr>
        <w:t>algorithm, are presented in Appendix A.</w:t>
      </w:r>
    </w:p>
    <w:tbl>
      <w:tblPr>
        <w:tblW w:w="3139" w:type="dxa"/>
        <w:jc w:val="left"/>
        <w:tblInd w:w="0" w:type="dxa"/>
        <w:tblLayout w:type="fixed"/>
        <w:tblCellMar>
          <w:top w:w="15" w:type="dxa"/>
          <w:left w:w="22" w:type="dxa"/>
          <w:bottom w:w="15" w:type="dxa"/>
          <w:right w:w="22" w:type="dxa"/>
        </w:tblCellMar>
      </w:tblPr>
      <w:tblGrid>
        <w:gridCol w:w="1395"/>
        <w:gridCol w:w="1743"/>
      </w:tblGrid>
      <w:tr>
        <w:trPr>
          <w:trHeight w:val="540" w:hRule="atLeast"/>
        </w:trPr>
        <w:tc>
          <w:tcPr>
            <w:tcW w:w="1395" w:type="dxa"/>
            <w:tcBorders>
              <w:top w:val="single" w:sz="6" w:space="0" w:color="E0E0E0"/>
              <w:left w:val="single" w:sz="6" w:space="0" w:color="E0E0E0"/>
              <w:bottom w:val="single" w:sz="6" w:space="0" w:color="E0E0E0"/>
              <w:right w:val="single" w:sz="6" w:space="0" w:color="E0E0E0"/>
            </w:tcBorders>
          </w:tcPr>
          <w:p>
            <w:pPr>
              <w:pStyle w:val="Normal"/>
              <w:spacing w:lineRule="auto" w:line="360" w:before="120" w:after="120"/>
              <w:jc w:val="center"/>
              <w:rPr>
                <w:sz w:val="18"/>
                <w:szCs w:val="18"/>
              </w:rPr>
            </w:pPr>
            <w:r>
              <w:rPr>
                <w:rFonts w:ascii="arial" w:hAnsi="arial"/>
                <w:b/>
                <w:bCs/>
                <w:i w:val="false"/>
                <w:iCs w:val="false"/>
                <w:sz w:val="18"/>
                <w:szCs w:val="18"/>
              </w:rPr>
              <w:t>Cluster</w:t>
            </w:r>
          </w:p>
        </w:tc>
        <w:tc>
          <w:tcPr>
            <w:tcW w:w="1743" w:type="dxa"/>
            <w:tcBorders>
              <w:top w:val="single" w:sz="6" w:space="0" w:color="E0E0E0"/>
              <w:left w:val="single" w:sz="6" w:space="0" w:color="E0E0E0"/>
              <w:bottom w:val="single" w:sz="6" w:space="0" w:color="E0E0E0"/>
              <w:right w:val="single" w:sz="6" w:space="0" w:color="E0E0E0"/>
            </w:tcBorders>
          </w:tcPr>
          <w:p>
            <w:pPr>
              <w:pStyle w:val="Normal"/>
              <w:spacing w:lineRule="auto" w:line="360" w:before="120" w:after="120"/>
              <w:jc w:val="center"/>
              <w:rPr>
                <w:sz w:val="18"/>
                <w:szCs w:val="18"/>
              </w:rPr>
            </w:pPr>
            <w:r>
              <w:rPr>
                <w:rFonts w:ascii="arial" w:hAnsi="arial"/>
                <w:b/>
                <w:bCs/>
                <w:i w:val="false"/>
                <w:iCs w:val="false"/>
                <w:sz w:val="18"/>
                <w:szCs w:val="18"/>
              </w:rPr>
              <w:t>Distribution</w:t>
            </w:r>
          </w:p>
        </w:tc>
      </w:tr>
      <w:tr>
        <w:trPr>
          <w:trHeight w:val="540" w:hRule="atLeast"/>
        </w:trPr>
        <w:tc>
          <w:tcPr>
            <w:tcW w:w="1395"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Cluster 1</w:t>
            </w:r>
          </w:p>
        </w:tc>
        <w:tc>
          <w:tcPr>
            <w:tcW w:w="1743"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32%</w:t>
            </w:r>
          </w:p>
        </w:tc>
      </w:tr>
      <w:tr>
        <w:trPr>
          <w:trHeight w:val="540" w:hRule="atLeast"/>
        </w:trPr>
        <w:tc>
          <w:tcPr>
            <w:tcW w:w="1395"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Cluster 2</w:t>
            </w:r>
          </w:p>
        </w:tc>
        <w:tc>
          <w:tcPr>
            <w:tcW w:w="1743"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43%</w:t>
            </w:r>
          </w:p>
        </w:tc>
      </w:tr>
      <w:tr>
        <w:trPr>
          <w:trHeight w:val="540" w:hRule="atLeast"/>
        </w:trPr>
        <w:tc>
          <w:tcPr>
            <w:tcW w:w="1395"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Cluster 3</w:t>
            </w:r>
          </w:p>
        </w:tc>
        <w:tc>
          <w:tcPr>
            <w:tcW w:w="1743" w:type="dxa"/>
            <w:tcBorders>
              <w:left w:val="single" w:sz="6" w:space="0" w:color="E0E0E0"/>
              <w:bottom w:val="single" w:sz="6" w:space="0" w:color="E0E0E0"/>
              <w:right w:val="single" w:sz="6" w:space="0" w:color="E0E0E0"/>
            </w:tcBorders>
          </w:tcPr>
          <w:p>
            <w:pPr>
              <w:pStyle w:val="Normal"/>
              <w:jc w:val="center"/>
              <w:rPr>
                <w:sz w:val="18"/>
                <w:szCs w:val="18"/>
              </w:rPr>
            </w:pPr>
            <w:r>
              <w:rPr>
                <w:rFonts w:ascii="arial" w:hAnsi="arial"/>
                <w:b w:val="false"/>
                <w:bCs w:val="false"/>
                <w:i w:val="false"/>
                <w:iCs w:val="false"/>
                <w:caps w:val="false"/>
                <w:smallCaps w:val="false"/>
                <w:color w:val="000000"/>
                <w:sz w:val="18"/>
                <w:szCs w:val="18"/>
              </w:rPr>
              <w:t>26%</w:t>
            </w:r>
          </w:p>
        </w:tc>
      </w:tr>
    </w:tbl>
    <w:p>
      <w:pPr>
        <w:pStyle w:val="Normal"/>
        <w:spacing w:lineRule="auto" w:line="360" w:before="120" w:after="120"/>
        <w:jc w:val="left"/>
        <w:rPr/>
      </w:pPr>
      <w:r>
        <w:rPr>
          <w:rFonts w:ascii="arial" w:hAnsi="arial"/>
          <w:b/>
          <w:bCs/>
          <w:sz w:val="18"/>
          <w:szCs w:val="18"/>
        </w:rPr>
        <w:t>Table 1:</w:t>
      </w:r>
      <w:r>
        <w:rPr>
          <w:rFonts w:ascii="arial" w:hAnsi="arial"/>
          <w:sz w:val="18"/>
          <w:szCs w:val="18"/>
        </w:rPr>
        <w:t xml:space="preserve"> </w:t>
      </w:r>
      <w:r>
        <w:rPr>
          <w:rFonts w:ascii="arial" w:hAnsi="arial"/>
          <w:i/>
          <w:iCs/>
          <w:sz w:val="18"/>
          <w:szCs w:val="18"/>
        </w:rPr>
        <w:t>SimpleKMeans Cluster Distribution</w:t>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pPr>
      <w:r>
        <w:rPr>
          <w:rFonts w:ascii="arial" w:hAnsi="arial"/>
          <w:sz w:val="22"/>
          <w:szCs w:val="22"/>
        </w:rPr>
        <w:t>The comparative performance of the five classification algorithms is presented in Table 2.</w:t>
      </w:r>
    </w:p>
    <w:tbl>
      <w:tblPr>
        <w:tblW w:w="8694" w:type="dxa"/>
        <w:jc w:val="left"/>
        <w:tblInd w:w="-29" w:type="dxa"/>
        <w:tblLayout w:type="fixed"/>
        <w:tblCellMar>
          <w:top w:w="15" w:type="dxa"/>
          <w:left w:w="22" w:type="dxa"/>
          <w:bottom w:w="15" w:type="dxa"/>
          <w:right w:w="22" w:type="dxa"/>
        </w:tblCellMar>
      </w:tblPr>
      <w:tblGrid>
        <w:gridCol w:w="2735"/>
        <w:gridCol w:w="2051"/>
        <w:gridCol w:w="1637"/>
        <w:gridCol w:w="2270"/>
      </w:tblGrid>
      <w:tr>
        <w:trPr>
          <w:trHeight w:val="450" w:hRule="atLeast"/>
        </w:trPr>
        <w:tc>
          <w:tcPr>
            <w:tcW w:w="2735" w:type="dxa"/>
            <w:tcBorders>
              <w:top w:val="single" w:sz="6" w:space="0" w:color="E0E0E0"/>
              <w:left w:val="single" w:sz="6" w:space="0" w:color="E0E0E0"/>
              <w:bottom w:val="single" w:sz="6" w:space="0" w:color="E0E0E0"/>
              <w:right w:val="single" w:sz="6" w:space="0" w:color="E0E0E0"/>
            </w:tcBorders>
          </w:tcPr>
          <w:p>
            <w:pPr>
              <w:pStyle w:val="Normal"/>
              <w:spacing w:lineRule="auto" w:line="360"/>
              <w:jc w:val="center"/>
              <w:rPr/>
            </w:pPr>
            <w:r>
              <w:rPr>
                <w:b/>
                <w:bCs/>
                <w:sz w:val="18"/>
                <w:szCs w:val="18"/>
              </w:rPr>
              <w:t>Classification Algorithm</w:t>
            </w:r>
          </w:p>
        </w:tc>
        <w:tc>
          <w:tcPr>
            <w:tcW w:w="2051" w:type="dxa"/>
            <w:tcBorders>
              <w:top w:val="single" w:sz="6" w:space="0" w:color="E0E0E0"/>
              <w:left w:val="single" w:sz="6" w:space="0" w:color="E0E0E0"/>
              <w:bottom w:val="single" w:sz="6" w:space="0" w:color="E0E0E0"/>
              <w:right w:val="single" w:sz="6" w:space="0" w:color="E0E0E0"/>
            </w:tcBorders>
          </w:tcPr>
          <w:p>
            <w:pPr>
              <w:pStyle w:val="Normal"/>
              <w:spacing w:lineRule="auto" w:line="360"/>
              <w:jc w:val="center"/>
              <w:rPr/>
            </w:pPr>
            <w:r>
              <w:rPr>
                <w:b/>
                <w:bCs/>
                <w:sz w:val="18"/>
                <w:szCs w:val="18"/>
              </w:rPr>
              <w:t>Accuracy (%)</w:t>
            </w:r>
          </w:p>
        </w:tc>
        <w:tc>
          <w:tcPr>
            <w:tcW w:w="1637" w:type="dxa"/>
            <w:tcBorders>
              <w:top w:val="single" w:sz="6" w:space="0" w:color="E0E0E0"/>
              <w:left w:val="single" w:sz="6" w:space="0" w:color="E0E0E0"/>
              <w:bottom w:val="single" w:sz="6" w:space="0" w:color="E0E0E0"/>
              <w:right w:val="single" w:sz="6" w:space="0" w:color="E0E0E0"/>
            </w:tcBorders>
          </w:tcPr>
          <w:p>
            <w:pPr>
              <w:pStyle w:val="Normal"/>
              <w:spacing w:lineRule="auto" w:line="360"/>
              <w:jc w:val="center"/>
              <w:rPr/>
            </w:pPr>
            <w:r>
              <w:rPr>
                <w:b/>
                <w:bCs/>
                <w:sz w:val="18"/>
                <w:szCs w:val="18"/>
              </w:rPr>
              <w:t>ROC Area</w:t>
            </w:r>
          </w:p>
        </w:tc>
        <w:tc>
          <w:tcPr>
            <w:tcW w:w="2270" w:type="dxa"/>
            <w:tcBorders>
              <w:top w:val="single" w:sz="6" w:space="0" w:color="E0E0E0"/>
              <w:left w:val="single" w:sz="6" w:space="0" w:color="E0E0E0"/>
              <w:bottom w:val="single" w:sz="6" w:space="0" w:color="E0E0E0"/>
              <w:right w:val="single" w:sz="6" w:space="0" w:color="E0E0E0"/>
            </w:tcBorders>
          </w:tcPr>
          <w:p>
            <w:pPr>
              <w:pStyle w:val="Normal"/>
              <w:spacing w:lineRule="auto" w:line="360"/>
              <w:jc w:val="center"/>
              <w:rPr/>
            </w:pPr>
            <w:r>
              <w:rPr>
                <w:b/>
                <w:bCs/>
                <w:sz w:val="18"/>
                <w:szCs w:val="18"/>
              </w:rPr>
              <w:t>Cohen's Kappa</w:t>
            </w:r>
          </w:p>
        </w:tc>
      </w:tr>
      <w:tr>
        <w:trPr>
          <w:trHeight w:val="398" w:hRule="atLeast"/>
        </w:trPr>
        <w:tc>
          <w:tcPr>
            <w:tcW w:w="2735"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ZeroR</w:t>
            </w:r>
          </w:p>
        </w:tc>
        <w:tc>
          <w:tcPr>
            <w:tcW w:w="2051"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73.42</w:t>
            </w:r>
          </w:p>
        </w:tc>
        <w:tc>
          <w:tcPr>
            <w:tcW w:w="1637"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0.500</w:t>
            </w:r>
          </w:p>
        </w:tc>
        <w:tc>
          <w:tcPr>
            <w:tcW w:w="2270"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w:t>
            </w:r>
          </w:p>
        </w:tc>
      </w:tr>
      <w:tr>
        <w:trPr>
          <w:trHeight w:val="345" w:hRule="atLeast"/>
        </w:trPr>
        <w:tc>
          <w:tcPr>
            <w:tcW w:w="2735"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J48</w:t>
            </w:r>
          </w:p>
        </w:tc>
        <w:tc>
          <w:tcPr>
            <w:tcW w:w="2051"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78.36</w:t>
            </w:r>
          </w:p>
        </w:tc>
        <w:tc>
          <w:tcPr>
            <w:tcW w:w="1637"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0.774</w:t>
            </w:r>
          </w:p>
        </w:tc>
        <w:tc>
          <w:tcPr>
            <w:tcW w:w="2270"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0.4098</w:t>
            </w:r>
          </w:p>
        </w:tc>
      </w:tr>
      <w:tr>
        <w:trPr>
          <w:trHeight w:val="360" w:hRule="atLeast"/>
        </w:trPr>
        <w:tc>
          <w:tcPr>
            <w:tcW w:w="2735" w:type="dxa"/>
            <w:tcBorders>
              <w:left w:val="single" w:sz="6" w:space="0" w:color="E0E0E0"/>
              <w:bottom w:val="single" w:sz="6" w:space="0" w:color="E0E0E0"/>
              <w:right w:val="single" w:sz="6" w:space="0" w:color="E0E0E0"/>
            </w:tcBorders>
          </w:tcPr>
          <w:p>
            <w:pPr>
              <w:pStyle w:val="Normal"/>
              <w:spacing w:lineRule="auto" w:line="360"/>
              <w:jc w:val="center"/>
              <w:rPr>
                <w:rFonts w:ascii="arial" w:hAnsi="arial"/>
                <w:sz w:val="18"/>
                <w:szCs w:val="18"/>
              </w:rPr>
            </w:pPr>
            <w:r>
              <w:rPr>
                <w:rFonts w:ascii="arial" w:hAnsi="arial"/>
                <w:sz w:val="18"/>
                <w:szCs w:val="18"/>
              </w:rPr>
              <w:t>Logistic Regression</w:t>
            </w:r>
          </w:p>
        </w:tc>
        <w:tc>
          <w:tcPr>
            <w:tcW w:w="2051" w:type="dxa"/>
            <w:tcBorders>
              <w:left w:val="single" w:sz="6" w:space="0" w:color="E0E0E0"/>
              <w:bottom w:val="single" w:sz="6" w:space="0" w:color="E0E0E0"/>
              <w:right w:val="single" w:sz="6" w:space="0" w:color="E0E0E0"/>
            </w:tcBorders>
          </w:tcPr>
          <w:p>
            <w:pPr>
              <w:pStyle w:val="Normal"/>
              <w:spacing w:lineRule="auto" w:line="360"/>
              <w:jc w:val="center"/>
              <w:rPr>
                <w:rFonts w:ascii="arial" w:hAnsi="arial"/>
                <w:sz w:val="18"/>
                <w:szCs w:val="18"/>
              </w:rPr>
            </w:pPr>
            <w:r>
              <w:rPr>
                <w:rFonts w:ascii="arial" w:hAnsi="arial"/>
                <w:sz w:val="18"/>
                <w:szCs w:val="18"/>
              </w:rPr>
              <w:t>80.48</w:t>
            </w:r>
          </w:p>
        </w:tc>
        <w:tc>
          <w:tcPr>
            <w:tcW w:w="1637" w:type="dxa"/>
            <w:tcBorders>
              <w:left w:val="single" w:sz="6" w:space="0" w:color="E0E0E0"/>
              <w:bottom w:val="single" w:sz="6" w:space="0" w:color="E0E0E0"/>
              <w:right w:val="single" w:sz="6" w:space="0" w:color="E0E0E0"/>
            </w:tcBorders>
          </w:tcPr>
          <w:p>
            <w:pPr>
              <w:pStyle w:val="Normal"/>
              <w:spacing w:lineRule="auto" w:line="360"/>
              <w:jc w:val="center"/>
              <w:rPr>
                <w:rFonts w:ascii="arial" w:hAnsi="arial"/>
                <w:sz w:val="18"/>
                <w:szCs w:val="18"/>
              </w:rPr>
            </w:pPr>
            <w:r>
              <w:rPr>
                <w:rFonts w:ascii="arial" w:hAnsi="arial"/>
                <w:sz w:val="18"/>
                <w:szCs w:val="18"/>
              </w:rPr>
              <w:t>0.845</w:t>
            </w:r>
          </w:p>
        </w:tc>
        <w:tc>
          <w:tcPr>
            <w:tcW w:w="2270" w:type="dxa"/>
            <w:tcBorders>
              <w:left w:val="single" w:sz="6" w:space="0" w:color="E0E0E0"/>
              <w:bottom w:val="single" w:sz="6" w:space="0" w:color="E0E0E0"/>
              <w:right w:val="single" w:sz="6" w:space="0" w:color="E0E0E0"/>
            </w:tcBorders>
          </w:tcPr>
          <w:p>
            <w:pPr>
              <w:pStyle w:val="Normal"/>
              <w:spacing w:lineRule="auto" w:line="360"/>
              <w:jc w:val="center"/>
              <w:rPr>
                <w:rFonts w:ascii="arial" w:hAnsi="arial"/>
                <w:sz w:val="18"/>
                <w:szCs w:val="18"/>
              </w:rPr>
            </w:pPr>
            <w:r>
              <w:rPr>
                <w:rFonts w:ascii="arial" w:hAnsi="arial"/>
                <w:sz w:val="18"/>
                <w:szCs w:val="18"/>
              </w:rPr>
              <w:t>0.4723</w:t>
            </w:r>
          </w:p>
        </w:tc>
      </w:tr>
      <w:tr>
        <w:trPr>
          <w:trHeight w:val="391" w:hRule="atLeast"/>
        </w:trPr>
        <w:tc>
          <w:tcPr>
            <w:tcW w:w="2735"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Random Forest</w:t>
            </w:r>
          </w:p>
        </w:tc>
        <w:tc>
          <w:tcPr>
            <w:tcW w:w="2051"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78.34</w:t>
            </w:r>
          </w:p>
        </w:tc>
        <w:tc>
          <w:tcPr>
            <w:tcW w:w="1637"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0.821</w:t>
            </w:r>
          </w:p>
        </w:tc>
        <w:tc>
          <w:tcPr>
            <w:tcW w:w="2270"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w:t>
            </w:r>
          </w:p>
        </w:tc>
      </w:tr>
      <w:tr>
        <w:trPr>
          <w:trHeight w:val="414" w:hRule="atLeast"/>
        </w:trPr>
        <w:tc>
          <w:tcPr>
            <w:tcW w:w="2735"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Naïve Bayes</w:t>
            </w:r>
          </w:p>
        </w:tc>
        <w:tc>
          <w:tcPr>
            <w:tcW w:w="2051"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73.36</w:t>
            </w:r>
          </w:p>
        </w:tc>
        <w:tc>
          <w:tcPr>
            <w:tcW w:w="1637"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0.818</w:t>
            </w:r>
          </w:p>
        </w:tc>
        <w:tc>
          <w:tcPr>
            <w:tcW w:w="2270" w:type="dxa"/>
            <w:tcBorders>
              <w:left w:val="single" w:sz="6" w:space="0" w:color="E0E0E0"/>
              <w:bottom w:val="single" w:sz="6" w:space="0" w:color="E0E0E0"/>
              <w:right w:val="single" w:sz="6" w:space="0" w:color="E0E0E0"/>
            </w:tcBorders>
          </w:tcPr>
          <w:p>
            <w:pPr>
              <w:pStyle w:val="Normal"/>
              <w:spacing w:lineRule="auto" w:line="360"/>
              <w:jc w:val="center"/>
              <w:rPr/>
            </w:pPr>
            <w:r>
              <w:rPr>
                <w:rFonts w:ascii="arial" w:hAnsi="arial"/>
                <w:b w:val="false"/>
                <w:bCs w:val="false"/>
                <w:i w:val="false"/>
                <w:iCs w:val="false"/>
                <w:caps w:val="false"/>
                <w:smallCaps w:val="false"/>
                <w:color w:val="000000"/>
                <w:sz w:val="18"/>
                <w:szCs w:val="18"/>
              </w:rPr>
              <w:t>—</w:t>
            </w:r>
          </w:p>
        </w:tc>
      </w:tr>
    </w:tbl>
    <w:p>
      <w:pPr>
        <w:pStyle w:val="Normal"/>
        <w:spacing w:lineRule="auto" w:line="360" w:before="120" w:after="120"/>
        <w:jc w:val="left"/>
        <w:rPr/>
      </w:pPr>
      <w:r>
        <w:rPr>
          <w:rFonts w:ascii="arial" w:hAnsi="arial"/>
          <w:b/>
          <w:bCs/>
          <w:i w:val="false"/>
          <w:iCs w:val="false"/>
          <w:sz w:val="18"/>
          <w:szCs w:val="18"/>
        </w:rPr>
        <w:t xml:space="preserve">                                 </w:t>
      </w:r>
      <w:r>
        <w:rPr>
          <w:rFonts w:ascii="arial" w:hAnsi="arial"/>
          <w:b/>
          <w:bCs/>
          <w:i w:val="false"/>
          <w:iCs w:val="false"/>
          <w:sz w:val="18"/>
          <w:szCs w:val="18"/>
        </w:rPr>
        <w:t xml:space="preserve">Table 2: </w:t>
      </w:r>
      <w:r>
        <w:rPr>
          <w:rFonts w:ascii="arial" w:hAnsi="arial"/>
          <w:b w:val="false"/>
          <w:bCs w:val="false"/>
          <w:i/>
          <w:iCs/>
          <w:sz w:val="18"/>
          <w:szCs w:val="18"/>
        </w:rPr>
        <w:t>Comparative Performance of Classification Algorithms</w:t>
      </w:r>
    </w:p>
    <w:p>
      <w:pPr>
        <w:pStyle w:val="Normal"/>
        <w:spacing w:lineRule="auto" w:line="360" w:before="120" w:after="120"/>
        <w:jc w:val="left"/>
        <w:rPr>
          <w:rFonts w:ascii="arial" w:hAnsi="arial"/>
          <w:sz w:val="22"/>
          <w:szCs w:val="22"/>
        </w:rPr>
      </w:pPr>
      <w:r>
        <w:rPr>
          <w:rFonts w:ascii="arial" w:hAnsi="arial"/>
          <w:sz w:val="22"/>
          <w:szCs w:val="22"/>
        </w:rPr>
        <w:t xml:space="preserve">The results indicate clear differences between the evaluated models. ZeroR produced the </w:t>
      </w:r>
    </w:p>
    <w:p>
      <w:pPr>
        <w:pStyle w:val="Normal"/>
        <w:spacing w:lineRule="auto" w:line="360" w:before="120" w:after="120"/>
        <w:jc w:val="left"/>
        <w:rPr>
          <w:rFonts w:ascii="arial" w:hAnsi="arial"/>
          <w:sz w:val="22"/>
          <w:szCs w:val="22"/>
        </w:rPr>
      </w:pPr>
      <w:r>
        <w:rPr>
          <w:rFonts w:ascii="arial" w:hAnsi="arial"/>
          <w:sz w:val="22"/>
          <w:szCs w:val="22"/>
        </w:rPr>
        <w:t xml:space="preserve">weakest performance because it predicted only the majority class. J48 improved classification </w:t>
      </w:r>
    </w:p>
    <w:p>
      <w:pPr>
        <w:pStyle w:val="Normal"/>
        <w:spacing w:lineRule="auto" w:line="360" w:before="120" w:after="120"/>
        <w:jc w:val="left"/>
        <w:rPr>
          <w:rFonts w:ascii="arial" w:hAnsi="arial"/>
          <w:sz w:val="22"/>
          <w:szCs w:val="22"/>
        </w:rPr>
      </w:pPr>
      <w:r>
        <w:rPr>
          <w:rFonts w:ascii="arial" w:hAnsi="arial"/>
          <w:sz w:val="22"/>
          <w:szCs w:val="22"/>
        </w:rPr>
        <w:t xml:space="preserve">while remaining easy to interpret, whereas Random Forest achieved competitive predictive </w:t>
      </w:r>
    </w:p>
    <w:p>
      <w:pPr>
        <w:pStyle w:val="Normal"/>
        <w:spacing w:lineRule="auto" w:line="360" w:before="120" w:after="120"/>
        <w:jc w:val="left"/>
        <w:rPr>
          <w:rFonts w:ascii="arial" w:hAnsi="arial"/>
          <w:sz w:val="22"/>
          <w:szCs w:val="22"/>
        </w:rPr>
      </w:pPr>
      <w:r>
        <w:rPr>
          <w:rFonts w:ascii="arial" w:hAnsi="arial"/>
          <w:sz w:val="22"/>
          <w:szCs w:val="22"/>
        </w:rPr>
        <w:t xml:space="preserve">performance through ensemble learning. Naïve Bayes provided acceptable discrimination </w:t>
      </w:r>
    </w:p>
    <w:p>
      <w:pPr>
        <w:pStyle w:val="Normal"/>
        <w:spacing w:lineRule="auto" w:line="360" w:before="120" w:after="120"/>
        <w:jc w:val="left"/>
        <w:rPr>
          <w:rFonts w:ascii="arial" w:hAnsi="arial"/>
          <w:sz w:val="22"/>
          <w:szCs w:val="22"/>
        </w:rPr>
      </w:pPr>
      <w:r>
        <w:rPr>
          <w:rFonts w:ascii="arial" w:hAnsi="arial"/>
          <w:sz w:val="22"/>
          <w:szCs w:val="22"/>
        </w:rPr>
        <w:t xml:space="preserve">despite lower overall accuracy. Logistic Regression achieved the strongest overall performance </w:t>
      </w:r>
    </w:p>
    <w:p>
      <w:pPr>
        <w:pStyle w:val="Normal"/>
        <w:spacing w:lineRule="auto" w:line="360" w:before="120" w:after="120"/>
        <w:jc w:val="left"/>
        <w:rPr>
          <w:rFonts w:ascii="arial" w:hAnsi="arial"/>
          <w:sz w:val="22"/>
          <w:szCs w:val="22"/>
        </w:rPr>
      </w:pPr>
      <w:r>
        <w:rPr>
          <w:rFonts w:ascii="arial" w:hAnsi="arial"/>
          <w:sz w:val="22"/>
          <w:szCs w:val="22"/>
        </w:rPr>
        <w:t xml:space="preserve">across the selected evaluation metrics, making it the most suitable model for predicting </w:t>
      </w:r>
    </w:p>
    <w:p>
      <w:pPr>
        <w:pStyle w:val="Normal"/>
        <w:spacing w:lineRule="auto" w:line="360" w:before="120" w:after="120"/>
        <w:jc w:val="left"/>
        <w:rPr>
          <w:rFonts w:ascii="arial" w:hAnsi="arial"/>
          <w:sz w:val="22"/>
          <w:szCs w:val="22"/>
        </w:rPr>
      </w:pPr>
      <w:r>
        <w:rPr>
          <w:rFonts w:ascii="arial" w:hAnsi="arial"/>
          <w:sz w:val="22"/>
          <w:szCs w:val="22"/>
        </w:rPr>
        <w:t xml:space="preserve">customer churn in this dataset. The Weka results were supported by Tableau visualisations. </w:t>
      </w:r>
    </w:p>
    <w:p>
      <w:pPr>
        <w:pStyle w:val="Normal"/>
        <w:spacing w:lineRule="auto" w:line="360" w:before="120" w:after="120"/>
        <w:jc w:val="left"/>
        <w:rPr>
          <w:rFonts w:ascii="arial" w:hAnsi="arial"/>
          <w:sz w:val="22"/>
          <w:szCs w:val="22"/>
        </w:rPr>
      </w:pPr>
      <w:r>
        <w:rPr>
          <w:rFonts w:ascii="arial" w:hAnsi="arial"/>
          <w:sz w:val="22"/>
          <w:szCs w:val="22"/>
        </w:rPr>
        <w:t xml:space="preserve">Figure 2 shows that 73.42% of customers remained with the provider, while 26.58% had </w:t>
      </w:r>
    </w:p>
    <w:p>
      <w:pPr>
        <w:pStyle w:val="Normal"/>
        <w:spacing w:lineRule="auto" w:line="360" w:before="120" w:after="120"/>
        <w:jc w:val="left"/>
        <w:rPr>
          <w:rFonts w:ascii="arial" w:hAnsi="arial"/>
          <w:sz w:val="22"/>
          <w:szCs w:val="22"/>
        </w:rPr>
      </w:pPr>
      <w:r>
        <w:rPr>
          <w:rFonts w:ascii="arial" w:hAnsi="arial"/>
          <w:sz w:val="22"/>
          <w:szCs w:val="22"/>
        </w:rPr>
        <w:t>churned, confirming a moderate class imbalance.</w:t>
      </w:r>
    </w:p>
    <w:p>
      <w:pPr>
        <w:pStyle w:val="Normal"/>
        <w:spacing w:lineRule="auto" w:line="360" w:before="120" w:after="120"/>
        <w:jc w:val="center"/>
        <w:rPr>
          <w:rFonts w:ascii="arial" w:hAnsi="arial"/>
          <w:sz w:val="22"/>
          <w:szCs w:val="22"/>
        </w:rPr>
      </w:pPr>
      <w:r>
        <w:rPr>
          <w:rFonts w:ascii="arial" w:hAnsi="arial"/>
          <w:sz w:val="22"/>
          <w:szCs w:val="22"/>
        </w:rPr>
        <w:drawing>
          <wp:anchor behindDoc="0" distT="0" distB="0" distL="0" distR="0" simplePos="0" locked="0" layoutInCell="0" allowOverlap="1" relativeHeight="3">
            <wp:simplePos x="0" y="0"/>
            <wp:positionH relativeFrom="column">
              <wp:posOffset>31115</wp:posOffset>
            </wp:positionH>
            <wp:positionV relativeFrom="paragraph">
              <wp:posOffset>-43180</wp:posOffset>
            </wp:positionV>
            <wp:extent cx="5373370" cy="2418715"/>
            <wp:effectExtent l="0" t="0" r="0" b="0"/>
            <wp:wrapSquare wrapText="largest"/>
            <wp:docPr id="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descr=""/>
                    <pic:cNvPicPr>
                      <a:picLocks noChangeAspect="1" noChangeArrowheads="1"/>
                    </pic:cNvPicPr>
                  </pic:nvPicPr>
                  <pic:blipFill>
                    <a:blip r:embed="rId4"/>
                    <a:stretch>
                      <a:fillRect/>
                    </a:stretch>
                  </pic:blipFill>
                  <pic:spPr bwMode="auto">
                    <a:xfrm>
                      <a:off x="0" y="0"/>
                      <a:ext cx="5373370" cy="2418715"/>
                    </a:xfrm>
                    <a:prstGeom prst="rect">
                      <a:avLst/>
                    </a:prstGeom>
                  </pic:spPr>
                </pic:pic>
              </a:graphicData>
            </a:graphic>
          </wp:anchor>
        </w:drawing>
      </w:r>
    </w:p>
    <w:p>
      <w:pPr>
        <w:pStyle w:val="Normal"/>
        <w:spacing w:lineRule="auto" w:line="360" w:before="120" w:after="120"/>
        <w:jc w:val="center"/>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i/>
          <w:i/>
          <w:iCs/>
          <w:sz w:val="18"/>
          <w:szCs w:val="18"/>
        </w:rPr>
      </w:pPr>
      <w:r>
        <w:rPr>
          <w:rFonts w:ascii="arial" w:hAnsi="arial"/>
          <w:i/>
          <w:iCs/>
          <w:sz w:val="18"/>
          <w:szCs w:val="18"/>
        </w:rPr>
      </w:r>
    </w:p>
    <w:p>
      <w:pPr>
        <w:pStyle w:val="Normal"/>
        <w:spacing w:lineRule="auto" w:line="360" w:before="120" w:after="120"/>
        <w:jc w:val="center"/>
        <w:rPr>
          <w:rFonts w:ascii="arial" w:hAnsi="arial"/>
          <w:i/>
          <w:i/>
          <w:iCs/>
          <w:sz w:val="18"/>
          <w:szCs w:val="18"/>
        </w:rPr>
      </w:pPr>
      <w:r>
        <w:rPr>
          <w:rFonts w:ascii="arial" w:hAnsi="arial"/>
          <w:i/>
          <w:iCs/>
          <w:sz w:val="18"/>
          <w:szCs w:val="18"/>
        </w:rPr>
      </w:r>
    </w:p>
    <w:p>
      <w:pPr>
        <w:pStyle w:val="Normal"/>
        <w:spacing w:lineRule="auto" w:line="360" w:before="120" w:after="120"/>
        <w:jc w:val="center"/>
        <w:rPr>
          <w:rFonts w:ascii="arial" w:hAnsi="arial"/>
          <w:sz w:val="22"/>
          <w:szCs w:val="22"/>
        </w:rPr>
      </w:pPr>
      <w:r>
        <w:rPr>
          <w:rFonts w:ascii="arial" w:hAnsi="arial"/>
          <w:sz w:val="22"/>
          <w:szCs w:val="22"/>
        </w:rPr>
      </w:r>
    </w:p>
    <w:p>
      <w:pPr>
        <w:pStyle w:val="Normal"/>
        <w:spacing w:lineRule="auto" w:line="360" w:before="120" w:after="120"/>
        <w:jc w:val="center"/>
        <w:rPr/>
      </w:pPr>
      <w:r>
        <w:rPr>
          <w:rFonts w:ascii="arial" w:hAnsi="arial"/>
          <w:b/>
          <w:bCs/>
          <w:i w:val="false"/>
          <w:iCs w:val="false"/>
          <w:sz w:val="18"/>
          <w:szCs w:val="18"/>
        </w:rPr>
        <w:t xml:space="preserve">Figure 2: </w:t>
      </w:r>
      <w:r>
        <w:rPr>
          <w:rFonts w:ascii="arial" w:hAnsi="arial"/>
          <w:i/>
          <w:iCs/>
          <w:sz w:val="18"/>
          <w:szCs w:val="18"/>
        </w:rPr>
        <w:t>Customer Churn Distribution.</w:t>
      </w:r>
    </w:p>
    <w:p>
      <w:pPr>
        <w:pStyle w:val="Normal"/>
        <w:spacing w:lineRule="auto" w:line="360" w:before="120" w:after="120"/>
        <w:jc w:val="left"/>
        <w:rPr>
          <w:rFonts w:ascii="arial" w:hAnsi="arial"/>
          <w:sz w:val="22"/>
          <w:szCs w:val="22"/>
        </w:rPr>
      </w:pPr>
      <w:r>
        <w:rPr>
          <w:rFonts w:ascii="arial" w:hAnsi="arial"/>
          <w:sz w:val="22"/>
          <w:szCs w:val="22"/>
        </w:rPr>
        <w:t xml:space="preserve">Further visual analysis identified the characteristics most strongly associated with churn. </w:t>
      </w:r>
    </w:p>
    <w:p>
      <w:pPr>
        <w:pStyle w:val="Normal"/>
        <w:spacing w:lineRule="auto" w:line="360" w:before="120" w:after="120"/>
        <w:jc w:val="left"/>
        <w:rPr>
          <w:rFonts w:ascii="arial" w:hAnsi="arial"/>
          <w:sz w:val="22"/>
          <w:szCs w:val="22"/>
        </w:rPr>
      </w:pPr>
      <w:r>
        <w:rPr>
          <w:rFonts w:ascii="arial" w:hAnsi="arial"/>
          <w:sz w:val="22"/>
          <w:szCs w:val="22"/>
        </w:rPr>
        <w:t xml:space="preserve">Customers on month-to-month contracts experienced considerably higher churn rates than </w:t>
      </w:r>
    </w:p>
    <w:p>
      <w:pPr>
        <w:pStyle w:val="Normal"/>
        <w:spacing w:lineRule="auto" w:line="360" w:before="120" w:after="120"/>
        <w:jc w:val="left"/>
        <w:rPr/>
      </w:pPr>
      <w:r>
        <w:rPr>
          <w:rFonts w:ascii="arial" w:hAnsi="arial"/>
          <w:sz w:val="22"/>
          <w:szCs w:val="22"/>
        </w:rPr>
        <w:t>those with longer contracts (Figure 3).</w:t>
      </w:r>
    </w:p>
    <w:p>
      <w:pPr>
        <w:pStyle w:val="Normal"/>
        <w:spacing w:lineRule="auto" w:line="360" w:before="120" w:after="120"/>
        <w:jc w:val="center"/>
        <w:rPr/>
      </w:pPr>
      <w:r>
        <w:drawing>
          <wp:anchor behindDoc="0" distT="0" distB="0" distL="0" distR="0" simplePos="0" locked="0" layoutInCell="0" allowOverlap="1" relativeHeight="4">
            <wp:simplePos x="0" y="0"/>
            <wp:positionH relativeFrom="column">
              <wp:posOffset>314325</wp:posOffset>
            </wp:positionH>
            <wp:positionV relativeFrom="paragraph">
              <wp:posOffset>635</wp:posOffset>
            </wp:positionV>
            <wp:extent cx="5198110" cy="3223260"/>
            <wp:effectExtent l="0" t="0" r="0" b="0"/>
            <wp:wrapSquare wrapText="largest"/>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5"/>
                    <a:stretch>
                      <a:fillRect/>
                    </a:stretch>
                  </pic:blipFill>
                  <pic:spPr bwMode="auto">
                    <a:xfrm>
                      <a:off x="0" y="0"/>
                      <a:ext cx="5198110" cy="3223260"/>
                    </a:xfrm>
                    <a:prstGeom prst="rect">
                      <a:avLst/>
                    </a:prstGeom>
                  </pic:spPr>
                </pic:pic>
              </a:graphicData>
            </a:graphic>
          </wp:anchor>
        </w:drawing>
      </w:r>
      <w:r>
        <w:rPr>
          <w:rFonts w:ascii="arial" w:hAnsi="arial"/>
          <w:b/>
          <w:bCs/>
          <w:i w:val="false"/>
          <w:iCs w:val="false"/>
          <w:sz w:val="18"/>
          <w:szCs w:val="18"/>
        </w:rPr>
        <w:t xml:space="preserve">   </w:t>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b/>
          <w:bCs/>
          <w:i w:val="false"/>
          <w:i w:val="false"/>
          <w:iCs w:val="false"/>
          <w:sz w:val="18"/>
          <w:szCs w:val="18"/>
        </w:rPr>
      </w:pPr>
      <w:r>
        <w:rPr>
          <w:b/>
          <w:bCs/>
          <w:i w:val="false"/>
          <w:iCs w:val="false"/>
          <w:sz w:val="18"/>
          <w:szCs w:val="18"/>
        </w:rPr>
      </w:r>
    </w:p>
    <w:p>
      <w:pPr>
        <w:pStyle w:val="Normal"/>
        <w:spacing w:lineRule="auto" w:line="360" w:before="120" w:after="120"/>
        <w:jc w:val="center"/>
        <w:rPr/>
      </w:pPr>
      <w:r>
        <w:rPr>
          <w:rFonts w:ascii="arial" w:hAnsi="arial"/>
          <w:b/>
          <w:bCs/>
          <w:i w:val="false"/>
          <w:iCs w:val="false"/>
          <w:sz w:val="18"/>
          <w:szCs w:val="18"/>
        </w:rPr>
        <w:t xml:space="preserve">            </w:t>
      </w:r>
    </w:p>
    <w:p>
      <w:pPr>
        <w:pStyle w:val="Normal"/>
        <w:spacing w:lineRule="auto" w:line="360" w:before="120" w:after="120"/>
        <w:jc w:val="center"/>
        <w:rPr/>
      </w:pPr>
      <w:r>
        <w:rPr>
          <w:rFonts w:ascii="arial" w:hAnsi="arial"/>
          <w:b/>
          <w:bCs/>
          <w:i w:val="false"/>
          <w:iCs w:val="false"/>
          <w:sz w:val="18"/>
          <w:szCs w:val="18"/>
        </w:rPr>
        <w:t xml:space="preserve">Figure 3. </w:t>
      </w:r>
      <w:r>
        <w:rPr>
          <w:rFonts w:ascii="arial" w:hAnsi="arial"/>
          <w:b w:val="false"/>
          <w:bCs w:val="false"/>
          <w:i/>
          <w:iCs/>
          <w:sz w:val="18"/>
          <w:szCs w:val="18"/>
        </w:rPr>
        <w:t>Customer churn by contract type.</w:t>
      </w:r>
    </w:p>
    <w:p>
      <w:pPr>
        <w:pStyle w:val="Normal"/>
        <w:spacing w:lineRule="auto" w:line="360" w:before="120" w:after="120"/>
        <w:jc w:val="left"/>
        <w:rPr>
          <w:rFonts w:ascii="arial" w:hAnsi="arial"/>
          <w:sz w:val="22"/>
          <w:szCs w:val="22"/>
        </w:rPr>
      </w:pPr>
      <w:r>
        <w:rPr>
          <w:rFonts w:ascii="arial" w:hAnsi="arial"/>
          <w:sz w:val="22"/>
          <w:szCs w:val="22"/>
        </w:rPr>
        <w:t>Figure 4 illustrates customer churn by internet service type</w:t>
      </w:r>
    </w:p>
    <w:p>
      <w:pPr>
        <w:pStyle w:val="Normal"/>
        <w:spacing w:lineRule="auto" w:line="360" w:before="120" w:after="120"/>
        <w:jc w:val="left"/>
        <w:rPr>
          <w:rFonts w:ascii="arial" w:hAnsi="arial"/>
          <w:sz w:val="22"/>
          <w:szCs w:val="22"/>
        </w:rPr>
      </w:pPr>
      <w:r>
        <w:rPr/>
        <w:drawing>
          <wp:anchor behindDoc="0" distT="0" distB="0" distL="0" distR="0" simplePos="0" locked="0" layoutInCell="0" allowOverlap="1" relativeHeight="5">
            <wp:simplePos x="0" y="0"/>
            <wp:positionH relativeFrom="column">
              <wp:posOffset>403225</wp:posOffset>
            </wp:positionH>
            <wp:positionV relativeFrom="paragraph">
              <wp:posOffset>-24130</wp:posOffset>
            </wp:positionV>
            <wp:extent cx="5608320" cy="2807335"/>
            <wp:effectExtent l="0" t="0" r="0" b="0"/>
            <wp:wrapSquare wrapText="largest"/>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6"/>
                    <a:stretch>
                      <a:fillRect/>
                    </a:stretch>
                  </pic:blipFill>
                  <pic:spPr bwMode="auto">
                    <a:xfrm>
                      <a:off x="0" y="0"/>
                      <a:ext cx="5608320" cy="2807335"/>
                    </a:xfrm>
                    <a:prstGeom prst="rect">
                      <a:avLst/>
                    </a:prstGeom>
                  </pic:spPr>
                </pic:pic>
              </a:graphicData>
            </a:graphic>
          </wp:anchor>
        </w:drawing>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18"/>
          <w:szCs w:val="18"/>
        </w:rPr>
      </w:pPr>
      <w:r>
        <w:rPr>
          <w:rFonts w:ascii="arial" w:hAnsi="arial"/>
          <w:b/>
          <w:bCs/>
          <w:sz w:val="18"/>
          <w:szCs w:val="18"/>
        </w:rPr>
        <w:t xml:space="preserve"> </w:t>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18"/>
          <w:szCs w:val="18"/>
        </w:rPr>
      </w:pPr>
      <w:r>
        <w:rPr>
          <w:rFonts w:ascii="arial" w:hAnsi="arial"/>
          <w:b/>
          <w:bCs/>
          <w:sz w:val="18"/>
          <w:szCs w:val="18"/>
        </w:rPr>
        <w:t>Figure 4:</w:t>
      </w:r>
      <w:r>
        <w:rPr>
          <w:rFonts w:ascii="arial" w:hAnsi="arial"/>
          <w:sz w:val="18"/>
          <w:szCs w:val="18"/>
        </w:rPr>
        <w:t xml:space="preserve"> Customer churn by internet service</w:t>
      </w:r>
    </w:p>
    <w:p>
      <w:pPr>
        <w:pStyle w:val="Normal"/>
        <w:spacing w:lineRule="auto" w:line="360" w:before="120" w:after="120"/>
        <w:jc w:val="left"/>
        <w:rPr>
          <w:rFonts w:ascii="arial" w:hAnsi="arial"/>
          <w:sz w:val="22"/>
          <w:szCs w:val="22"/>
        </w:rPr>
      </w:pPr>
      <w:r>
        <w:rPr>
          <w:rFonts w:ascii="arial" w:hAnsi="arial"/>
          <w:sz w:val="22"/>
          <w:szCs w:val="22"/>
        </w:rPr>
        <w:t>Customer churn by payment method is shown in Figure 5</w:t>
      </w:r>
    </w:p>
    <w:p>
      <w:pPr>
        <w:pStyle w:val="Normal"/>
        <w:spacing w:lineRule="auto" w:line="360" w:before="120" w:after="120"/>
        <w:jc w:val="left"/>
        <w:rPr>
          <w:rFonts w:ascii="arial" w:hAnsi="arial"/>
          <w:sz w:val="22"/>
          <w:szCs w:val="22"/>
        </w:rPr>
      </w:pPr>
      <w:r>
        <w:rPr>
          <w:rFonts w:ascii="arial" w:hAnsi="arial"/>
          <w:sz w:val="22"/>
          <w:szCs w:val="22"/>
        </w:rPr>
        <w:drawing>
          <wp:anchor behindDoc="0" distT="0" distB="0" distL="0" distR="0" simplePos="0" locked="0" layoutInCell="0" allowOverlap="1" relativeHeight="6">
            <wp:simplePos x="0" y="0"/>
            <wp:positionH relativeFrom="column">
              <wp:posOffset>365125</wp:posOffset>
            </wp:positionH>
            <wp:positionV relativeFrom="paragraph">
              <wp:posOffset>-27940</wp:posOffset>
            </wp:positionV>
            <wp:extent cx="5370830" cy="2792095"/>
            <wp:effectExtent l="0" t="0" r="0" b="0"/>
            <wp:wrapSquare wrapText="largest"/>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7"/>
                    <a:stretch>
                      <a:fillRect/>
                    </a:stretch>
                  </pic:blipFill>
                  <pic:spPr bwMode="auto">
                    <a:xfrm>
                      <a:off x="0" y="0"/>
                      <a:ext cx="5370830" cy="2792095"/>
                    </a:xfrm>
                    <a:prstGeom prst="rect">
                      <a:avLst/>
                    </a:prstGeom>
                  </pic:spPr>
                </pic:pic>
              </a:graphicData>
            </a:graphic>
          </wp:anchor>
        </w:drawing>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18"/>
          <w:szCs w:val="18"/>
        </w:rPr>
      </w:pPr>
      <w:r>
        <w:rPr>
          <w:rFonts w:ascii="arial" w:hAnsi="arial"/>
          <w:b/>
          <w:bCs/>
          <w:sz w:val="18"/>
          <w:szCs w:val="18"/>
        </w:rPr>
        <w:t xml:space="preserve">   </w:t>
      </w:r>
    </w:p>
    <w:p>
      <w:pPr>
        <w:pStyle w:val="Normal"/>
        <w:spacing w:lineRule="auto" w:line="360" w:before="120" w:after="120"/>
        <w:jc w:val="left"/>
        <w:rPr>
          <w:rFonts w:ascii="arial" w:hAnsi="arial"/>
          <w:sz w:val="18"/>
          <w:szCs w:val="18"/>
        </w:rPr>
      </w:pPr>
      <w:r>
        <w:rPr>
          <w:rFonts w:ascii="arial" w:hAnsi="arial"/>
          <w:b/>
          <w:bCs/>
          <w:sz w:val="18"/>
          <w:szCs w:val="18"/>
        </w:rPr>
        <w:t xml:space="preserve">      </w:t>
      </w:r>
    </w:p>
    <w:p>
      <w:pPr>
        <w:pStyle w:val="Normal"/>
        <w:spacing w:lineRule="auto" w:line="360" w:before="120" w:after="120"/>
        <w:jc w:val="left"/>
        <w:rPr>
          <w:rFonts w:ascii="arial" w:hAnsi="arial"/>
          <w:sz w:val="18"/>
          <w:szCs w:val="18"/>
        </w:rPr>
      </w:pPr>
      <w:r>
        <w:rPr>
          <w:rFonts w:ascii="arial" w:hAnsi="arial"/>
          <w:b/>
          <w:bCs/>
          <w:sz w:val="18"/>
          <w:szCs w:val="18"/>
        </w:rPr>
        <w:t xml:space="preserve"> </w:t>
      </w:r>
    </w:p>
    <w:p>
      <w:pPr>
        <w:pStyle w:val="Normal"/>
        <w:spacing w:lineRule="auto" w:line="360" w:before="120" w:after="120"/>
        <w:jc w:val="left"/>
        <w:rPr>
          <w:b/>
          <w:bCs/>
        </w:rPr>
      </w:pPr>
      <w:r>
        <w:rPr>
          <w:b/>
          <w:bCs/>
        </w:rPr>
      </w:r>
    </w:p>
    <w:p>
      <w:pPr>
        <w:pStyle w:val="Normal"/>
        <w:spacing w:lineRule="auto" w:line="360" w:before="120" w:after="120"/>
        <w:jc w:val="left"/>
        <w:rPr>
          <w:b/>
          <w:bCs/>
        </w:rPr>
      </w:pPr>
      <w:r>
        <w:rPr>
          <w:b/>
          <w:bCs/>
        </w:rPr>
      </w:r>
    </w:p>
    <w:p>
      <w:pPr>
        <w:pStyle w:val="Normal"/>
        <w:spacing w:lineRule="auto" w:line="360" w:before="120" w:after="120"/>
        <w:jc w:val="left"/>
        <w:rPr>
          <w:i/>
          <w:i/>
          <w:iCs/>
        </w:rPr>
      </w:pPr>
      <w:r>
        <w:rPr>
          <w:i/>
          <w:iCs/>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22"/>
          <w:szCs w:val="22"/>
        </w:rPr>
      </w:pPr>
      <w:r>
        <w:rPr>
          <w:rFonts w:ascii="arial" w:hAnsi="arial"/>
          <w:b/>
          <w:bCs/>
          <w:sz w:val="18"/>
          <w:szCs w:val="18"/>
        </w:rPr>
        <w:t>Figure 5:</w:t>
      </w:r>
      <w:r>
        <w:rPr>
          <w:rFonts w:ascii="arial" w:hAnsi="arial"/>
          <w:sz w:val="18"/>
          <w:szCs w:val="18"/>
        </w:rPr>
        <w:t xml:space="preserve"> </w:t>
      </w:r>
      <w:r>
        <w:rPr>
          <w:rFonts w:ascii="arial" w:hAnsi="arial"/>
          <w:i/>
          <w:iCs/>
          <w:sz w:val="18"/>
          <w:szCs w:val="18"/>
        </w:rPr>
        <w:t>Customer churn by payment method.</w:t>
      </w:r>
    </w:p>
    <w:p>
      <w:pPr>
        <w:pStyle w:val="Normal"/>
        <w:spacing w:lineRule="auto" w:line="360" w:before="120" w:after="120"/>
        <w:jc w:val="left"/>
        <w:rPr>
          <w:rFonts w:ascii="arial" w:hAnsi="arial"/>
          <w:sz w:val="22"/>
          <w:szCs w:val="22"/>
        </w:rPr>
      </w:pPr>
      <w:r>
        <w:rPr>
          <w:rFonts w:ascii="arial" w:hAnsi="arial"/>
          <w:sz w:val="22"/>
          <w:szCs w:val="22"/>
        </w:rPr>
        <w:t xml:space="preserve">Finally, customers with shorter service tenure were more likely to leave the provider than long-term subscribers (Figure 6). </w:t>
      </w:r>
    </w:p>
    <w:p>
      <w:pPr>
        <w:pStyle w:val="Normal"/>
        <w:spacing w:lineRule="auto" w:line="360" w:before="120" w:after="120"/>
        <w:jc w:val="left"/>
        <w:rPr>
          <w:i/>
          <w:i/>
          <w:iCs/>
        </w:rPr>
      </w:pPr>
      <w:r>
        <w:rPr>
          <w:i/>
          <w:iCs/>
        </w:rPr>
        <w:drawing>
          <wp:anchor behindDoc="0" distT="0" distB="0" distL="0" distR="0" simplePos="0" locked="0" layoutInCell="0" allowOverlap="1" relativeHeight="7">
            <wp:simplePos x="0" y="0"/>
            <wp:positionH relativeFrom="column">
              <wp:posOffset>521970</wp:posOffset>
            </wp:positionH>
            <wp:positionV relativeFrom="paragraph">
              <wp:posOffset>-66040</wp:posOffset>
            </wp:positionV>
            <wp:extent cx="5136515" cy="2887980"/>
            <wp:effectExtent l="0" t="0" r="0" b="0"/>
            <wp:wrapSquare wrapText="largest"/>
            <wp:docPr id="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descr=""/>
                    <pic:cNvPicPr>
                      <a:picLocks noChangeAspect="1" noChangeArrowheads="1"/>
                    </pic:cNvPicPr>
                  </pic:nvPicPr>
                  <pic:blipFill>
                    <a:blip r:embed="rId8"/>
                    <a:stretch>
                      <a:fillRect/>
                    </a:stretch>
                  </pic:blipFill>
                  <pic:spPr bwMode="auto">
                    <a:xfrm>
                      <a:off x="0" y="0"/>
                      <a:ext cx="5136515" cy="2887980"/>
                    </a:xfrm>
                    <a:prstGeom prst="rect">
                      <a:avLst/>
                    </a:prstGeom>
                  </pic:spPr>
                </pic:pic>
              </a:graphicData>
            </a:graphic>
          </wp:anchor>
        </w:drawing>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center"/>
        <w:rPr>
          <w:rFonts w:ascii="arial" w:hAnsi="arial"/>
          <w:sz w:val="22"/>
          <w:szCs w:val="22"/>
        </w:rPr>
      </w:pPr>
      <w:r>
        <w:rPr>
          <w:rFonts w:ascii="arial" w:hAnsi="arial"/>
          <w:sz w:val="22"/>
          <w:szCs w:val="22"/>
        </w:rPr>
        <w:t xml:space="preserve"> </w:t>
      </w:r>
      <w:r>
        <w:rPr>
          <w:rFonts w:ascii="arial" w:hAnsi="arial"/>
          <w:b/>
          <w:bCs/>
          <w:sz w:val="18"/>
          <w:szCs w:val="18"/>
        </w:rPr>
        <w:t>Figure 6:</w:t>
      </w:r>
      <w:r>
        <w:rPr>
          <w:rFonts w:ascii="arial" w:hAnsi="arial"/>
          <w:sz w:val="18"/>
          <w:szCs w:val="18"/>
        </w:rPr>
        <w:t xml:space="preserve"> </w:t>
      </w:r>
      <w:r>
        <w:rPr>
          <w:rFonts w:ascii="arial" w:hAnsi="arial"/>
          <w:i/>
          <w:iCs/>
          <w:sz w:val="18"/>
          <w:szCs w:val="18"/>
        </w:rPr>
        <w:t>Customer churn by tenure.</w:t>
      </w:r>
    </w:p>
    <w:p>
      <w:pPr>
        <w:pStyle w:val="Normal"/>
        <w:spacing w:lineRule="auto" w:line="360" w:before="120" w:after="120"/>
        <w:jc w:val="left"/>
        <w:rPr>
          <w:rFonts w:ascii="arial" w:hAnsi="arial"/>
          <w:sz w:val="22"/>
          <w:szCs w:val="22"/>
        </w:rPr>
      </w:pPr>
      <w:r>
        <w:rPr>
          <w:rFonts w:ascii="arial" w:hAnsi="arial"/>
          <w:sz w:val="22"/>
          <w:szCs w:val="22"/>
        </w:rPr>
        <w:t>These findings are consistent with the Weka classification results, reinforcing that service tenure is a key factor associated with customer churn and supporting the business recommendations presented in the following section.</w:t>
      </w:r>
    </w:p>
    <w:p>
      <w:pPr>
        <w:pStyle w:val="Heading1"/>
        <w:rPr>
          <w:sz w:val="32"/>
          <w:szCs w:val="32"/>
        </w:rPr>
      </w:pPr>
      <w:bookmarkStart w:id="6" w:name="__RefHeading___Toc409_889290767"/>
      <w:bookmarkEnd w:id="6"/>
      <w:r>
        <w:rPr>
          <w:kern w:val="0"/>
          <w:sz w:val="32"/>
          <w:szCs w:val="32"/>
          <w:lang w:val="en-US" w:eastAsia="en-US" w:bidi="ar-SA"/>
        </w:rPr>
        <w:t>3. Business Recommendations</w:t>
      </w:r>
    </w:p>
    <w:p>
      <w:pPr>
        <w:pStyle w:val="Normal"/>
        <w:spacing w:lineRule="auto" w:line="360" w:before="120" w:after="120"/>
        <w:jc w:val="left"/>
        <w:rPr/>
      </w:pPr>
      <w:r>
        <w:rPr>
          <w:rFonts w:ascii="arial" w:hAnsi="arial"/>
          <w:sz w:val="22"/>
          <w:szCs w:val="22"/>
        </w:rPr>
        <w:t xml:space="preserve">The comparative analysis demonstrated that data mining can provide valuable support for </w:t>
      </w:r>
    </w:p>
    <w:p>
      <w:pPr>
        <w:pStyle w:val="Normal"/>
        <w:spacing w:lineRule="auto" w:line="360" w:before="120" w:after="120"/>
        <w:jc w:val="left"/>
        <w:rPr/>
      </w:pPr>
      <w:r>
        <w:rPr>
          <w:rFonts w:ascii="arial" w:hAnsi="arial"/>
          <w:sz w:val="22"/>
          <w:szCs w:val="22"/>
        </w:rPr>
        <w:t xml:space="preserve">customer retention by identifying customers with a higher probability of churn before they </w:t>
      </w:r>
    </w:p>
    <w:p>
      <w:pPr>
        <w:pStyle w:val="Normal"/>
        <w:spacing w:lineRule="auto" w:line="360" w:before="120" w:after="120"/>
        <w:jc w:val="left"/>
        <w:rPr/>
      </w:pPr>
      <w:r>
        <w:rPr>
          <w:rFonts w:ascii="arial" w:hAnsi="arial"/>
          <w:sz w:val="22"/>
          <w:szCs w:val="22"/>
        </w:rPr>
        <w:t xml:space="preserve">discontinue the service. Although all classification algorithms improved upon the ZeroR </w:t>
      </w:r>
    </w:p>
    <w:p>
      <w:pPr>
        <w:pStyle w:val="Normal"/>
        <w:spacing w:lineRule="auto" w:line="360" w:before="120" w:after="120"/>
        <w:jc w:val="left"/>
        <w:rPr/>
      </w:pPr>
      <w:r>
        <w:rPr>
          <w:rFonts w:ascii="arial" w:hAnsi="arial"/>
          <w:sz w:val="22"/>
          <w:szCs w:val="22"/>
        </w:rPr>
        <w:t xml:space="preserve">baseline, Logistic Regression achieved the strongest overall predictive performance, making it </w:t>
      </w:r>
    </w:p>
    <w:p>
      <w:pPr>
        <w:pStyle w:val="Normal"/>
        <w:spacing w:lineRule="auto" w:line="360" w:before="120" w:after="120"/>
        <w:jc w:val="left"/>
        <w:rPr/>
      </w:pPr>
      <w:r>
        <w:rPr>
          <w:rFonts w:ascii="arial" w:hAnsi="arial"/>
          <w:sz w:val="22"/>
          <w:szCs w:val="22"/>
        </w:rPr>
        <w:t xml:space="preserve">the most suitable model for this dataset. However, model selection should also consider </w:t>
      </w:r>
    </w:p>
    <w:p>
      <w:pPr>
        <w:pStyle w:val="Normal"/>
        <w:spacing w:lineRule="auto" w:line="360" w:before="120" w:after="120"/>
        <w:jc w:val="left"/>
        <w:rPr/>
      </w:pPr>
      <w:r>
        <w:rPr>
          <w:rFonts w:ascii="arial" w:hAnsi="arial"/>
          <w:sz w:val="22"/>
          <w:szCs w:val="22"/>
        </w:rPr>
        <w:t xml:space="preserve">business requirements such as interpretability, computational efficiency and ease of </w:t>
      </w:r>
    </w:p>
    <w:p>
      <w:pPr>
        <w:pStyle w:val="Normal"/>
        <w:spacing w:lineRule="auto" w:line="360" w:before="120" w:after="120"/>
        <w:jc w:val="left"/>
        <w:rPr/>
      </w:pPr>
      <w:r>
        <w:rPr>
          <w:rFonts w:ascii="arial" w:hAnsi="arial"/>
          <w:sz w:val="22"/>
          <w:szCs w:val="22"/>
        </w:rPr>
        <w:t>implementation rather than just relying on predictive accuracy.</w:t>
      </w:r>
    </w:p>
    <w:p>
      <w:pPr>
        <w:pStyle w:val="Normal"/>
        <w:spacing w:lineRule="auto" w:line="360" w:before="120" w:after="120"/>
        <w:jc w:val="left"/>
        <w:rPr/>
      </w:pPr>
      <w:r>
        <w:rPr>
          <w:rFonts w:ascii="arial" w:hAnsi="arial"/>
          <w:sz w:val="22"/>
          <w:szCs w:val="22"/>
        </w:rPr>
        <w:t xml:space="preserve">The findings suggest that organisations should prioritise customers identified as high risk for </w:t>
      </w:r>
    </w:p>
    <w:p>
      <w:pPr>
        <w:pStyle w:val="Normal"/>
        <w:spacing w:lineRule="auto" w:line="360" w:before="120" w:after="120"/>
        <w:jc w:val="left"/>
        <w:rPr/>
      </w:pPr>
      <w:r>
        <w:rPr>
          <w:rFonts w:ascii="arial" w:hAnsi="arial"/>
          <w:sz w:val="22"/>
          <w:szCs w:val="22"/>
        </w:rPr>
        <w:t xml:space="preserve">proactive retention initiatives. These may include personalised pricing offers, contract renewal </w:t>
      </w:r>
    </w:p>
    <w:p>
      <w:pPr>
        <w:pStyle w:val="Normal"/>
        <w:spacing w:lineRule="auto" w:line="360" w:before="120" w:after="120"/>
        <w:jc w:val="left"/>
        <w:rPr/>
      </w:pPr>
      <w:r>
        <w:rPr>
          <w:rFonts w:ascii="arial" w:hAnsi="arial"/>
          <w:sz w:val="22"/>
          <w:szCs w:val="22"/>
        </w:rPr>
        <w:t xml:space="preserve">incentives, loyalty rewards or enhanced customer support before the contract expires. Such </w:t>
      </w:r>
    </w:p>
    <w:p>
      <w:pPr>
        <w:pStyle w:val="Normal"/>
        <w:spacing w:lineRule="auto" w:line="360" w:before="120" w:after="120"/>
        <w:jc w:val="left"/>
        <w:rPr/>
      </w:pPr>
      <w:r>
        <w:rPr>
          <w:rFonts w:ascii="arial" w:hAnsi="arial"/>
          <w:sz w:val="22"/>
          <w:szCs w:val="22"/>
        </w:rPr>
        <w:t xml:space="preserve">targeted interventions allow organisations to allocate retention resources more efficiently while </w:t>
      </w:r>
    </w:p>
    <w:p>
      <w:pPr>
        <w:pStyle w:val="Normal"/>
        <w:spacing w:lineRule="auto" w:line="360" w:before="120" w:after="120"/>
        <w:jc w:val="left"/>
        <w:rPr/>
      </w:pPr>
      <w:r>
        <w:rPr>
          <w:rFonts w:ascii="arial" w:hAnsi="arial"/>
          <w:sz w:val="22"/>
          <w:szCs w:val="22"/>
        </w:rPr>
        <w:t xml:space="preserve">reducing the costs associated with acquiring new customers. By focusing on customers who are </w:t>
      </w:r>
    </w:p>
    <w:p>
      <w:pPr>
        <w:pStyle w:val="Normal"/>
        <w:spacing w:lineRule="auto" w:line="360" w:before="120" w:after="120"/>
        <w:jc w:val="left"/>
        <w:rPr/>
      </w:pPr>
      <w:r>
        <w:rPr>
          <w:rFonts w:ascii="arial" w:hAnsi="arial"/>
          <w:sz w:val="22"/>
          <w:szCs w:val="22"/>
        </w:rPr>
        <w:t xml:space="preserve">most likely to leave, organisations can improve retention rates without applying costly incentives </w:t>
      </w:r>
    </w:p>
    <w:p>
      <w:pPr>
        <w:pStyle w:val="Normal"/>
        <w:spacing w:lineRule="auto" w:line="360" w:before="120" w:after="120"/>
        <w:jc w:val="left"/>
        <w:rPr/>
      </w:pPr>
      <w:r>
        <w:rPr>
          <w:rFonts w:ascii="arial" w:hAnsi="arial"/>
          <w:sz w:val="22"/>
          <w:szCs w:val="22"/>
        </w:rPr>
        <w:t>across the entire customer base.</w:t>
      </w:r>
    </w:p>
    <w:p>
      <w:pPr>
        <w:pStyle w:val="Normal"/>
        <w:spacing w:lineRule="auto" w:line="360" w:before="120" w:after="120"/>
        <w:jc w:val="left"/>
        <w:rPr/>
      </w:pPr>
      <w:r>
        <w:rPr>
          <w:rFonts w:ascii="arial" w:hAnsi="arial"/>
          <w:sz w:val="22"/>
          <w:szCs w:val="22"/>
        </w:rPr>
        <w:t xml:space="preserve">Exploratory analysis also identified several customer characteristics associated with higher </w:t>
      </w:r>
    </w:p>
    <w:p>
      <w:pPr>
        <w:pStyle w:val="Normal"/>
        <w:spacing w:lineRule="auto" w:line="360" w:before="120" w:after="120"/>
        <w:jc w:val="left"/>
        <w:rPr/>
      </w:pPr>
      <w:r>
        <w:rPr>
          <w:rFonts w:ascii="arial" w:hAnsi="arial"/>
          <w:sz w:val="22"/>
          <w:szCs w:val="22"/>
        </w:rPr>
        <w:t xml:space="preserve">churn. Customers with month-to-month contracts, short service tenure, fibre optic internet </w:t>
      </w:r>
    </w:p>
    <w:p>
      <w:pPr>
        <w:pStyle w:val="Normal"/>
        <w:spacing w:lineRule="auto" w:line="360" w:before="120" w:after="120"/>
        <w:jc w:val="left"/>
        <w:rPr/>
      </w:pPr>
      <w:r>
        <w:rPr>
          <w:rFonts w:ascii="arial" w:hAnsi="arial"/>
          <w:sz w:val="22"/>
          <w:szCs w:val="22"/>
        </w:rPr>
        <w:t xml:space="preserve">services and electronic cheque payment methods were more likely to discontinue their </w:t>
      </w:r>
    </w:p>
    <w:p>
      <w:pPr>
        <w:pStyle w:val="Normal"/>
        <w:spacing w:lineRule="auto" w:line="360" w:before="120" w:after="120"/>
        <w:jc w:val="left"/>
        <w:rPr/>
      </w:pPr>
      <w:r>
        <w:rPr>
          <w:rFonts w:ascii="arial" w:hAnsi="arial"/>
          <w:sz w:val="22"/>
          <w:szCs w:val="22"/>
        </w:rPr>
        <w:t xml:space="preserve">subscriptions. These behavioural patterns provide useful business intelligence that can support </w:t>
      </w:r>
    </w:p>
    <w:p>
      <w:pPr>
        <w:pStyle w:val="Normal"/>
        <w:spacing w:lineRule="auto" w:line="360" w:before="120" w:after="120"/>
        <w:jc w:val="left"/>
        <w:rPr/>
      </w:pPr>
      <w:r>
        <w:rPr>
          <w:rFonts w:ascii="arial" w:hAnsi="arial"/>
          <w:sz w:val="22"/>
          <w:szCs w:val="22"/>
        </w:rPr>
        <w:t xml:space="preserve">customer relationship management. For example, organisations may encourage customers to </w:t>
      </w:r>
    </w:p>
    <w:p>
      <w:pPr>
        <w:pStyle w:val="Normal"/>
        <w:spacing w:lineRule="auto" w:line="360" w:before="120" w:after="120"/>
        <w:jc w:val="left"/>
        <w:rPr/>
      </w:pPr>
      <w:r>
        <w:rPr>
          <w:rFonts w:ascii="arial" w:hAnsi="arial"/>
          <w:sz w:val="22"/>
          <w:szCs w:val="22"/>
        </w:rPr>
        <w:t xml:space="preserve">move from short-term to longer-term contracts or introduce onboarding programmes that </w:t>
      </w:r>
    </w:p>
    <w:p>
      <w:pPr>
        <w:pStyle w:val="Normal"/>
        <w:spacing w:lineRule="auto" w:line="360" w:before="120" w:after="120"/>
        <w:jc w:val="left"/>
        <w:rPr/>
      </w:pPr>
      <w:r>
        <w:rPr>
          <w:rFonts w:ascii="arial" w:hAnsi="arial"/>
          <w:sz w:val="22"/>
          <w:szCs w:val="22"/>
        </w:rPr>
        <w:t>improve customer engagement during the early stages of a subscription.</w:t>
      </w:r>
    </w:p>
    <w:p>
      <w:pPr>
        <w:pStyle w:val="Normal"/>
        <w:spacing w:lineRule="auto" w:line="360" w:before="120" w:after="120"/>
        <w:jc w:val="left"/>
        <w:rPr/>
      </w:pPr>
      <w:r>
        <w:rPr>
          <w:rFonts w:ascii="arial" w:hAnsi="arial"/>
          <w:sz w:val="22"/>
          <w:szCs w:val="22"/>
        </w:rPr>
        <w:t xml:space="preserve">The customer segments identified using SimpleKMeans clustering provide additional </w:t>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pPr>
      <w:r>
        <w:rPr>
          <w:rFonts w:ascii="arial" w:hAnsi="arial"/>
          <w:sz w:val="22"/>
          <w:szCs w:val="22"/>
        </w:rPr>
        <w:t xml:space="preserve">opportunities for targeted decision-making. Rather than applying a single retention strategy to all </w:t>
      </w:r>
    </w:p>
    <w:p>
      <w:pPr>
        <w:pStyle w:val="Normal"/>
        <w:spacing w:lineRule="auto" w:line="360" w:before="120" w:after="120"/>
        <w:jc w:val="left"/>
        <w:rPr/>
      </w:pPr>
      <w:r>
        <w:rPr>
          <w:rFonts w:ascii="arial" w:hAnsi="arial"/>
          <w:sz w:val="22"/>
          <w:szCs w:val="22"/>
        </w:rPr>
        <w:t xml:space="preserve">customers, organisations can tailor marketing campaigns and service improvements according </w:t>
      </w:r>
    </w:p>
    <w:p>
      <w:pPr>
        <w:pStyle w:val="Normal"/>
        <w:spacing w:lineRule="auto" w:line="360" w:before="120" w:after="120"/>
        <w:jc w:val="left"/>
        <w:rPr/>
      </w:pPr>
      <w:r>
        <w:rPr>
          <w:rFonts w:ascii="arial" w:hAnsi="arial"/>
          <w:sz w:val="22"/>
          <w:szCs w:val="22"/>
        </w:rPr>
        <w:t xml:space="preserve">to the characteristics of each customer group. This segmented approach is more likely to </w:t>
      </w:r>
    </w:p>
    <w:p>
      <w:pPr>
        <w:pStyle w:val="Normal"/>
        <w:spacing w:lineRule="auto" w:line="360" w:before="120" w:after="120"/>
        <w:jc w:val="left"/>
        <w:rPr/>
      </w:pPr>
      <w:r>
        <w:rPr>
          <w:rFonts w:ascii="arial" w:hAnsi="arial"/>
          <w:sz w:val="22"/>
          <w:szCs w:val="22"/>
        </w:rPr>
        <w:t>improve customer satisfaction while making better use of marketing resources.</w:t>
      </w:r>
    </w:p>
    <w:p>
      <w:pPr>
        <w:pStyle w:val="Normal"/>
        <w:spacing w:lineRule="auto" w:line="360" w:before="120" w:after="120"/>
        <w:jc w:val="left"/>
        <w:rPr/>
      </w:pPr>
      <w:r>
        <w:rPr>
          <w:rFonts w:ascii="arial" w:hAnsi="arial"/>
          <w:sz w:val="22"/>
          <w:szCs w:val="22"/>
        </w:rPr>
        <w:t xml:space="preserve">Predictive models should not be considered static solutions. Customer behaviour changes over </w:t>
      </w:r>
    </w:p>
    <w:p>
      <w:pPr>
        <w:pStyle w:val="Normal"/>
        <w:spacing w:lineRule="auto" w:line="360" w:before="120" w:after="120"/>
        <w:jc w:val="left"/>
        <w:rPr/>
      </w:pPr>
      <w:r>
        <w:rPr>
          <w:rFonts w:ascii="arial" w:hAnsi="arial"/>
          <w:sz w:val="22"/>
          <w:szCs w:val="22"/>
        </w:rPr>
        <w:t xml:space="preserve">time in response to market conditions, pricing strategies and competitor activity. Consequently, </w:t>
      </w:r>
    </w:p>
    <w:p>
      <w:pPr>
        <w:pStyle w:val="Normal"/>
        <w:spacing w:lineRule="auto" w:line="360" w:before="120" w:after="120"/>
        <w:jc w:val="left"/>
        <w:rPr/>
      </w:pPr>
      <w:r>
        <w:rPr>
          <w:rFonts w:ascii="arial" w:hAnsi="arial"/>
          <w:sz w:val="22"/>
          <w:szCs w:val="22"/>
        </w:rPr>
        <w:t xml:space="preserve">organisations should regularly retrain and validate predictive models using updated operational </w:t>
      </w:r>
    </w:p>
    <w:p>
      <w:pPr>
        <w:pStyle w:val="Normal"/>
        <w:spacing w:lineRule="auto" w:line="360" w:before="120" w:after="120"/>
        <w:jc w:val="left"/>
        <w:rPr/>
      </w:pPr>
      <w:r>
        <w:rPr>
          <w:rFonts w:ascii="arial" w:hAnsi="arial"/>
          <w:sz w:val="22"/>
          <w:szCs w:val="22"/>
        </w:rPr>
        <w:t xml:space="preserve">data to maintain classification accuracy and ensure that business decisions continue to reflect </w:t>
      </w:r>
    </w:p>
    <w:p>
      <w:pPr>
        <w:pStyle w:val="Normal"/>
        <w:spacing w:lineRule="auto" w:line="360" w:before="120" w:after="120"/>
        <w:jc w:val="left"/>
        <w:rPr/>
      </w:pPr>
      <w:r>
        <w:rPr>
          <w:rFonts w:ascii="arial" w:hAnsi="arial"/>
          <w:sz w:val="22"/>
          <w:szCs w:val="22"/>
        </w:rPr>
        <w:t>current customer behaviour.</w:t>
      </w:r>
    </w:p>
    <w:p>
      <w:pPr>
        <w:pStyle w:val="Normal"/>
        <w:spacing w:lineRule="auto" w:line="360" w:before="120" w:after="120"/>
        <w:jc w:val="left"/>
        <w:rPr/>
      </w:pPr>
      <w:r>
        <w:rPr>
          <w:rFonts w:ascii="arial" w:hAnsi="arial"/>
          <w:sz w:val="22"/>
          <w:szCs w:val="22"/>
        </w:rPr>
        <w:t xml:space="preserve">Overall, this study demonstrates that data mining offers practical value beyond predictive </w:t>
      </w:r>
    </w:p>
    <w:p>
      <w:pPr>
        <w:pStyle w:val="Normal"/>
        <w:spacing w:lineRule="auto" w:line="360" w:before="120" w:after="120"/>
        <w:jc w:val="left"/>
        <w:rPr/>
      </w:pPr>
      <w:r>
        <w:rPr>
          <w:rFonts w:ascii="arial" w:hAnsi="arial"/>
          <w:sz w:val="22"/>
          <w:szCs w:val="22"/>
        </w:rPr>
        <w:t xml:space="preserve">modelling. By combining customer churn prediction with customer segmentation, organisations </w:t>
      </w:r>
    </w:p>
    <w:p>
      <w:pPr>
        <w:pStyle w:val="Normal"/>
        <w:spacing w:lineRule="auto" w:line="360" w:before="120" w:after="120"/>
        <w:jc w:val="left"/>
        <w:rPr/>
      </w:pPr>
      <w:r>
        <w:rPr>
          <w:rFonts w:ascii="arial" w:hAnsi="arial"/>
          <w:sz w:val="22"/>
          <w:szCs w:val="22"/>
        </w:rPr>
        <w:t xml:space="preserve">can support evidence-based decision-making, improve customer retention and allocate </w:t>
      </w:r>
    </w:p>
    <w:p>
      <w:pPr>
        <w:pStyle w:val="Normal"/>
        <w:spacing w:lineRule="auto" w:line="360" w:before="120" w:after="120"/>
        <w:jc w:val="left"/>
        <w:rPr/>
      </w:pPr>
      <w:r>
        <w:rPr>
          <w:rFonts w:ascii="arial" w:hAnsi="arial"/>
          <w:sz w:val="22"/>
          <w:szCs w:val="22"/>
        </w:rPr>
        <w:t xml:space="preserve">business resources more effectively. The results highlight the importance of selecting predictive </w:t>
      </w:r>
    </w:p>
    <w:p>
      <w:pPr>
        <w:pStyle w:val="Normal"/>
        <w:spacing w:lineRule="auto" w:line="360" w:before="120" w:after="120"/>
        <w:jc w:val="left"/>
        <w:rPr/>
      </w:pPr>
      <w:r>
        <w:rPr>
          <w:rFonts w:ascii="arial" w:hAnsi="arial"/>
          <w:sz w:val="22"/>
          <w:szCs w:val="22"/>
        </w:rPr>
        <w:t xml:space="preserve">models that achieve an appropriate balance between accuracy, interpretability and practical </w:t>
      </w:r>
    </w:p>
    <w:p>
      <w:pPr>
        <w:pStyle w:val="Normal"/>
        <w:spacing w:lineRule="auto" w:line="360" w:before="120" w:after="120"/>
        <w:jc w:val="left"/>
        <w:rPr/>
      </w:pPr>
      <w:r>
        <w:rPr>
          <w:rFonts w:ascii="arial" w:hAnsi="arial"/>
          <w:sz w:val="22"/>
          <w:szCs w:val="22"/>
        </w:rPr>
        <w:t>business application.</w:t>
      </w:r>
    </w:p>
    <w:p>
      <w:pPr>
        <w:pStyle w:val="Normal"/>
        <w:spacing w:lineRule="auto" w:line="360" w:before="120" w:after="120"/>
        <w:jc w:val="left"/>
        <w:rPr>
          <w:rFonts w:ascii="arial" w:hAnsi="arial"/>
          <w:sz w:val="22"/>
          <w:szCs w:val="22"/>
        </w:rPr>
      </w:pPr>
      <w:r>
        <w:rPr>
          <w:rFonts w:ascii="arial" w:hAnsi="arial"/>
          <w:sz w:val="22"/>
          <w:szCs w:val="22"/>
        </w:rPr>
      </w:r>
    </w:p>
    <w:p>
      <w:pPr>
        <w:pStyle w:val="Heading1"/>
        <w:rPr>
          <w:sz w:val="32"/>
          <w:szCs w:val="32"/>
        </w:rPr>
      </w:pPr>
      <w:bookmarkStart w:id="7" w:name="__RefHeading___Toc411_889290767"/>
      <w:bookmarkEnd w:id="7"/>
      <w:r>
        <w:rPr>
          <w:kern w:val="0"/>
          <w:sz w:val="32"/>
          <w:szCs w:val="32"/>
          <w:lang w:val="en-US" w:eastAsia="en-US" w:bidi="ar-SA"/>
        </w:rPr>
        <w:t>4. Reflective Commentary</w:t>
      </w:r>
    </w:p>
    <w:p>
      <w:pPr>
        <w:pStyle w:val="Normal"/>
        <w:spacing w:lineRule="auto" w:line="360" w:before="120" w:after="120"/>
        <w:jc w:val="left"/>
        <w:rPr/>
      </w:pPr>
      <w:r>
        <w:rPr>
          <w:rFonts w:ascii="arial" w:hAnsi="arial"/>
          <w:sz w:val="22"/>
          <w:szCs w:val="22"/>
        </w:rPr>
        <w:t>This project provided valuable practical experience of applying data mining techniques to a real-</w:t>
      </w:r>
    </w:p>
    <w:p>
      <w:pPr>
        <w:pStyle w:val="Normal"/>
        <w:spacing w:lineRule="auto" w:line="360" w:before="120" w:after="120"/>
        <w:jc w:val="left"/>
        <w:rPr/>
      </w:pPr>
      <w:r>
        <w:rPr>
          <w:rFonts w:ascii="arial" w:hAnsi="arial"/>
          <w:sz w:val="22"/>
          <w:szCs w:val="22"/>
        </w:rPr>
        <w:t xml:space="preserve">world business problem. Before undertaking the analysis, my understanding of customer churn </w:t>
      </w:r>
    </w:p>
    <w:p>
      <w:pPr>
        <w:pStyle w:val="Normal"/>
        <w:spacing w:lineRule="auto" w:line="360" w:before="120" w:after="120"/>
        <w:jc w:val="left"/>
        <w:rPr/>
      </w:pPr>
      <w:r>
        <w:rPr>
          <w:rFonts w:ascii="arial" w:hAnsi="arial"/>
          <w:sz w:val="22"/>
          <w:szCs w:val="22"/>
        </w:rPr>
        <w:t xml:space="preserve">prediction was largely theoretical. Through working with the IBM Telco Customer Churn dataset, </w:t>
      </w:r>
    </w:p>
    <w:p>
      <w:pPr>
        <w:pStyle w:val="Normal"/>
        <w:spacing w:lineRule="auto" w:line="360" w:before="120" w:after="120"/>
        <w:jc w:val="left"/>
        <w:rPr/>
      </w:pPr>
      <w:r>
        <w:rPr>
          <w:rFonts w:ascii="arial" w:hAnsi="arial"/>
          <w:sz w:val="22"/>
          <w:szCs w:val="22"/>
        </w:rPr>
        <w:t xml:space="preserve">I developed a greater appreciation of the importance of data preparation, model selection and </w:t>
      </w:r>
    </w:p>
    <w:p>
      <w:pPr>
        <w:pStyle w:val="Normal"/>
        <w:spacing w:lineRule="auto" w:line="360" w:before="120" w:after="120"/>
        <w:jc w:val="left"/>
        <w:rPr/>
      </w:pPr>
      <w:r>
        <w:rPr>
          <w:rFonts w:ascii="arial" w:hAnsi="arial"/>
          <w:sz w:val="22"/>
          <w:szCs w:val="22"/>
        </w:rPr>
        <w:t xml:space="preserve">performance evaluation in producing reliable analytical results. The project demonstrated that </w:t>
      </w:r>
    </w:p>
    <w:p>
      <w:pPr>
        <w:pStyle w:val="Normal"/>
        <w:spacing w:lineRule="auto" w:line="360" w:before="120" w:after="120"/>
        <w:jc w:val="left"/>
        <w:rPr/>
      </w:pPr>
      <w:r>
        <w:rPr>
          <w:rFonts w:ascii="arial" w:hAnsi="arial"/>
          <w:sz w:val="22"/>
          <w:szCs w:val="22"/>
        </w:rPr>
        <w:t xml:space="preserve">effective predictive modelling depends not only on choosing appropriate algorithms but also on </w:t>
      </w:r>
    </w:p>
    <w:p>
      <w:pPr>
        <w:pStyle w:val="Normal"/>
        <w:spacing w:lineRule="auto" w:line="360" w:before="120" w:after="120"/>
        <w:jc w:val="left"/>
        <w:rPr/>
      </w:pPr>
      <w:r>
        <w:rPr>
          <w:rFonts w:ascii="arial" w:hAnsi="arial"/>
          <w:sz w:val="22"/>
          <w:szCs w:val="22"/>
        </w:rPr>
        <w:t>ensuring that the underlying data are accurate, consistent and suitable for analysis.</w:t>
      </w:r>
    </w:p>
    <w:p>
      <w:pPr>
        <w:pStyle w:val="Normal"/>
        <w:spacing w:lineRule="auto" w:line="360" w:before="120" w:after="120"/>
        <w:jc w:val="left"/>
        <w:rPr/>
      </w:pPr>
      <w:r>
        <w:rPr>
          <w:rFonts w:ascii="arial" w:hAnsi="arial"/>
          <w:sz w:val="22"/>
          <w:szCs w:val="22"/>
        </w:rPr>
        <w:t xml:space="preserve">Using Weka Explorer allowed me to compare different machine learning algorithms and </w:t>
      </w:r>
    </w:p>
    <w:p>
      <w:pPr>
        <w:pStyle w:val="Normal"/>
        <w:spacing w:lineRule="auto" w:line="360" w:before="120" w:after="120"/>
        <w:jc w:val="left"/>
        <w:rPr/>
      </w:pPr>
      <w:r>
        <w:rPr>
          <w:rFonts w:ascii="arial" w:hAnsi="arial"/>
          <w:sz w:val="22"/>
          <w:szCs w:val="22"/>
        </w:rPr>
        <w:t xml:space="preserve">understand that predictive accuracy alone is not sufficient when selecting a model. The </w:t>
      </w:r>
    </w:p>
    <w:p>
      <w:pPr>
        <w:pStyle w:val="Normal"/>
        <w:spacing w:lineRule="auto" w:line="360" w:before="120" w:after="120"/>
        <w:jc w:val="left"/>
        <w:rPr/>
      </w:pPr>
      <w:r>
        <w:rPr>
          <w:rFonts w:ascii="arial" w:hAnsi="arial"/>
          <w:sz w:val="22"/>
          <w:szCs w:val="22"/>
        </w:rPr>
        <w:t xml:space="preserve">evaluation highlighted the importance of considering additional measures such as precision, </w:t>
      </w:r>
    </w:p>
    <w:p>
      <w:pPr>
        <w:pStyle w:val="Normal"/>
        <w:spacing w:lineRule="auto" w:line="360" w:before="120" w:after="120"/>
        <w:jc w:val="left"/>
        <w:rPr/>
      </w:pPr>
      <w:r>
        <w:rPr>
          <w:rFonts w:ascii="arial" w:hAnsi="arial"/>
          <w:sz w:val="22"/>
          <w:szCs w:val="22"/>
        </w:rPr>
        <w:t>recall, ROC Area and Cohen's Kappa, together with model suitability for practical use.</w:t>
      </w:r>
    </w:p>
    <w:p>
      <w:pPr>
        <w:pStyle w:val="Normal"/>
        <w:spacing w:lineRule="auto" w:line="360" w:before="120" w:after="120"/>
        <w:jc w:val="left"/>
        <w:rPr/>
      </w:pPr>
      <w:r>
        <w:rPr>
          <w:rFonts w:ascii="arial" w:hAnsi="arial"/>
          <w:sz w:val="22"/>
          <w:szCs w:val="22"/>
        </w:rPr>
        <w:t xml:space="preserve">Comparing the strengths and limitations of the classifiers reinforced the idea that different </w:t>
      </w:r>
    </w:p>
    <w:p>
      <w:pPr>
        <w:pStyle w:val="Normal"/>
        <w:spacing w:lineRule="auto" w:line="360" w:before="120" w:after="120"/>
        <w:jc w:val="left"/>
        <w:rPr/>
      </w:pPr>
      <w:r>
        <w:rPr>
          <w:rFonts w:ascii="arial" w:hAnsi="arial"/>
          <w:sz w:val="22"/>
          <w:szCs w:val="22"/>
        </w:rPr>
        <w:t>business problems may require different analytical approaches rather than a single best-</w:t>
      </w:r>
    </w:p>
    <w:p>
      <w:pPr>
        <w:pStyle w:val="Normal"/>
        <w:spacing w:lineRule="auto" w:line="360" w:before="120" w:after="120"/>
        <w:jc w:val="left"/>
        <w:rPr/>
      </w:pPr>
      <w:r>
        <w:rPr>
          <w:rFonts w:ascii="arial" w:hAnsi="arial"/>
          <w:sz w:val="22"/>
          <w:szCs w:val="22"/>
        </w:rPr>
        <w:t>performing algorithm.</w:t>
      </w:r>
    </w:p>
    <w:p>
      <w:pPr>
        <w:pStyle w:val="Normal"/>
        <w:spacing w:lineRule="auto" w:line="360" w:before="120" w:after="120"/>
        <w:jc w:val="left"/>
        <w:rPr/>
      </w:pPr>
      <w:r>
        <w:rPr>
          <w:rFonts w:ascii="arial" w:hAnsi="arial"/>
          <w:sz w:val="22"/>
          <w:szCs w:val="22"/>
        </w:rPr>
        <w:t xml:space="preserve">The project also strengthened my ability to interpret technical findings within a business context. </w:t>
      </w:r>
    </w:p>
    <w:p>
      <w:pPr>
        <w:pStyle w:val="Normal"/>
        <w:spacing w:lineRule="auto" w:line="360" w:before="120" w:after="120"/>
        <w:jc w:val="left"/>
        <w:rPr/>
      </w:pPr>
      <w:r>
        <w:rPr>
          <w:rFonts w:ascii="arial" w:hAnsi="arial"/>
          <w:sz w:val="22"/>
          <w:szCs w:val="22"/>
        </w:rPr>
        <w:t xml:space="preserve">Rather than viewing machine learning as an isolated technical exercise, I recognised how </w:t>
      </w:r>
    </w:p>
    <w:p>
      <w:pPr>
        <w:pStyle w:val="Normal"/>
        <w:spacing w:lineRule="auto" w:line="360" w:before="120" w:after="120"/>
        <w:jc w:val="left"/>
        <w:rPr/>
      </w:pPr>
      <w:r>
        <w:rPr>
          <w:rFonts w:ascii="arial" w:hAnsi="arial"/>
          <w:sz w:val="22"/>
          <w:szCs w:val="22"/>
        </w:rPr>
        <w:t xml:space="preserve">predictive analytics can support customer retention strategies, improve resource allocation and </w:t>
      </w:r>
    </w:p>
    <w:p>
      <w:pPr>
        <w:pStyle w:val="Normal"/>
        <w:spacing w:lineRule="auto" w:line="360" w:before="120" w:after="120"/>
        <w:jc w:val="left"/>
        <w:rPr/>
      </w:pPr>
      <w:r>
        <w:rPr>
          <w:rFonts w:ascii="arial" w:hAnsi="arial"/>
          <w:sz w:val="22"/>
          <w:szCs w:val="22"/>
        </w:rPr>
        <w:t xml:space="preserve">contribute to evidence-based decision-making. This broader perspective increased my </w:t>
      </w:r>
    </w:p>
    <w:p>
      <w:pPr>
        <w:pStyle w:val="Normal"/>
        <w:spacing w:lineRule="auto" w:line="360" w:before="120" w:after="120"/>
        <w:jc w:val="left"/>
        <w:rPr/>
      </w:pPr>
      <w:r>
        <w:rPr>
          <w:rFonts w:ascii="arial" w:hAnsi="arial"/>
          <w:sz w:val="22"/>
          <w:szCs w:val="22"/>
        </w:rPr>
        <w:t>understanding of the relationship between data analysis and organisational objectives.</w:t>
      </w:r>
    </w:p>
    <w:p>
      <w:pPr>
        <w:pStyle w:val="Normal"/>
        <w:spacing w:lineRule="auto" w:line="360" w:before="120" w:after="120"/>
        <w:jc w:val="left"/>
        <w:rPr/>
      </w:pPr>
      <w:r>
        <w:rPr>
          <w:rFonts w:ascii="arial" w:hAnsi="arial"/>
          <w:sz w:val="22"/>
          <w:szCs w:val="22"/>
        </w:rPr>
        <w:t xml:space="preserve">Overall, this assignment enhanced both my technical and analytical skills while reinforcing the </w:t>
      </w:r>
    </w:p>
    <w:p>
      <w:pPr>
        <w:pStyle w:val="Normal"/>
        <w:spacing w:lineRule="auto" w:line="360" w:before="120" w:after="120"/>
        <w:jc w:val="left"/>
        <w:rPr/>
      </w:pPr>
      <w:r>
        <w:rPr>
          <w:rFonts w:ascii="arial" w:hAnsi="arial"/>
          <w:sz w:val="22"/>
          <w:szCs w:val="22"/>
        </w:rPr>
        <w:t xml:space="preserve">importance of combining sound data preparation, appropriate model evaluation and critical </w:t>
      </w:r>
    </w:p>
    <w:p>
      <w:pPr>
        <w:pStyle w:val="Normal"/>
        <w:spacing w:lineRule="auto" w:line="360" w:before="120" w:after="120"/>
        <w:jc w:val="left"/>
        <w:rPr/>
      </w:pPr>
      <w:r>
        <w:rPr>
          <w:rFonts w:ascii="arial" w:hAnsi="arial"/>
          <w:sz w:val="22"/>
          <w:szCs w:val="22"/>
        </w:rPr>
        <w:t xml:space="preserve">interpretation. These experiences have increased my confidence in applying data mining </w:t>
      </w:r>
    </w:p>
    <w:p>
      <w:pPr>
        <w:pStyle w:val="Normal"/>
        <w:spacing w:lineRule="auto" w:line="360" w:before="120" w:after="120"/>
        <w:jc w:val="left"/>
        <w:rPr/>
      </w:pPr>
      <w:r>
        <w:rPr>
          <w:rFonts w:ascii="arial" w:hAnsi="arial"/>
          <w:sz w:val="22"/>
          <w:szCs w:val="22"/>
        </w:rPr>
        <w:t xml:space="preserve">techniques to future business analytics projects and provided a strong foundation for further </w:t>
      </w:r>
    </w:p>
    <w:p>
      <w:pPr>
        <w:pStyle w:val="Normal"/>
        <w:spacing w:lineRule="auto" w:line="360" w:before="120" w:after="120"/>
        <w:jc w:val="left"/>
        <w:rPr/>
      </w:pPr>
      <w:r>
        <w:rPr>
          <w:rFonts w:ascii="arial" w:hAnsi="arial"/>
          <w:sz w:val="22"/>
          <w:szCs w:val="22"/>
        </w:rPr>
        <w:t>study in data science and machine learning.</w:t>
      </w:r>
    </w:p>
    <w:p>
      <w:pPr>
        <w:pStyle w:val="Normal"/>
        <w:spacing w:lineRule="auto" w:line="360" w:before="120" w:after="120"/>
        <w:jc w:val="left"/>
        <w:rPr>
          <w:rFonts w:ascii="arial" w:hAnsi="arial"/>
          <w:sz w:val="22"/>
          <w:szCs w:val="22"/>
        </w:rPr>
      </w:pPr>
      <w:r>
        <w:rPr>
          <w:rFonts w:ascii="arial" w:hAnsi="arial"/>
          <w:sz w:val="22"/>
          <w:szCs w:val="22"/>
        </w:rPr>
      </w:r>
    </w:p>
    <w:p>
      <w:pPr>
        <w:pStyle w:val="Heading1"/>
        <w:widowControl/>
        <w:suppressAutoHyphens w:val="true"/>
        <w:overflowPunct w:val="false"/>
        <w:bidi w:val="0"/>
        <w:spacing w:lineRule="auto" w:line="360"/>
        <w:ind w:hanging="0" w:left="0"/>
        <w:jc w:val="left"/>
        <w:rPr>
          <w:sz w:val="32"/>
          <w:szCs w:val="32"/>
          <w:lang w:val="en-US" w:eastAsia="en-US" w:bidi="ar-SA"/>
        </w:rPr>
      </w:pPr>
      <w:bookmarkStart w:id="8" w:name="__RefHeading___Toc413_889290767"/>
      <w:bookmarkEnd w:id="8"/>
      <w:r>
        <w:rPr>
          <w:sz w:val="32"/>
          <w:szCs w:val="32"/>
          <w:lang w:val="en-US" w:eastAsia="en-US" w:bidi="ar-SA"/>
        </w:rPr>
        <w:t>5. Conclusion</w:t>
      </w:r>
    </w:p>
    <w:p>
      <w:pPr>
        <w:pStyle w:val="Normal"/>
        <w:spacing w:lineRule="auto" w:line="360" w:before="120" w:after="120"/>
        <w:jc w:val="left"/>
        <w:rPr/>
      </w:pPr>
      <w:r>
        <w:rPr>
          <w:rFonts w:ascii="arial" w:hAnsi="arial"/>
          <w:sz w:val="22"/>
          <w:szCs w:val="22"/>
        </w:rPr>
        <w:t xml:space="preserve">This report examined the use of data mining techniques for customer churn prediction and </w:t>
      </w:r>
    </w:p>
    <w:p>
      <w:pPr>
        <w:pStyle w:val="Normal"/>
        <w:spacing w:lineRule="auto" w:line="360" w:before="120" w:after="120"/>
        <w:jc w:val="left"/>
        <w:rPr/>
      </w:pPr>
      <w:r>
        <w:rPr>
          <w:rFonts w:ascii="arial" w:hAnsi="arial"/>
          <w:sz w:val="22"/>
          <w:szCs w:val="22"/>
        </w:rPr>
        <w:t xml:space="preserve">customer segmentation using the IBM Telco Customer Churn dataset. After data preparation </w:t>
      </w:r>
    </w:p>
    <w:p>
      <w:pPr>
        <w:pStyle w:val="Normal"/>
        <w:spacing w:lineRule="auto" w:line="360" w:before="120" w:after="120"/>
        <w:jc w:val="left"/>
        <w:rPr/>
      </w:pPr>
      <w:r>
        <w:rPr>
          <w:rFonts w:ascii="arial" w:hAnsi="arial"/>
          <w:sz w:val="22"/>
          <w:szCs w:val="22"/>
        </w:rPr>
        <w:t xml:space="preserve">and exploratory analysis, five classification algorithms and the SimpleKMeans clustering </w:t>
      </w:r>
    </w:p>
    <w:p>
      <w:pPr>
        <w:pStyle w:val="Normal"/>
        <w:spacing w:lineRule="auto" w:line="360" w:before="120" w:after="120"/>
        <w:jc w:val="left"/>
        <w:rPr/>
      </w:pPr>
      <w:r>
        <w:rPr>
          <w:rFonts w:ascii="arial" w:hAnsi="arial"/>
          <w:sz w:val="22"/>
          <w:szCs w:val="22"/>
        </w:rPr>
        <w:t>algorithm were implemented and evaluated using Weka Explorer.</w:t>
      </w:r>
    </w:p>
    <w:p>
      <w:pPr>
        <w:pStyle w:val="Normal"/>
        <w:spacing w:lineRule="auto" w:line="360" w:before="120" w:after="120"/>
        <w:jc w:val="left"/>
        <w:rPr/>
      </w:pPr>
      <w:r>
        <w:rPr>
          <w:rFonts w:ascii="arial" w:hAnsi="arial"/>
          <w:sz w:val="22"/>
          <w:szCs w:val="22"/>
        </w:rPr>
        <w:t xml:space="preserve">The results showed that all classification models outperformed the baseline ZeroR classifier, </w:t>
      </w:r>
    </w:p>
    <w:p>
      <w:pPr>
        <w:pStyle w:val="Normal"/>
        <w:spacing w:lineRule="auto" w:line="360" w:before="120" w:after="120"/>
        <w:jc w:val="left"/>
        <w:rPr/>
      </w:pPr>
      <w:r>
        <w:rPr>
          <w:rFonts w:ascii="arial" w:hAnsi="arial"/>
          <w:sz w:val="22"/>
          <w:szCs w:val="22"/>
        </w:rPr>
        <w:t xml:space="preserve">with Logistic Regression delivering the best overall balance of predictive accuracy, reliability and </w:t>
      </w:r>
    </w:p>
    <w:p>
      <w:pPr>
        <w:pStyle w:val="Normal"/>
        <w:spacing w:lineRule="auto" w:line="360" w:before="120" w:after="120"/>
        <w:jc w:val="left"/>
        <w:rPr/>
      </w:pPr>
      <w:r>
        <w:rPr>
          <w:rFonts w:ascii="arial" w:hAnsi="arial"/>
          <w:sz w:val="22"/>
          <w:szCs w:val="22"/>
        </w:rPr>
        <w:t xml:space="preserve">interpretability. SimpleKMeans also identified meaningful customer segments, demonstrating </w:t>
      </w:r>
    </w:p>
    <w:p>
      <w:pPr>
        <w:pStyle w:val="Normal"/>
        <w:spacing w:lineRule="auto" w:line="360" w:before="120" w:after="120"/>
        <w:jc w:val="left"/>
        <w:rPr/>
      </w:pPr>
      <w:r>
        <w:rPr>
          <w:rFonts w:ascii="arial" w:hAnsi="arial"/>
          <w:sz w:val="22"/>
          <w:szCs w:val="22"/>
        </w:rPr>
        <w:t xml:space="preserve">how clustering complements predictive modelling by supporting targeted retention and </w:t>
      </w:r>
    </w:p>
    <w:p>
      <w:pPr>
        <w:pStyle w:val="Normal"/>
        <w:spacing w:lineRule="auto" w:line="360" w:before="120" w:after="120"/>
        <w:jc w:val="left"/>
        <w:rPr/>
      </w:pPr>
      <w:r>
        <w:rPr>
          <w:rFonts w:ascii="arial" w:hAnsi="arial"/>
          <w:sz w:val="22"/>
          <w:szCs w:val="22"/>
        </w:rPr>
        <w:t>marketing strategies.</w:t>
      </w:r>
    </w:p>
    <w:p>
      <w:pPr>
        <w:pStyle w:val="Normal"/>
        <w:spacing w:lineRule="auto" w:line="360" w:before="120" w:after="120"/>
        <w:jc w:val="left"/>
        <w:rPr/>
      </w:pPr>
      <w:r>
        <w:rPr>
          <w:rFonts w:ascii="arial" w:hAnsi="arial"/>
          <w:sz w:val="22"/>
          <w:szCs w:val="22"/>
        </w:rPr>
        <w:t xml:space="preserve">The findings emphasise that successful predictive analytics relies not only on selecting </w:t>
      </w:r>
    </w:p>
    <w:p>
      <w:pPr>
        <w:pStyle w:val="Normal"/>
        <w:spacing w:lineRule="auto" w:line="360" w:before="120" w:after="120"/>
        <w:jc w:val="left"/>
        <w:rPr/>
      </w:pPr>
      <w:r>
        <w:rPr>
          <w:rFonts w:ascii="arial" w:hAnsi="arial"/>
          <w:sz w:val="22"/>
          <w:szCs w:val="22"/>
        </w:rPr>
        <w:t xml:space="preserve">appropriate algorithms but also on high-quality data, robust evaluation methods and accurate </w:t>
      </w:r>
    </w:p>
    <w:p>
      <w:pPr>
        <w:pStyle w:val="Normal"/>
        <w:spacing w:lineRule="auto" w:line="360" w:before="120" w:after="120"/>
        <w:jc w:val="left"/>
        <w:rPr/>
      </w:pPr>
      <w:r>
        <w:rPr>
          <w:rFonts w:ascii="arial" w:hAnsi="arial"/>
          <w:sz w:val="22"/>
          <w:szCs w:val="22"/>
        </w:rPr>
        <w:t>interpretation of results. Combining classification and clustering enables service providers to identify customers at risk of churn more effectively and develop targeted retention strategies.</w:t>
      </w:r>
    </w:p>
    <w:p>
      <w:pPr>
        <w:pStyle w:val="Normal"/>
        <w:spacing w:lineRule="auto" w:line="360" w:before="120" w:after="120"/>
        <w:jc w:val="left"/>
        <w:rPr/>
      </w:pPr>
      <w:r>
        <w:rPr>
          <w:rFonts w:ascii="arial" w:hAnsi="arial"/>
          <w:sz w:val="22"/>
          <w:szCs w:val="22"/>
        </w:rPr>
        <w:t xml:space="preserve">Overall, the study demonstrates the practical value of data mining for customer analytics and </w:t>
      </w:r>
    </w:p>
    <w:p>
      <w:pPr>
        <w:pStyle w:val="Normal"/>
        <w:spacing w:lineRule="auto" w:line="360" w:before="120" w:after="120"/>
        <w:jc w:val="left"/>
        <w:rPr/>
      </w:pPr>
      <w:r>
        <w:rPr>
          <w:rFonts w:ascii="arial" w:hAnsi="arial"/>
          <w:sz w:val="22"/>
          <w:szCs w:val="22"/>
        </w:rPr>
        <w:t xml:space="preserve">highlights the importance of aligning analytical techniques with organisational objectives. Future </w:t>
      </w:r>
    </w:p>
    <w:p>
      <w:pPr>
        <w:pStyle w:val="Normal"/>
        <w:spacing w:lineRule="auto" w:line="360" w:before="120" w:after="120"/>
        <w:jc w:val="left"/>
        <w:rPr/>
      </w:pPr>
      <w:r>
        <w:rPr>
          <w:rFonts w:ascii="arial" w:hAnsi="arial"/>
          <w:sz w:val="22"/>
          <w:szCs w:val="22"/>
        </w:rPr>
        <w:t xml:space="preserve">research could investigate advanced ensemble methods, deep learning and explainable artificial </w:t>
      </w:r>
    </w:p>
    <w:p>
      <w:pPr>
        <w:pStyle w:val="Normal"/>
        <w:spacing w:lineRule="auto" w:line="360" w:before="120" w:after="120"/>
        <w:jc w:val="left"/>
        <w:rPr/>
      </w:pPr>
      <w:r>
        <w:rPr>
          <w:rFonts w:ascii="arial" w:hAnsi="arial"/>
          <w:sz w:val="22"/>
          <w:szCs w:val="22"/>
        </w:rPr>
        <w:t>intelligence to further improve predictive performance and model transparency.</w:t>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Normal"/>
        <w:spacing w:lineRule="auto" w:line="360" w:before="120" w:after="120"/>
        <w:jc w:val="left"/>
        <w:rPr>
          <w:rFonts w:ascii="arial" w:hAnsi="arial"/>
          <w:sz w:val="22"/>
          <w:szCs w:val="22"/>
        </w:rPr>
      </w:pPr>
      <w:r>
        <w:rPr>
          <w:rFonts w:ascii="arial" w:hAnsi="arial"/>
          <w:sz w:val="22"/>
          <w:szCs w:val="22"/>
        </w:rPr>
      </w:r>
    </w:p>
    <w:p>
      <w:pPr>
        <w:pStyle w:val="Heading1"/>
        <w:spacing w:lineRule="auto" w:line="360"/>
        <w:ind w:hanging="0" w:left="0"/>
        <w:rPr/>
      </w:pPr>
      <w:bookmarkStart w:id="9" w:name="__RefHeading___Toc415_889290767"/>
      <w:bookmarkEnd w:id="9"/>
      <w:r>
        <w:rPr>
          <w:sz w:val="32"/>
          <w:szCs w:val="32"/>
        </w:rPr>
        <w:t>6. References</w:t>
      </w:r>
    </w:p>
    <w:p>
      <w:pPr>
        <w:pStyle w:val="BodyText"/>
        <w:spacing w:lineRule="auto" w:line="360" w:before="120" w:after="120"/>
        <w:jc w:val="left"/>
        <w:rPr/>
      </w:pPr>
      <w:r>
        <w:rPr>
          <w:rStyle w:val="Strong"/>
          <w:rFonts w:ascii="arial" w:hAnsi="arial"/>
          <w:b w:val="false"/>
          <w:bCs w:val="false"/>
          <w:sz w:val="22"/>
          <w:szCs w:val="22"/>
        </w:rPr>
        <w:t xml:space="preserve">[1] </w:t>
      </w:r>
      <w:r>
        <w:rPr>
          <w:rFonts w:ascii="arial" w:hAnsi="arial"/>
          <w:b w:val="false"/>
          <w:bCs w:val="false"/>
          <w:sz w:val="22"/>
          <w:szCs w:val="22"/>
        </w:rPr>
        <w:t xml:space="preserve">V. Kumar and W. Reinartz, </w:t>
      </w:r>
      <w:r>
        <w:rPr>
          <w:rStyle w:val="Emphasis"/>
          <w:rFonts w:ascii="arial" w:hAnsi="arial"/>
          <w:b w:val="false"/>
          <w:bCs w:val="false"/>
          <w:sz w:val="22"/>
          <w:szCs w:val="22"/>
        </w:rPr>
        <w:t>Customer Relationship Management: Concept, Strategy, and</w:t>
      </w:r>
    </w:p>
    <w:p>
      <w:pPr>
        <w:pStyle w:val="BodyText"/>
        <w:spacing w:lineRule="auto" w:line="360" w:before="120" w:after="120"/>
        <w:jc w:val="left"/>
        <w:rPr/>
      </w:pPr>
      <w:r>
        <w:rPr>
          <w:rStyle w:val="Emphasis"/>
          <w:rFonts w:ascii="arial" w:hAnsi="arial"/>
          <w:b w:val="false"/>
          <w:bCs w:val="false"/>
          <w:sz w:val="22"/>
          <w:szCs w:val="22"/>
        </w:rPr>
        <w:t xml:space="preserve">     </w:t>
      </w:r>
      <w:r>
        <w:rPr>
          <w:rStyle w:val="Emphasis"/>
          <w:rFonts w:ascii="arial" w:hAnsi="arial"/>
          <w:b w:val="false"/>
          <w:bCs w:val="false"/>
          <w:sz w:val="22"/>
          <w:szCs w:val="22"/>
        </w:rPr>
        <w:t>Tools</w:t>
      </w:r>
      <w:r>
        <w:rPr>
          <w:rFonts w:ascii="arial" w:hAnsi="arial"/>
          <w:b w:val="false"/>
          <w:bCs w:val="false"/>
          <w:sz w:val="22"/>
          <w:szCs w:val="22"/>
        </w:rPr>
        <w:t>. Berlin, Germany: Springer, 2018.</w:t>
      </w:r>
    </w:p>
    <w:p>
      <w:pPr>
        <w:pStyle w:val="BodyText"/>
        <w:spacing w:lineRule="auto" w:line="360" w:before="120" w:after="120"/>
        <w:jc w:val="left"/>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[2] </w:t>
      </w:r>
      <w:r>
        <w:rPr>
          <w:rFonts w:ascii="arial" w:hAnsi="arial"/>
          <w:b w:val="false"/>
          <w:bCs w:val="false"/>
          <w:sz w:val="22"/>
          <w:szCs w:val="22"/>
        </w:rPr>
        <w:t xml:space="preserve">I. H. Witten, E. Frank, M. A. Hall, C. J. Pal, and M. Mayo, </w:t>
      </w:r>
      <w:r>
        <w:rPr>
          <w:rStyle w:val="Emphasis"/>
          <w:rFonts w:ascii="arial" w:hAnsi="arial"/>
          <w:b w:val="false"/>
          <w:bCs w:val="false"/>
          <w:sz w:val="22"/>
          <w:szCs w:val="22"/>
        </w:rPr>
        <w:t>Data Mining: Practical Machine</w:t>
      </w:r>
    </w:p>
    <w:p>
      <w:pPr>
        <w:pStyle w:val="BodyText"/>
        <w:spacing w:lineRule="auto" w:line="360"/>
        <w:rPr/>
      </w:pPr>
      <w:r>
        <w:rPr>
          <w:rStyle w:val="Emphasis"/>
          <w:rFonts w:ascii="arial" w:hAnsi="arial"/>
          <w:b w:val="false"/>
          <w:bCs w:val="false"/>
          <w:sz w:val="22"/>
          <w:szCs w:val="22"/>
        </w:rPr>
        <w:t xml:space="preserve">      </w:t>
      </w:r>
      <w:r>
        <w:rPr>
          <w:rStyle w:val="Emphasis"/>
          <w:rFonts w:ascii="arial" w:hAnsi="arial"/>
          <w:b w:val="false"/>
          <w:bCs w:val="false"/>
          <w:sz w:val="22"/>
          <w:szCs w:val="22"/>
        </w:rPr>
        <w:t>Learning Tools and Techniques</w:t>
      </w:r>
      <w:r>
        <w:rPr>
          <w:rFonts w:ascii="arial" w:hAnsi="arial"/>
          <w:b w:val="false"/>
          <w:bCs w:val="false"/>
          <w:sz w:val="22"/>
          <w:szCs w:val="22"/>
        </w:rPr>
        <w:t>, 5th ed. Cambridge, MA, USA: Morgan Kaufmann, 2025.</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[3] </w:t>
      </w:r>
      <w:r>
        <w:rPr>
          <w:rFonts w:ascii="arial" w:hAnsi="arial"/>
          <w:b w:val="false"/>
          <w:bCs w:val="false"/>
          <w:sz w:val="22"/>
          <w:szCs w:val="22"/>
        </w:rPr>
        <w:t xml:space="preserve">J. Han, J. Pei, and H. Tong, </w:t>
      </w:r>
      <w:r>
        <w:rPr>
          <w:rStyle w:val="Emphasis"/>
          <w:rFonts w:ascii="arial" w:hAnsi="arial"/>
          <w:b w:val="false"/>
          <w:bCs w:val="false"/>
          <w:sz w:val="22"/>
          <w:szCs w:val="22"/>
        </w:rPr>
        <w:t>Data Mining: Concepts and Techniques</w:t>
      </w:r>
      <w:r>
        <w:rPr>
          <w:rFonts w:ascii="arial" w:hAnsi="arial"/>
          <w:b w:val="false"/>
          <w:bCs w:val="false"/>
          <w:sz w:val="22"/>
          <w:szCs w:val="22"/>
        </w:rPr>
        <w:t>, 4th ed. Cambridge,</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MA, USA: Morgan Kaufmann, 2022.</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[4] </w:t>
      </w:r>
      <w:r>
        <w:rPr>
          <w:rFonts w:ascii="arial" w:hAnsi="arial"/>
          <w:b w:val="false"/>
          <w:bCs w:val="false"/>
          <w:sz w:val="22"/>
          <w:szCs w:val="22"/>
        </w:rPr>
        <w:t>IBM, "Telco Customer Churn," IBM Community – Base Sample Data Sets, Jul. 11, 2019.</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[5] </w:t>
      </w:r>
      <w:r>
        <w:rPr>
          <w:rFonts w:ascii="arial" w:hAnsi="arial"/>
          <w:b w:val="false"/>
          <w:bCs w:val="false"/>
          <w:sz w:val="22"/>
          <w:szCs w:val="22"/>
        </w:rPr>
        <w:t xml:space="preserve">V. Kotu and B. Deshpande, </w:t>
      </w:r>
      <w:r>
        <w:rPr>
          <w:rStyle w:val="Emphasis"/>
          <w:rFonts w:ascii="arial" w:hAnsi="arial"/>
          <w:b w:val="false"/>
          <w:bCs w:val="false"/>
          <w:sz w:val="22"/>
          <w:szCs w:val="22"/>
        </w:rPr>
        <w:t>Data Science: Concepts and Practice</w:t>
      </w:r>
      <w:r>
        <w:rPr>
          <w:rFonts w:ascii="arial" w:hAnsi="arial"/>
          <w:b w:val="false"/>
          <w:bCs w:val="false"/>
          <w:sz w:val="22"/>
          <w:szCs w:val="22"/>
        </w:rPr>
        <w:t xml:space="preserve">, 2nd ed. Burlington, </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MA, USA: Morgan Kaufmann, 2019.</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[6] </w:t>
      </w:r>
      <w:r>
        <w:rPr>
          <w:rFonts w:ascii="arial" w:hAnsi="arial"/>
          <w:b w:val="false"/>
          <w:bCs w:val="false"/>
          <w:sz w:val="22"/>
          <w:szCs w:val="22"/>
        </w:rPr>
        <w:t>W. Verbeke, D. Martens, C. Mues, and B. Baesens, "Building comprehensible customer</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 xml:space="preserve">churn prediction models with advanced rule induction techniques," </w:t>
      </w:r>
      <w:r>
        <w:rPr>
          <w:rStyle w:val="Emphasis"/>
          <w:rFonts w:ascii="arial" w:hAnsi="arial"/>
          <w:b w:val="false"/>
          <w:bCs w:val="false"/>
          <w:sz w:val="22"/>
          <w:szCs w:val="22"/>
        </w:rPr>
        <w:t>Expert Systems with</w:t>
      </w:r>
    </w:p>
    <w:p>
      <w:pPr>
        <w:pStyle w:val="BodyText"/>
        <w:spacing w:lineRule="auto" w:line="360"/>
        <w:rPr/>
      </w:pPr>
      <w:r>
        <w:rPr>
          <w:rStyle w:val="Emphasis"/>
          <w:rFonts w:ascii="arial" w:hAnsi="arial"/>
          <w:b w:val="false"/>
          <w:bCs w:val="false"/>
          <w:sz w:val="22"/>
          <w:szCs w:val="22"/>
        </w:rPr>
        <w:t xml:space="preserve">     </w:t>
      </w:r>
      <w:r>
        <w:rPr>
          <w:rStyle w:val="Emphasis"/>
          <w:rFonts w:ascii="arial" w:hAnsi="arial"/>
          <w:b w:val="false"/>
          <w:bCs w:val="false"/>
          <w:sz w:val="22"/>
          <w:szCs w:val="22"/>
        </w:rPr>
        <w:t>Applications</w:t>
      </w:r>
      <w:r>
        <w:rPr>
          <w:rFonts w:ascii="arial" w:hAnsi="arial"/>
          <w:b w:val="false"/>
          <w:bCs w:val="false"/>
          <w:sz w:val="22"/>
          <w:szCs w:val="22"/>
        </w:rPr>
        <w:t>, vol. 38, no. 3, pp. 2354–2364, 2011.</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[7] </w:t>
      </w:r>
      <w:r>
        <w:rPr>
          <w:rFonts w:ascii="arial" w:hAnsi="arial"/>
          <w:b w:val="false"/>
          <w:bCs w:val="false"/>
          <w:sz w:val="22"/>
          <w:szCs w:val="22"/>
        </w:rPr>
        <w:t xml:space="preserve">A. Khattak </w:t>
      </w:r>
      <w:r>
        <w:rPr>
          <w:rStyle w:val="Emphasis"/>
          <w:rFonts w:ascii="arial" w:hAnsi="arial"/>
          <w:b w:val="false"/>
          <w:bCs w:val="false"/>
          <w:sz w:val="22"/>
          <w:szCs w:val="22"/>
        </w:rPr>
        <w:t>et al.</w:t>
      </w:r>
      <w:r>
        <w:rPr>
          <w:rFonts w:ascii="arial" w:hAnsi="arial"/>
          <w:b w:val="false"/>
          <w:bCs w:val="false"/>
          <w:sz w:val="22"/>
          <w:szCs w:val="22"/>
        </w:rPr>
        <w:t>, "Customer churn prediction using composite deep learning technique,"</w:t>
      </w:r>
    </w:p>
    <w:p>
      <w:pPr>
        <w:pStyle w:val="BodyText"/>
        <w:spacing w:lineRule="auto" w:line="360"/>
        <w:rPr/>
      </w:pPr>
      <w:r>
        <w:rPr>
          <w:rStyle w:val="Emphasis"/>
          <w:rFonts w:ascii="arial" w:hAnsi="arial"/>
          <w:b w:val="false"/>
          <w:bCs w:val="false"/>
          <w:sz w:val="22"/>
          <w:szCs w:val="22"/>
        </w:rPr>
        <w:t xml:space="preserve">     </w:t>
      </w:r>
      <w:r>
        <w:rPr>
          <w:rStyle w:val="Emphasis"/>
          <w:rFonts w:ascii="arial" w:hAnsi="arial"/>
          <w:b w:val="false"/>
          <w:bCs w:val="false"/>
          <w:sz w:val="22"/>
          <w:szCs w:val="22"/>
        </w:rPr>
        <w:t>Scientific Reports</w:t>
      </w:r>
      <w:r>
        <w:rPr>
          <w:rFonts w:ascii="arial" w:hAnsi="arial"/>
          <w:b w:val="false"/>
          <w:bCs w:val="false"/>
          <w:sz w:val="22"/>
          <w:szCs w:val="22"/>
        </w:rPr>
        <w:t>, vol. 13, Art. no. 17294, 2023.</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[8] </w:t>
      </w:r>
      <w:r>
        <w:rPr>
          <w:rFonts w:ascii="arial" w:hAnsi="arial"/>
          <w:b w:val="false"/>
          <w:bCs w:val="false"/>
          <w:sz w:val="22"/>
          <w:szCs w:val="22"/>
        </w:rPr>
        <w:t xml:space="preserve">S. García, J. Luengo, and F. Herrera, </w:t>
      </w:r>
      <w:r>
        <w:rPr>
          <w:rStyle w:val="Emphasis"/>
          <w:rFonts w:ascii="arial" w:hAnsi="arial"/>
          <w:b w:val="false"/>
          <w:bCs w:val="false"/>
          <w:sz w:val="22"/>
          <w:szCs w:val="22"/>
        </w:rPr>
        <w:t>Data Preprocessing in Data Mining</w:t>
      </w:r>
      <w:r>
        <w:rPr>
          <w:rFonts w:ascii="arial" w:hAnsi="arial"/>
          <w:b w:val="false"/>
          <w:bCs w:val="false"/>
          <w:sz w:val="22"/>
          <w:szCs w:val="22"/>
        </w:rPr>
        <w:t>. Cham,</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Switzerland: Springer, 2015.</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[9] </w:t>
      </w:r>
      <w:r>
        <w:rPr>
          <w:rFonts w:ascii="arial" w:hAnsi="arial"/>
          <w:b w:val="false"/>
          <w:bCs w:val="false"/>
          <w:sz w:val="22"/>
          <w:szCs w:val="22"/>
        </w:rPr>
        <w:t xml:space="preserve">H. He and E. A. Garcia, "Learning from imbalanced data," </w:t>
      </w:r>
      <w:r>
        <w:rPr>
          <w:rStyle w:val="Emphasis"/>
          <w:rFonts w:ascii="arial" w:hAnsi="arial"/>
          <w:b w:val="false"/>
          <w:bCs w:val="false"/>
          <w:sz w:val="22"/>
          <w:szCs w:val="22"/>
        </w:rPr>
        <w:t xml:space="preserve">IEEE Transactions on Knowledge    </w:t>
      </w:r>
    </w:p>
    <w:p>
      <w:pPr>
        <w:pStyle w:val="BodyText"/>
        <w:spacing w:lineRule="auto" w:line="360"/>
        <w:rPr/>
      </w:pPr>
      <w:r>
        <w:rPr>
          <w:rStyle w:val="Emphasis"/>
          <w:rFonts w:ascii="arial" w:hAnsi="arial"/>
          <w:b w:val="false"/>
          <w:bCs w:val="false"/>
          <w:sz w:val="22"/>
          <w:szCs w:val="22"/>
        </w:rPr>
        <w:t xml:space="preserve">     </w:t>
      </w:r>
      <w:r>
        <w:rPr>
          <w:rStyle w:val="Emphasis"/>
          <w:rFonts w:ascii="arial" w:hAnsi="arial"/>
          <w:b w:val="false"/>
          <w:bCs w:val="false"/>
          <w:sz w:val="22"/>
          <w:szCs w:val="22"/>
        </w:rPr>
        <w:t>and Data Engineering</w:t>
      </w:r>
      <w:r>
        <w:rPr>
          <w:rFonts w:ascii="arial" w:hAnsi="arial"/>
          <w:b w:val="false"/>
          <w:bCs w:val="false"/>
          <w:sz w:val="22"/>
          <w:szCs w:val="22"/>
        </w:rPr>
        <w:t>, vol. 21, no. 9, pp. 1263–1284, 2009.</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[10] </w:t>
      </w:r>
      <w:r>
        <w:rPr>
          <w:rFonts w:ascii="arial" w:hAnsi="arial"/>
          <w:b w:val="false"/>
          <w:bCs w:val="false"/>
          <w:sz w:val="22"/>
          <w:szCs w:val="22"/>
        </w:rPr>
        <w:t xml:space="preserve">S. Bates, T. Hastie, and R. Tibshirani, "Cross-validation: What does it estimate and how    </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 xml:space="preserve">well does it do it?," </w:t>
      </w:r>
      <w:r>
        <w:rPr>
          <w:rStyle w:val="Emphasis"/>
          <w:rFonts w:ascii="arial" w:hAnsi="arial"/>
          <w:b w:val="false"/>
          <w:bCs w:val="false"/>
          <w:sz w:val="22"/>
          <w:szCs w:val="22"/>
        </w:rPr>
        <w:t>Journal of the American Statistical Association</w:t>
      </w:r>
      <w:r>
        <w:rPr>
          <w:rFonts w:ascii="arial" w:hAnsi="arial"/>
          <w:b w:val="false"/>
          <w:bCs w:val="false"/>
          <w:sz w:val="22"/>
          <w:szCs w:val="22"/>
        </w:rPr>
        <w:t>, vol. 119, no. 546, pp.</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1434–1445, 2024.</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[11] </w:t>
      </w:r>
      <w:r>
        <w:rPr>
          <w:rFonts w:ascii="arial" w:hAnsi="arial"/>
          <w:b w:val="false"/>
          <w:bCs w:val="false"/>
          <w:sz w:val="22"/>
          <w:szCs w:val="22"/>
        </w:rPr>
        <w:t xml:space="preserve">J. R. Quinlan, </w:t>
      </w:r>
      <w:r>
        <w:rPr>
          <w:rStyle w:val="Emphasis"/>
          <w:rFonts w:ascii="arial" w:hAnsi="arial"/>
          <w:b w:val="false"/>
          <w:bCs w:val="false"/>
          <w:sz w:val="22"/>
          <w:szCs w:val="22"/>
        </w:rPr>
        <w:t>C4.5: Programs for Machine Learning</w:t>
      </w:r>
      <w:r>
        <w:rPr>
          <w:rFonts w:ascii="arial" w:hAnsi="arial"/>
          <w:b w:val="false"/>
          <w:bCs w:val="false"/>
          <w:sz w:val="22"/>
          <w:szCs w:val="22"/>
        </w:rPr>
        <w:t>. San Francisco, CA, USA: Morgan</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Kaufmann, 1993.</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[12] </w:t>
      </w:r>
      <w:r>
        <w:rPr>
          <w:rFonts w:ascii="arial" w:hAnsi="arial"/>
          <w:b w:val="false"/>
          <w:bCs w:val="false"/>
          <w:sz w:val="22"/>
          <w:szCs w:val="22"/>
        </w:rPr>
        <w:t xml:space="preserve">A. Géron, </w:t>
      </w:r>
      <w:r>
        <w:rPr>
          <w:rStyle w:val="Emphasis"/>
          <w:rFonts w:ascii="arial" w:hAnsi="arial"/>
          <w:b w:val="false"/>
          <w:bCs w:val="false"/>
          <w:sz w:val="22"/>
          <w:szCs w:val="22"/>
        </w:rPr>
        <w:t>Hands-On Machine Learning with Scikit-Learn, Keras &amp; TensorFlow</w:t>
      </w:r>
      <w:r>
        <w:rPr>
          <w:rFonts w:ascii="arial" w:hAnsi="arial"/>
          <w:b w:val="false"/>
          <w:bCs w:val="false"/>
          <w:sz w:val="22"/>
          <w:szCs w:val="22"/>
        </w:rPr>
        <w:t>, 3rd ed.</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Sebastopol, CA, USA: O'Reilly Media, 2022.</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[13] </w:t>
      </w:r>
      <w:r>
        <w:rPr>
          <w:rFonts w:ascii="arial" w:hAnsi="arial"/>
          <w:b w:val="false"/>
          <w:bCs w:val="false"/>
          <w:sz w:val="22"/>
          <w:szCs w:val="22"/>
        </w:rPr>
        <w:t xml:space="preserve">A. K. Jain, "Data clustering: 50 years beyond K-means," </w:t>
      </w:r>
      <w:r>
        <w:rPr>
          <w:rStyle w:val="Emphasis"/>
          <w:rFonts w:ascii="arial" w:hAnsi="arial"/>
          <w:b w:val="false"/>
          <w:bCs w:val="false"/>
          <w:sz w:val="22"/>
          <w:szCs w:val="22"/>
        </w:rPr>
        <w:t>Pattern Recognition Letters</w:t>
      </w:r>
      <w:r>
        <w:rPr>
          <w:rFonts w:ascii="arial" w:hAnsi="arial"/>
          <w:b w:val="false"/>
          <w:bCs w:val="false"/>
          <w:sz w:val="22"/>
          <w:szCs w:val="22"/>
        </w:rPr>
        <w:t>, vol.</w:t>
      </w:r>
      <w:r>
        <w:rPr>
          <w:rFonts w:ascii="arial" w:hAnsi="arial"/>
          <w:b w:val="false"/>
          <w:bCs w:val="false"/>
          <w:sz w:val="22"/>
          <w:szCs w:val="22"/>
        </w:rPr>
        <w:t xml:space="preserve">   </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31, no. 8, pp. 651–666, 2010.</w:t>
      </w:r>
    </w:p>
    <w:p>
      <w:pPr>
        <w:pStyle w:val="BodyText"/>
        <w:spacing w:lineRule="auto" w:line="360"/>
        <w:rPr>
          <w:rStyle w:val="Strong"/>
          <w:rFonts w:ascii="arial" w:hAnsi="arial"/>
          <w:b w:val="false"/>
          <w:bCs w:val="false"/>
          <w:sz w:val="22"/>
          <w:szCs w:val="22"/>
        </w:rPr>
      </w:pPr>
      <w:r>
        <w:rPr/>
      </w:r>
    </w:p>
    <w:p>
      <w:pPr>
        <w:pStyle w:val="BodyText"/>
        <w:spacing w:lineRule="auto" w:line="360"/>
        <w:rPr/>
      </w:pPr>
      <w:r>
        <w:rPr>
          <w:rStyle w:val="Strong"/>
          <w:rFonts w:ascii="arial" w:hAnsi="arial"/>
          <w:b w:val="false"/>
          <w:bCs w:val="false"/>
          <w:sz w:val="22"/>
          <w:szCs w:val="22"/>
        </w:rPr>
        <w:t xml:space="preserve">[14] </w:t>
      </w:r>
      <w:r>
        <w:rPr>
          <w:rFonts w:ascii="arial" w:hAnsi="arial"/>
          <w:b w:val="false"/>
          <w:bCs w:val="false"/>
          <w:sz w:val="22"/>
          <w:szCs w:val="22"/>
        </w:rPr>
        <w:t>D. M. W. Powers, "Evaluation: From Precision, Recall and F-Measure to ROC,</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 xml:space="preserve">Informedness, Markedness and Correlation," </w:t>
      </w:r>
      <w:r>
        <w:rPr>
          <w:rStyle w:val="Emphasis"/>
          <w:rFonts w:ascii="arial" w:hAnsi="arial"/>
          <w:b w:val="false"/>
          <w:bCs w:val="false"/>
          <w:sz w:val="22"/>
          <w:szCs w:val="22"/>
        </w:rPr>
        <w:t>Journal of Machine LearningTechnologies</w:t>
      </w:r>
      <w:r>
        <w:rPr>
          <w:rFonts w:ascii="arial" w:hAnsi="arial"/>
          <w:b w:val="false"/>
          <w:bCs w:val="false"/>
          <w:sz w:val="22"/>
          <w:szCs w:val="22"/>
        </w:rPr>
        <w:t xml:space="preserve">,   </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vol. 2, no. 1, pp. 37–63, 2011.</w:t>
      </w:r>
    </w:p>
    <w:p>
      <w:pPr>
        <w:pStyle w:val="BodyText"/>
        <w:spacing w:lineRule="auto" w:line="360"/>
        <w:rPr>
          <w:rFonts w:ascii="arial" w:hAnsi="arial"/>
          <w:b w:val="false"/>
          <w:bCs w:val="false"/>
          <w:sz w:val="22"/>
          <w:szCs w:val="22"/>
        </w:rPr>
      </w:pPr>
      <w:r>
        <w:rPr>
          <w:rFonts w:ascii="arial" w:hAnsi="arial"/>
          <w:b w:val="false"/>
          <w:bCs w:val="false"/>
          <w:sz w:val="22"/>
          <w:szCs w:val="22"/>
        </w:rPr>
      </w:r>
    </w:p>
    <w:p>
      <w:pPr>
        <w:pStyle w:val="BodyText"/>
        <w:spacing w:lineRule="auto" w:line="360"/>
        <w:rPr/>
      </w:pPr>
      <w:r>
        <w:rPr>
          <w:rStyle w:val="Strong"/>
          <w:rFonts w:ascii="arial" w:hAnsi="arial"/>
          <w:b w:val="false"/>
          <w:bCs w:val="false"/>
          <w:sz w:val="22"/>
          <w:szCs w:val="22"/>
        </w:rPr>
        <w:t xml:space="preserve">[15] </w:t>
      </w:r>
      <w:r>
        <w:rPr>
          <w:rFonts w:ascii="arial" w:hAnsi="arial"/>
          <w:b w:val="false"/>
          <w:bCs w:val="false"/>
          <w:sz w:val="22"/>
          <w:szCs w:val="22"/>
        </w:rPr>
        <w:t xml:space="preserve">G. W. Cassales, J. J. Liu, A. Bifet, B. Pfahringer, and E. Frank, "Accelerated Weka: GPU </w:t>
      </w:r>
    </w:p>
    <w:p>
      <w:pPr>
        <w:pStyle w:val="BodyText"/>
        <w:spacing w:lineRule="auto" w:line="360"/>
        <w:rPr/>
      </w:pPr>
      <w:r>
        <w:rPr>
          <w:rFonts w:ascii="arial" w:hAnsi="arial"/>
          <w:b w:val="false"/>
          <w:bCs w:val="false"/>
          <w:sz w:val="22"/>
          <w:szCs w:val="22"/>
        </w:rPr>
        <w:t xml:space="preserve">       </w:t>
      </w:r>
      <w:r>
        <w:rPr>
          <w:rFonts w:ascii="arial" w:hAnsi="arial"/>
          <w:b w:val="false"/>
          <w:bCs w:val="false"/>
          <w:sz w:val="22"/>
          <w:szCs w:val="22"/>
        </w:rPr>
        <w:t xml:space="preserve">Machine Learning with Weka Workbench," </w:t>
      </w:r>
      <w:r>
        <w:rPr>
          <w:rStyle w:val="Emphasis"/>
          <w:rFonts w:ascii="arial" w:hAnsi="arial"/>
          <w:b w:val="false"/>
          <w:bCs w:val="false"/>
          <w:sz w:val="22"/>
          <w:szCs w:val="22"/>
        </w:rPr>
        <w:t>Neurocomputing</w:t>
      </w:r>
      <w:r>
        <w:rPr>
          <w:rFonts w:ascii="arial" w:hAnsi="arial"/>
          <w:b w:val="false"/>
          <w:bCs w:val="false"/>
          <w:sz w:val="22"/>
          <w:szCs w:val="22"/>
        </w:rPr>
        <w:t>, vol. 646, Art. 130432, 2025.</w:t>
        <w:tab/>
      </w:r>
    </w:p>
    <w:p>
      <w:pPr>
        <w:pStyle w:val="Heading1"/>
        <w:rPr>
          <w:lang w:val="en-US" w:eastAsia="en-US" w:bidi="ar-SA"/>
        </w:rPr>
      </w:pPr>
      <w:bookmarkStart w:id="10" w:name="__RefHeading___Toc417_889290767"/>
      <w:bookmarkEnd w:id="10"/>
      <w:r>
        <w:rPr>
          <w:sz w:val="32"/>
          <w:szCs w:val="32"/>
        </w:rPr>
        <w:t>7. Appendix A</w:t>
        <w:tab/>
        <w:t>Weka Confusion Matrices</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This appendix presents the confusion matrices generated by Weka Explorer for each classification algorithm evaluated in the study. These matrices provide detailed classification outcomes by showing the numbers of correctly and incorrectly classified churn and non-churn instances, supporting the comparative performance discussed in Section 1.4.</w:t>
      </w:r>
    </w:p>
    <w:p>
      <w:pPr>
        <w:pStyle w:val="Heading2"/>
        <w:rPr/>
      </w:pPr>
      <w:bookmarkStart w:id="11" w:name="__RefHeading___Toc654_1566299942"/>
      <w:bookmarkEnd w:id="11"/>
      <w:r>
        <w:rPr>
          <w:sz w:val="28"/>
          <w:szCs w:val="28"/>
        </w:rPr>
        <w:t>A.1 ZeroR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Presents the baseline classification results, illustrating the performance achieved by predicting only the majority class.</w:t>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drawing>
          <wp:anchor behindDoc="0" distT="0" distB="0" distL="0" distR="0" simplePos="0" locked="0" layoutInCell="0" allowOverlap="1" relativeHeight="12">
            <wp:simplePos x="0" y="0"/>
            <wp:positionH relativeFrom="column">
              <wp:posOffset>1346835</wp:posOffset>
            </wp:positionH>
            <wp:positionV relativeFrom="paragraph">
              <wp:posOffset>5715</wp:posOffset>
            </wp:positionV>
            <wp:extent cx="3234055" cy="2330450"/>
            <wp:effectExtent l="0" t="0" r="0" b="0"/>
            <wp:wrapSquare wrapText="largest"/>
            <wp:docPr id="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descr=""/>
                    <pic:cNvPicPr>
                      <a:picLocks noChangeAspect="1" noChangeArrowheads="1"/>
                    </pic:cNvPicPr>
                  </pic:nvPicPr>
                  <pic:blipFill>
                    <a:blip r:embed="rId9"/>
                    <a:stretch>
                      <a:fillRect/>
                    </a:stretch>
                  </pic:blipFill>
                  <pic:spPr bwMode="auto">
                    <a:xfrm>
                      <a:off x="0" y="0"/>
                      <a:ext cx="3234055" cy="2330450"/>
                    </a:xfrm>
                    <a:prstGeom prst="rect">
                      <a:avLst/>
                    </a:prstGeom>
                  </pic:spPr>
                </pic:pic>
              </a:graphicData>
            </a:graphic>
          </wp:anchor>
        </w:drawing>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spacing w:lineRule="auto" w:line="360"/>
        <w:ind w:hanging="0" w:left="0"/>
        <w:jc w:val="left"/>
        <w:rPr>
          <w:rFonts w:ascii="arial" w:hAnsi="arial"/>
        </w:rPr>
      </w:pPr>
      <w:r>
        <w:rPr>
          <w:rFonts w:ascii="arial" w:hAnsi="arial"/>
        </w:rPr>
      </w:r>
    </w:p>
    <w:p>
      <w:pPr>
        <w:pStyle w:val="Normal"/>
        <w:spacing w:lineRule="auto" w:line="360"/>
        <w:ind w:hanging="0" w:left="0"/>
        <w:jc w:val="center"/>
        <w:rPr>
          <w:rFonts w:ascii="arial" w:hAnsi="arial"/>
        </w:rPr>
      </w:pPr>
      <w:r>
        <w:rPr>
          <w:rFonts w:ascii="arial" w:hAnsi="arial"/>
          <w:b/>
          <w:bCs/>
          <w:i w:val="false"/>
          <w:iCs w:val="false"/>
          <w:sz w:val="18"/>
          <w:szCs w:val="18"/>
        </w:rPr>
        <w:t xml:space="preserve">Figure 1: </w:t>
      </w:r>
      <w:r>
        <w:rPr>
          <w:rFonts w:ascii="arial" w:hAnsi="arial"/>
          <w:i/>
          <w:iCs/>
          <w:sz w:val="18"/>
          <w:szCs w:val="18"/>
        </w:rPr>
        <w:t>ZeroR Confusion Matrix</w:t>
      </w:r>
    </w:p>
    <w:p>
      <w:pPr>
        <w:pStyle w:val="Heading2"/>
        <w:rPr>
          <w:sz w:val="28"/>
          <w:szCs w:val="28"/>
        </w:rPr>
      </w:pPr>
      <w:bookmarkStart w:id="12" w:name="__RefHeading___Toc656_1566299942"/>
      <w:bookmarkEnd w:id="12"/>
      <w:r>
        <w:rPr>
          <w:sz w:val="28"/>
          <w:szCs w:val="28"/>
        </w:rPr>
        <w:t>A.2 J48 Decision Tree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Shows the classification results produced by the J48 decision tree algorithm, including correctly classified instances and prediction errors.</w:t>
      </w:r>
    </w:p>
    <w:p>
      <w:pPr>
        <w:pStyle w:val="Normal"/>
        <w:widowControl/>
        <w:suppressAutoHyphens w:val="true"/>
        <w:overflowPunct w:val="false"/>
        <w:bidi w:val="0"/>
        <w:spacing w:lineRule="auto" w:line="360"/>
        <w:ind w:hanging="0" w:left="0"/>
        <w:jc w:val="left"/>
        <w:rPr>
          <w:sz w:val="22"/>
          <w:szCs w:val="22"/>
          <w:lang w:val="en-US" w:eastAsia="en-US" w:bidi="ar-SA"/>
        </w:rPr>
      </w:pPr>
      <w:r>
        <w:rPr>
          <w:sz w:val="22"/>
          <w:szCs w:val="22"/>
          <w:lang w:val="en-US" w:eastAsia="en-US" w:bidi="ar-SA"/>
        </w:rPr>
        <w:drawing>
          <wp:anchor behindDoc="0" distT="0" distB="0" distL="0" distR="0" simplePos="0" locked="0" layoutInCell="0" allowOverlap="1" relativeHeight="9">
            <wp:simplePos x="0" y="0"/>
            <wp:positionH relativeFrom="column">
              <wp:posOffset>1497330</wp:posOffset>
            </wp:positionH>
            <wp:positionV relativeFrom="paragraph">
              <wp:posOffset>-49530</wp:posOffset>
            </wp:positionV>
            <wp:extent cx="3071495" cy="2338070"/>
            <wp:effectExtent l="0" t="0" r="0" b="0"/>
            <wp:wrapSquare wrapText="largest"/>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10"/>
                    <a:stretch>
                      <a:fillRect/>
                    </a:stretch>
                  </pic:blipFill>
                  <pic:spPr bwMode="auto">
                    <a:xfrm>
                      <a:off x="0" y="0"/>
                      <a:ext cx="3071495" cy="2338070"/>
                    </a:xfrm>
                    <a:prstGeom prst="rect">
                      <a:avLst/>
                    </a:prstGeom>
                  </pic:spPr>
                </pic:pic>
              </a:graphicData>
            </a:graphic>
          </wp:anchor>
        </w:drawing>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spacing w:lineRule="auto" w:line="360"/>
        <w:ind w:hanging="0" w:left="0"/>
        <w:jc w:val="left"/>
        <w:rPr>
          <w:rFonts w:ascii="arial" w:hAnsi="arial"/>
        </w:rPr>
      </w:pPr>
      <w:r>
        <w:rPr>
          <w:rFonts w:ascii="arial" w:hAnsi="arial"/>
        </w:rPr>
      </w:r>
    </w:p>
    <w:p>
      <w:pPr>
        <w:pStyle w:val="Normal"/>
        <w:spacing w:lineRule="auto" w:line="360"/>
        <w:ind w:hanging="0" w:left="0"/>
        <w:jc w:val="center"/>
        <w:rPr>
          <w:rFonts w:ascii="arial" w:hAnsi="arial"/>
        </w:rPr>
      </w:pPr>
      <w:r>
        <w:rPr>
          <w:rFonts w:ascii="arial" w:hAnsi="arial"/>
          <w:b/>
          <w:bCs/>
          <w:i w:val="false"/>
          <w:iCs w:val="false"/>
          <w:sz w:val="18"/>
          <w:szCs w:val="18"/>
        </w:rPr>
        <w:t xml:space="preserve">Figure 2: </w:t>
      </w:r>
      <w:r>
        <w:rPr>
          <w:rFonts w:ascii="arial" w:hAnsi="arial"/>
          <w:b w:val="false"/>
          <w:bCs w:val="false"/>
          <w:i/>
          <w:iCs/>
          <w:sz w:val="18"/>
          <w:szCs w:val="18"/>
        </w:rPr>
        <w:t>J48 Decision Tree Confusion Matrix</w:t>
      </w:r>
    </w:p>
    <w:p>
      <w:pPr>
        <w:pStyle w:val="Heading2"/>
        <w:rPr/>
      </w:pPr>
      <w:bookmarkStart w:id="13" w:name="__RefHeading___Toc658_1566299942"/>
      <w:bookmarkEnd w:id="13"/>
      <w:r>
        <w:rPr>
          <w:sz w:val="28"/>
          <w:szCs w:val="28"/>
        </w:rPr>
        <w:t>A.3 Logistic Regression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Presents the classification outcomes for Logistic Regression, the best-performing model in this study, illustrating its ability to distinguish between churn and non-churn customers.</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Figure: Logistic Regression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rPr>
        <w:drawing>
          <wp:anchor behindDoc="0" distT="0" distB="0" distL="0" distR="0" simplePos="0" locked="0" layoutInCell="0" allowOverlap="1" relativeHeight="13">
            <wp:simplePos x="0" y="0"/>
            <wp:positionH relativeFrom="column">
              <wp:posOffset>1080135</wp:posOffset>
            </wp:positionH>
            <wp:positionV relativeFrom="paragraph">
              <wp:posOffset>17145</wp:posOffset>
            </wp:positionV>
            <wp:extent cx="3783330" cy="2682240"/>
            <wp:effectExtent l="0" t="0" r="0" b="0"/>
            <wp:wrapSquare wrapText="largest"/>
            <wp:docPr id="1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 descr=""/>
                    <pic:cNvPicPr>
                      <a:picLocks noChangeAspect="1" noChangeArrowheads="1"/>
                    </pic:cNvPicPr>
                  </pic:nvPicPr>
                  <pic:blipFill>
                    <a:blip r:embed="rId11"/>
                    <a:stretch>
                      <a:fillRect/>
                    </a:stretch>
                  </pic:blipFill>
                  <pic:spPr bwMode="auto">
                    <a:xfrm>
                      <a:off x="0" y="0"/>
                      <a:ext cx="3783330" cy="2682240"/>
                    </a:xfrm>
                    <a:prstGeom prst="rect">
                      <a:avLst/>
                    </a:prstGeom>
                  </pic:spPr>
                </pic:pic>
              </a:graphicData>
            </a:graphic>
          </wp:anchor>
        </w:drawing>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r>
    </w:p>
    <w:p>
      <w:pPr>
        <w:pStyle w:val="Normal"/>
        <w:widowControl/>
        <w:suppressAutoHyphens w:val="true"/>
        <w:overflowPunct w:val="false"/>
        <w:bidi w:val="0"/>
        <w:spacing w:lineRule="auto" w:line="360"/>
        <w:ind w:hanging="0" w:left="0"/>
        <w:jc w:val="left"/>
        <w:rPr>
          <w:rFonts w:ascii="arial" w:hAnsi="arial"/>
          <w:sz w:val="18"/>
          <w:szCs w:val="18"/>
          <w:lang w:val="en-US" w:eastAsia="en-US" w:bidi="ar-SA"/>
        </w:rPr>
      </w:pPr>
      <w:r>
        <w:rPr>
          <w:rFonts w:ascii="arial" w:hAnsi="arial"/>
          <w:sz w:val="18"/>
          <w:szCs w:val="18"/>
          <w:lang w:val="en-US" w:eastAsia="en-US" w:bidi="ar-SA"/>
        </w:rPr>
      </w:r>
    </w:p>
    <w:p>
      <w:pPr>
        <w:pStyle w:val="Normal"/>
        <w:widowControl/>
        <w:suppressAutoHyphens w:val="true"/>
        <w:overflowPunct w:val="false"/>
        <w:bidi w:val="0"/>
        <w:spacing w:lineRule="auto" w:line="360"/>
        <w:ind w:hanging="0" w:left="0"/>
        <w:jc w:val="center"/>
        <w:rPr>
          <w:rFonts w:ascii="arial" w:hAnsi="arial"/>
          <w:sz w:val="18"/>
          <w:szCs w:val="18"/>
          <w:lang w:val="en-US" w:eastAsia="en-US" w:bidi="ar-SA"/>
        </w:rPr>
      </w:pPr>
      <w:r>
        <w:rPr>
          <w:rFonts w:ascii="arial" w:hAnsi="arial"/>
          <w:b/>
          <w:bCs/>
          <w:sz w:val="18"/>
          <w:szCs w:val="18"/>
          <w:lang w:val="en-US" w:eastAsia="en-US" w:bidi="ar-SA"/>
        </w:rPr>
        <w:t>Figure 3:</w:t>
      </w:r>
      <w:r>
        <w:rPr>
          <w:rFonts w:ascii="arial" w:hAnsi="arial"/>
          <w:sz w:val="18"/>
          <w:szCs w:val="18"/>
          <w:lang w:val="en-US" w:eastAsia="en-US" w:bidi="ar-SA"/>
        </w:rPr>
        <w:t xml:space="preserve"> </w:t>
      </w:r>
      <w:r>
        <w:rPr>
          <w:rFonts w:ascii="arial" w:hAnsi="arial"/>
          <w:i/>
          <w:iCs/>
          <w:sz w:val="18"/>
          <w:szCs w:val="18"/>
          <w:lang w:val="en-US" w:eastAsia="en-US" w:bidi="ar-SA"/>
        </w:rPr>
        <w:t>Logistic Regression Confusion Matrix</w:t>
      </w:r>
    </w:p>
    <w:p>
      <w:pPr>
        <w:pStyle w:val="Normal"/>
        <w:widowControl/>
        <w:suppressAutoHyphens w:val="true"/>
        <w:overflowPunct w:val="false"/>
        <w:bidi w:val="0"/>
        <w:spacing w:lineRule="auto" w:line="360"/>
        <w:ind w:hanging="0" w:left="0"/>
        <w:jc w:val="center"/>
        <w:rPr>
          <w:rFonts w:ascii="arial" w:hAnsi="arial"/>
          <w:sz w:val="18"/>
          <w:szCs w:val="18"/>
          <w:lang w:val="en-US" w:eastAsia="en-US" w:bidi="ar-SA"/>
        </w:rPr>
      </w:pPr>
      <w:r>
        <w:rPr>
          <w:rFonts w:ascii="arial" w:hAnsi="arial"/>
          <w:sz w:val="18"/>
          <w:szCs w:val="18"/>
          <w:lang w:val="en-US" w:eastAsia="en-US" w:bidi="ar-SA"/>
        </w:rPr>
      </w:r>
    </w:p>
    <w:p>
      <w:pPr>
        <w:pStyle w:val="Heading2"/>
        <w:rPr>
          <w:sz w:val="28"/>
          <w:szCs w:val="28"/>
        </w:rPr>
      </w:pPr>
      <w:bookmarkStart w:id="14" w:name="__RefHeading___Toc660_1566299942"/>
      <w:bookmarkEnd w:id="14"/>
      <w:r>
        <w:rPr>
          <w:sz w:val="28"/>
          <w:szCs w:val="28"/>
        </w:rPr>
        <w:t>A.4 Random Forest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Shows the classification performance of the Random Forest algorithm, highlighting the distribution of correct and incorrect predictions.</w:t>
      </w:r>
    </w:p>
    <w:p>
      <w:pPr>
        <w:pStyle w:val="Normal"/>
        <w:widowControl/>
        <w:suppressAutoHyphens w:val="true"/>
        <w:overflowPunct w:val="false"/>
        <w:bidi w:val="0"/>
        <w:spacing w:lineRule="auto" w:line="360"/>
        <w:ind w:hanging="0" w:left="0"/>
        <w:jc w:val="left"/>
        <w:rPr>
          <w:rFonts w:ascii="arial" w:hAnsi="arial"/>
          <w:sz w:val="22"/>
          <w:szCs w:val="22"/>
          <w:lang w:val="en-US" w:eastAsia="en-US" w:bidi="ar-SA"/>
        </w:rPr>
      </w:pPr>
      <w:r>
        <w:rPr>
          <w:rFonts w:ascii="arial" w:hAnsi="arial"/>
          <w:sz w:val="22"/>
          <w:szCs w:val="22"/>
          <w:lang w:val="en-US" w:eastAsia="en-US" w:bidi="ar-SA"/>
        </w:rPr>
        <w:drawing>
          <wp:anchor behindDoc="0" distT="0" distB="0" distL="0" distR="0" simplePos="0" locked="0" layoutInCell="0" allowOverlap="1" relativeHeight="11">
            <wp:simplePos x="0" y="0"/>
            <wp:positionH relativeFrom="column">
              <wp:align>center</wp:align>
            </wp:positionH>
            <wp:positionV relativeFrom="paragraph">
              <wp:posOffset>635</wp:posOffset>
            </wp:positionV>
            <wp:extent cx="3570605" cy="2785745"/>
            <wp:effectExtent l="0" t="0" r="0" b="0"/>
            <wp:wrapSquare wrapText="largest"/>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2"/>
                    <a:stretch>
                      <a:fillRect/>
                    </a:stretch>
                  </pic:blipFill>
                  <pic:spPr bwMode="auto">
                    <a:xfrm>
                      <a:off x="0" y="0"/>
                      <a:ext cx="3570605" cy="2785745"/>
                    </a:xfrm>
                    <a:prstGeom prst="rect">
                      <a:avLst/>
                    </a:prstGeom>
                  </pic:spPr>
                </pic:pic>
              </a:graphicData>
            </a:graphic>
          </wp:anchor>
        </w:drawing>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rPr>
      </w:pPr>
      <w:r>
        <w:rPr>
          <w:rFonts w:ascii="arial" w:hAnsi="arial"/>
        </w:rPr>
      </w:r>
    </w:p>
    <w:p>
      <w:pPr>
        <w:pStyle w:val="Normal"/>
        <w:widowControl/>
        <w:suppressAutoHyphens w:val="true"/>
        <w:overflowPunct w:val="false"/>
        <w:bidi w:val="0"/>
        <w:spacing w:lineRule="auto" w:line="360"/>
        <w:ind w:hanging="0" w:left="0"/>
        <w:jc w:val="left"/>
        <w:rPr>
          <w:rFonts w:ascii="arial" w:hAnsi="arial"/>
          <w:sz w:val="18"/>
          <w:szCs w:val="18"/>
        </w:rPr>
      </w:pPr>
      <w:r>
        <w:rPr>
          <w:rFonts w:ascii="arial" w:hAnsi="arial"/>
          <w:sz w:val="18"/>
          <w:szCs w:val="18"/>
        </w:rPr>
      </w:r>
    </w:p>
    <w:p>
      <w:pPr>
        <w:pStyle w:val="Normal"/>
        <w:widowControl/>
        <w:suppressAutoHyphens w:val="true"/>
        <w:overflowPunct w:val="false"/>
        <w:bidi w:val="0"/>
        <w:spacing w:lineRule="auto" w:line="360"/>
        <w:ind w:hanging="0" w:left="0"/>
        <w:jc w:val="center"/>
        <w:rPr>
          <w:rFonts w:ascii="arial" w:hAnsi="arial"/>
          <w:sz w:val="18"/>
          <w:szCs w:val="18"/>
        </w:rPr>
      </w:pPr>
      <w:r>
        <w:rPr>
          <w:rFonts w:ascii="arial" w:hAnsi="arial"/>
          <w:b/>
          <w:bCs/>
          <w:sz w:val="18"/>
          <w:szCs w:val="18"/>
        </w:rPr>
        <w:t>Figure 4:</w:t>
      </w:r>
      <w:r>
        <w:rPr>
          <w:rFonts w:ascii="arial" w:hAnsi="arial"/>
          <w:sz w:val="18"/>
          <w:szCs w:val="18"/>
        </w:rPr>
        <w:t xml:space="preserve">  </w:t>
      </w:r>
      <w:r>
        <w:rPr>
          <w:rFonts w:ascii="arial" w:hAnsi="arial"/>
          <w:i/>
          <w:iCs/>
          <w:sz w:val="18"/>
          <w:szCs w:val="18"/>
        </w:rPr>
        <w:t>Random Forest Confusion Matrix</w:t>
      </w:r>
    </w:p>
    <w:p>
      <w:pPr>
        <w:pStyle w:val="Heading2"/>
        <w:rPr>
          <w:sz w:val="28"/>
          <w:szCs w:val="28"/>
        </w:rPr>
      </w:pPr>
      <w:bookmarkStart w:id="15" w:name="__RefHeading___Toc662_1566299942"/>
      <w:bookmarkEnd w:id="15"/>
      <w:r>
        <w:rPr>
          <w:sz w:val="28"/>
          <w:szCs w:val="28"/>
        </w:rPr>
        <w:t>A.5 Naïve Bayes Confusion Matrix</w:t>
      </w:r>
    </w:p>
    <w:p>
      <w:pPr>
        <w:pStyle w:val="Normal"/>
        <w:widowControl/>
        <w:suppressAutoHyphens w:val="true"/>
        <w:overflowPunct w:val="false"/>
        <w:bidi w:val="0"/>
        <w:spacing w:lineRule="auto" w:line="360"/>
        <w:ind w:hanging="0" w:left="0"/>
        <w:jc w:val="left"/>
        <w:rPr>
          <w:rFonts w:ascii="arial" w:hAnsi="arial"/>
        </w:rPr>
      </w:pPr>
      <w:r>
        <w:rPr>
          <w:rFonts w:ascii="arial" w:hAnsi="arial"/>
          <w:sz w:val="22"/>
          <w:szCs w:val="22"/>
          <w:lang w:val="en-US" w:eastAsia="en-US" w:bidi="ar-SA"/>
        </w:rPr>
        <w:t>Presents the confusion matrix for the Naïve Bayes classifier, illustrating its prediction performance relative to the other evaluated models.</w:t>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drawing>
          <wp:anchor behindDoc="0" distT="0" distB="0" distL="0" distR="0" simplePos="0" locked="0" layoutInCell="0" allowOverlap="1" relativeHeight="10">
            <wp:simplePos x="0" y="0"/>
            <wp:positionH relativeFrom="column">
              <wp:align>center</wp:align>
            </wp:positionH>
            <wp:positionV relativeFrom="paragraph">
              <wp:posOffset>635</wp:posOffset>
            </wp:positionV>
            <wp:extent cx="3941445" cy="3199130"/>
            <wp:effectExtent l="0" t="0" r="0" b="0"/>
            <wp:wrapSquare wrapText="largest"/>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3"/>
                    <a:stretch>
                      <a:fillRect/>
                    </a:stretch>
                  </pic:blipFill>
                  <pic:spPr bwMode="auto">
                    <a:xfrm>
                      <a:off x="0" y="0"/>
                      <a:ext cx="3941445" cy="3199130"/>
                    </a:xfrm>
                    <a:prstGeom prst="rect">
                      <a:avLst/>
                    </a:prstGeom>
                  </pic:spPr>
                </pic:pic>
              </a:graphicData>
            </a:graphic>
          </wp:anchor>
        </w:drawing>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sz w:val="18"/>
          <w:szCs w:val="18"/>
        </w:rPr>
      </w:pPr>
      <w:r>
        <w:rPr>
          <w:sz w:val="18"/>
          <w:szCs w:val="18"/>
        </w:rPr>
      </w:r>
    </w:p>
    <w:p>
      <w:pPr>
        <w:pStyle w:val="Normal"/>
        <w:widowControl/>
        <w:suppressAutoHyphens w:val="true"/>
        <w:overflowPunct w:val="false"/>
        <w:bidi w:val="0"/>
        <w:spacing w:lineRule="auto" w:line="360"/>
        <w:ind w:hanging="0" w:left="0"/>
        <w:jc w:val="center"/>
        <w:rPr>
          <w:sz w:val="18"/>
          <w:szCs w:val="18"/>
        </w:rPr>
      </w:pPr>
      <w:r>
        <w:rPr/>
      </w:r>
    </w:p>
    <w:p>
      <w:pPr>
        <w:pStyle w:val="Normal"/>
        <w:widowControl/>
        <w:suppressAutoHyphens w:val="true"/>
        <w:overflowPunct w:val="false"/>
        <w:bidi w:val="0"/>
        <w:spacing w:lineRule="auto" w:line="360"/>
        <w:ind w:hanging="0" w:left="0"/>
        <w:jc w:val="center"/>
        <w:rPr>
          <w:sz w:val="18"/>
          <w:szCs w:val="18"/>
        </w:rPr>
      </w:pPr>
      <w:r>
        <w:rPr>
          <w:rFonts w:ascii="Carial" w:hAnsi="Carial"/>
          <w:b/>
          <w:bCs/>
          <w:sz w:val="18"/>
          <w:szCs w:val="18"/>
          <w:lang w:val="en-US" w:eastAsia="en-US" w:bidi="ar-SA"/>
        </w:rPr>
        <w:t>Figure 5:</w:t>
      </w:r>
      <w:r>
        <w:rPr>
          <w:rFonts w:ascii="Carial" w:hAnsi="Carial"/>
          <w:sz w:val="18"/>
          <w:szCs w:val="18"/>
          <w:lang w:val="en-US" w:eastAsia="en-US" w:bidi="ar-SA"/>
        </w:rPr>
        <w:t xml:space="preserve"> </w:t>
      </w:r>
      <w:r>
        <w:rPr>
          <w:rFonts w:ascii="Carial" w:hAnsi="Carial"/>
          <w:i/>
          <w:iCs/>
          <w:sz w:val="18"/>
          <w:szCs w:val="18"/>
          <w:u w:val="none"/>
          <w:lang w:val="en-US" w:eastAsia="en-US" w:bidi="ar-SA"/>
        </w:rPr>
        <w:t>Naïve Bayes Confusion Matrix</w:t>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p>
      <w:pPr>
        <w:pStyle w:val="Normal"/>
        <w:widowControl/>
        <w:suppressAutoHyphens w:val="true"/>
        <w:overflowPunct w:val="false"/>
        <w:bidi w:val="0"/>
        <w:spacing w:lineRule="auto" w:line="360"/>
        <w:ind w:hanging="0" w:left="0"/>
        <w:jc w:val="left"/>
        <w:rPr>
          <w:rFonts w:ascii="Carial" w:hAnsi="Carial"/>
          <w:sz w:val="22"/>
          <w:szCs w:val="22"/>
          <w:lang w:val="en-US" w:eastAsia="en-US" w:bidi="ar-SA"/>
        </w:rPr>
      </w:pPr>
      <w:r>
        <w:rPr>
          <w:rFonts w:ascii="Carial" w:hAnsi="Carial"/>
          <w:sz w:val="22"/>
          <w:szCs w:val="22"/>
          <w:lang w:val="en-US" w:eastAsia="en-US" w:bidi="ar-SA"/>
        </w:rPr>
      </w:r>
    </w:p>
    <w:sectPr>
      <w:footerReference w:type="even" r:id="rId14"/>
      <w:footerReference w:type="default" r:id="rId15"/>
      <w:footerReference w:type="first" r:id="rId16"/>
      <w:type w:val="nextPage"/>
      <w:pgSz w:w="12240" w:h="15840"/>
      <w:pgMar w:left="1440" w:right="1440" w:gutter="0" w:header="0" w:top="1440" w:footer="1440" w:bottom="199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Light">
    <w:charset w:val="01"/>
    <w:family w:val="roman"/>
    <w:pitch w:val="variable"/>
  </w:font>
  <w:font w:name="OpenSymbol">
    <w:altName w:val="Arial Unicode MS"/>
    <w:charset w:val="01"/>
    <w:family w:val="roman"/>
    <w:pitch w:val="variable"/>
  </w:font>
  <w:font w:name="Aptos Display">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Arial">
    <w:charset w:val="01"/>
    <w:family w:val="roman"/>
    <w:pitch w:val="variable"/>
  </w:font>
  <w:font w:name="arial">
    <w:charset w:val="01"/>
    <w:family w:val="roman"/>
    <w:pitch w:val="variable"/>
  </w:font>
  <w:font w:name="C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8"/>
        <w:szCs w:val="18"/>
      </w:rPr>
    </w:pPr>
    <w:bookmarkStart w:id="16" w:name="PageNumWizard_FOOTER_Default_Page_Style1"/>
    <w:r>
      <w:rPr/>
      <w:fldChar w:fldCharType="begin"/>
    </w:r>
    <w:r>
      <w:rPr/>
      <w:instrText xml:space="preserve"> PAGE </w:instrText>
    </w:r>
    <w:r>
      <w:rPr/>
      <w:fldChar w:fldCharType="separate"/>
    </w:r>
    <w:r>
      <w:rPr/>
      <w:t>20</w:t>
    </w:r>
    <w:r>
      <w:rPr/>
      <w:fldChar w:fldCharType="end"/>
    </w:r>
    <w:bookmarkEnd w:id="16"/>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8"/>
        <w:szCs w:val="18"/>
      </w:rPr>
    </w:pPr>
    <w:bookmarkStart w:id="17" w:name="PageNumWizard_FOOTER_Default_Page_Style1"/>
    <w:r>
      <w:rPr/>
      <w:fldChar w:fldCharType="begin"/>
    </w:r>
    <w:r>
      <w:rPr/>
      <w:instrText xml:space="preserve"> PAGE </w:instrText>
    </w:r>
    <w:r>
      <w:rPr/>
      <w:fldChar w:fldCharType="separate"/>
    </w:r>
    <w:r>
      <w:rPr/>
      <w:t>20</w:t>
    </w:r>
    <w:r>
      <w:rPr/>
      <w:fldChar w:fldCharType="end"/>
    </w:r>
    <w:bookmarkEnd w:id="17"/>
  </w:p>
</w:ftr>
</file>

<file path=word/settings.xml><?xml version="1.0" encoding="utf-8"?>
<w:settings xmlns:w="http://schemas.openxmlformats.org/wordprocessingml/2006/main">
  <w:zoom w:percent="2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CJK SC" w:cs="Noto Sans Devanagari"/>
        <w:lang w:val="en-US"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Noto Serif CJK SC" w:cs="Noto Sans Devanagari"/>
      <w:color w:val="auto"/>
      <w:kern w:val="0"/>
      <w:sz w:val="24"/>
      <w:szCs w:val="24"/>
      <w:lang w:val="en-US" w:eastAsia="en-US" w:bidi="ar-SA"/>
    </w:rPr>
  </w:style>
  <w:style w:type="paragraph" w:styleId="Heading1">
    <w:name w:val="Heading 1"/>
    <w:basedOn w:val="Normal"/>
    <w:next w:val="Normal"/>
    <w:link w:val="Heading1Char"/>
    <w:qFormat/>
    <w:pPr>
      <w:keepNext w:val="true"/>
      <w:keepLines/>
      <w:spacing w:before="240" w:after="0"/>
      <w:outlineLvl w:val="0"/>
    </w:pPr>
    <w:rPr>
      <w:rFonts w:ascii="Times New Roman" w:hAnsi="Times New Roman" w:eastAsia="Times New Roman" w:cs="Times New Roman"/>
      <w:b/>
      <w:bCs/>
      <w:i w:val="false"/>
      <w:color w:val="2F5496"/>
      <w:kern w:val="2"/>
      <w:sz w:val="48"/>
      <w:szCs w:val="48"/>
    </w:rPr>
  </w:style>
  <w:style w:type="paragraph" w:styleId="Heading2">
    <w:name w:val="Heading 2"/>
    <w:basedOn w:val="Normal"/>
    <w:next w:val="Normal"/>
    <w:link w:val="Heading2Char"/>
    <w:qFormat/>
    <w:pPr>
      <w:keepNext w:val="true"/>
      <w:keepLines/>
      <w:spacing w:before="40" w:after="0"/>
      <w:outlineLvl w:val="1"/>
    </w:pPr>
    <w:rPr>
      <w:rFonts w:ascii="Times New Roman" w:hAnsi="Times New Roman" w:eastAsia="Times New Roman" w:cs="Times New Roman"/>
      <w:b/>
      <w:bCs/>
      <w:i w:val="false"/>
      <w:color w:val="2F5496"/>
      <w:sz w:val="36"/>
      <w:szCs w:val="36"/>
    </w:rPr>
  </w:style>
  <w:style w:type="paragraph" w:styleId="Heading3">
    <w:name w:val="Heading 3"/>
    <w:basedOn w:val="Normal"/>
    <w:next w:val="Normal"/>
    <w:link w:val="Heading3Char"/>
    <w:qFormat/>
    <w:pPr>
      <w:keepNext w:val="true"/>
      <w:keepLines/>
      <w:spacing w:before="40" w:after="0"/>
      <w:outlineLvl w:val="2"/>
    </w:pPr>
    <w:rPr>
      <w:rFonts w:ascii="Times New Roman" w:hAnsi="Times New Roman" w:eastAsia="Times New Roman" w:cs="Times New Roman"/>
      <w:b/>
      <w:bCs/>
      <w:i w:val="false"/>
      <w:color w:val="1F3763"/>
      <w:sz w:val="28"/>
      <w:szCs w:val="28"/>
    </w:rPr>
  </w:style>
  <w:style w:type="paragraph" w:styleId="Heading4">
    <w:name w:val="Heading 4"/>
    <w:basedOn w:val="Normal"/>
    <w:next w:val="Normal"/>
    <w:link w:val="Heading4Char"/>
    <w:qFormat/>
    <w:pPr>
      <w:keepNext w:val="true"/>
      <w:keepLines/>
      <w:spacing w:before="40" w:after="0"/>
      <w:outlineLvl w:val="3"/>
    </w:pPr>
    <w:rPr>
      <w:rFonts w:ascii="Times New Roman" w:hAnsi="Times New Roman" w:eastAsia="Times New Roman" w:cs="Times New Roman"/>
      <w:b/>
      <w:bCs/>
      <w:i w:val="false"/>
      <w:iCs/>
      <w:color w:val="2F5496"/>
      <w:sz w:val="24"/>
      <w:szCs w:val="24"/>
    </w:rPr>
  </w:style>
  <w:style w:type="paragraph" w:styleId="Heading5">
    <w:name w:val="Heading 5"/>
    <w:basedOn w:val="Normal"/>
    <w:next w:val="Normal"/>
    <w:link w:val="Heading5Char"/>
    <w:qFormat/>
    <w:pPr>
      <w:keepNext w:val="true"/>
      <w:keepLines/>
      <w:spacing w:before="40" w:after="0"/>
      <w:outlineLvl w:val="4"/>
    </w:pPr>
    <w:rPr>
      <w:rFonts w:ascii="Times New Roman" w:hAnsi="Times New Roman" w:eastAsia="Times New Roman" w:cs="Times New Roman"/>
      <w:b/>
      <w:bCs/>
      <w:i w:val="false"/>
      <w:color w:val="2F5496"/>
      <w:sz w:val="20"/>
      <w:szCs w:val="20"/>
    </w:rPr>
  </w:style>
  <w:style w:type="paragraph" w:styleId="Heading6">
    <w:name w:val="Heading 6"/>
    <w:basedOn w:val="Normal"/>
    <w:next w:val="Normal"/>
    <w:link w:val="Heading6Char"/>
    <w:qFormat/>
    <w:pPr>
      <w:keepNext w:val="true"/>
      <w:keepLines/>
      <w:spacing w:before="40" w:after="0"/>
      <w:outlineLvl w:val="5"/>
    </w:pPr>
    <w:rPr>
      <w:rFonts w:ascii="Times New Roman" w:hAnsi="Times New Roman" w:eastAsia="Times New Roman" w:cs="Times New Roman"/>
      <w:b/>
      <w:bCs/>
      <w:i w:val="false"/>
      <w:color w:val="1F3763"/>
      <w:sz w:val="16"/>
      <w:szCs w:val="16"/>
    </w:rPr>
  </w:style>
  <w:style w:type="paragraph" w:styleId="Heading7">
    <w:name w:val="Heading 7"/>
    <w:basedOn w:val="Normal"/>
    <w:next w:val="Normal"/>
    <w:qFormat/>
    <w:pPr>
      <w:keepNext w:val="true"/>
      <w:keepLines/>
      <w:spacing w:before="40" w:after="0"/>
      <w:ind w:hanging="10" w:left="-5"/>
      <w:outlineLvl w:val="6"/>
    </w:pPr>
    <w:rPr>
      <w:rFonts w:eastAsia="Arial" w:cs="Arial"/>
      <w:color w:themeColor="dark1" w:themeTint="a6" w:val="595959"/>
    </w:rPr>
  </w:style>
  <w:style w:type="paragraph" w:styleId="Heading8">
    <w:name w:val="Heading 8"/>
    <w:basedOn w:val="Normal"/>
    <w:next w:val="Normal"/>
    <w:qFormat/>
    <w:pPr>
      <w:keepNext w:val="true"/>
      <w:keepLines/>
      <w:spacing w:before="0" w:after="0"/>
      <w:ind w:hanging="10" w:left="-5"/>
      <w:outlineLvl w:val="7"/>
    </w:pPr>
    <w:rPr>
      <w:rFonts w:eastAsia="Arial" w:cs="Arial"/>
      <w:i/>
      <w:iCs/>
      <w:color w:themeColor="dark1" w:themeTint="d8" w:val="272727"/>
    </w:rPr>
  </w:style>
  <w:style w:type="paragraph" w:styleId="Heading9">
    <w:name w:val="Heading 9"/>
    <w:basedOn w:val="Normal"/>
    <w:next w:val="Normal"/>
    <w:qFormat/>
    <w:pPr>
      <w:keepNext w:val="true"/>
      <w:keepLines/>
      <w:spacing w:before="0" w:after="0"/>
      <w:ind w:hanging="10" w:left="-5"/>
      <w:outlineLvl w:val="8"/>
    </w:pPr>
    <w:rPr>
      <w:rFonts w:eastAsia="Arial" w:cs="Arial"/>
      <w:color w:themeColor="dark1" w:themeTint="d8" w:val="272727"/>
    </w:rPr>
  </w:style>
  <w:style w:type="character" w:styleId="DefaultParagraphFont">
    <w:name w:val="Default Paragraph Font"/>
    <w:qFormat/>
    <w:rPr/>
  </w:style>
  <w:style w:type="character" w:styleId="Heading1Char">
    <w:name w:val="Heading 1 Char"/>
    <w:basedOn w:val="DefaultParagraphFont"/>
    <w:link w:val="Heading1"/>
    <w:qFormat/>
    <w:rPr>
      <w:rFonts w:ascii="Calibri Light" w:hAnsi="Calibri Light" w:eastAsia="Times New Roman" w:cs="Times New Roman"/>
      <w:color w:val="2F5496"/>
      <w:sz w:val="32"/>
      <w:szCs w:val="32"/>
    </w:rPr>
  </w:style>
  <w:style w:type="character" w:styleId="Heading2Char">
    <w:name w:val="Heading 2 Char"/>
    <w:basedOn w:val="DefaultParagraphFont"/>
    <w:link w:val="Heading2"/>
    <w:qFormat/>
    <w:rPr>
      <w:rFonts w:ascii="Calibri Light" w:hAnsi="Calibri Light" w:eastAsia="Times New Roman" w:cs="Times New Roman"/>
      <w:color w:val="2F5496"/>
      <w:sz w:val="26"/>
      <w:szCs w:val="26"/>
    </w:rPr>
  </w:style>
  <w:style w:type="character" w:styleId="Heading3Char">
    <w:name w:val="Heading 3 Char"/>
    <w:basedOn w:val="DefaultParagraphFont"/>
    <w:link w:val="Heading3"/>
    <w:qFormat/>
    <w:rPr>
      <w:rFonts w:ascii="Calibri Light" w:hAnsi="Calibri Light" w:eastAsia="Times New Roman" w:cs="Times New Roman"/>
      <w:color w:val="1F3763"/>
      <w:sz w:val="24"/>
      <w:szCs w:val="24"/>
    </w:rPr>
  </w:style>
  <w:style w:type="character" w:styleId="Heading4Char">
    <w:name w:val="Heading 4 Char"/>
    <w:basedOn w:val="DefaultParagraphFont"/>
    <w:link w:val="Heading4"/>
    <w:qFormat/>
    <w:rPr>
      <w:rFonts w:ascii="Calibri Light" w:hAnsi="Calibri Light" w:eastAsia="Times New Roman" w:cs="Times New Roman"/>
      <w:i/>
      <w:iCs/>
      <w:color w:val="2F5496"/>
    </w:rPr>
  </w:style>
  <w:style w:type="character" w:styleId="Heading5Char">
    <w:name w:val="Heading 5 Char"/>
    <w:basedOn w:val="DefaultParagraphFont"/>
    <w:link w:val="Heading5"/>
    <w:qFormat/>
    <w:rPr>
      <w:rFonts w:ascii="Calibri Light" w:hAnsi="Calibri Light" w:eastAsia="Times New Roman" w:cs="Times New Roman"/>
      <w:color w:val="2F5496"/>
    </w:rPr>
  </w:style>
  <w:style w:type="character" w:styleId="Heading6Char">
    <w:name w:val="Heading 6 Char"/>
    <w:basedOn w:val="DefaultParagraphFont"/>
    <w:link w:val="Heading6"/>
    <w:qFormat/>
    <w:rPr>
      <w:rFonts w:ascii="Calibri Light" w:hAnsi="Calibri Light" w:eastAsia="Times New Roman" w:cs="Times New Roman"/>
      <w:color w:val="1F3763"/>
    </w:rPr>
  </w:style>
  <w:style w:type="character" w:styleId="Hyperlink">
    <w:name w:val="Hyperlink"/>
    <w:rPr>
      <w:color w:val="000080"/>
      <w:u w:val="single"/>
    </w:rPr>
  </w:style>
  <w:style w:type="character" w:styleId="IndexLink">
    <w:name w:val="Index Link"/>
    <w:qFormat/>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IntenseReference">
    <w:name w:val="Intense Reference"/>
    <w:basedOn w:val="DefaultParagraphFont"/>
    <w:qFormat/>
    <w:rPr>
      <w:b/>
      <w:bCs/>
      <w:smallCaps/>
      <w:color w:themeColor="accent1" w:themeShade="bf" w:val="0F4761"/>
      <w:spacing w:val="5"/>
    </w:rPr>
  </w:style>
  <w:style w:type="character" w:styleId="IntenseQuoteChar">
    <w:name w:val="Intense Quote Char"/>
    <w:basedOn w:val="DefaultParagraphFont"/>
    <w:qFormat/>
    <w:rPr>
      <w:i/>
      <w:iCs/>
      <w:color w:themeColor="accent1" w:themeShade="bf" w:val="0F4761"/>
    </w:rPr>
  </w:style>
  <w:style w:type="character" w:styleId="IntenseEmphasis">
    <w:name w:val="Intense Emphasis"/>
    <w:basedOn w:val="DefaultParagraphFont"/>
    <w:qFormat/>
    <w:rPr>
      <w:i/>
      <w:iCs/>
      <w:color w:themeColor="accent1" w:themeShade="bf" w:val="0F4761"/>
    </w:rPr>
  </w:style>
  <w:style w:type="character" w:styleId="QuoteChar">
    <w:name w:val="Quote Char"/>
    <w:basedOn w:val="DefaultParagraphFont"/>
    <w:qFormat/>
    <w:rPr>
      <w:i/>
      <w:iCs/>
      <w:color w:themeColor="dark1" w:themeTint="bf" w:val="404040"/>
    </w:rPr>
  </w:style>
  <w:style w:type="character" w:styleId="SubtitleChar">
    <w:name w:val="Subtitle Char"/>
    <w:basedOn w:val="DefaultParagraphFont"/>
    <w:qFormat/>
    <w:rPr>
      <w:rFonts w:eastAsia="Arial" w:cs="Arial"/>
      <w:color w:themeColor="dark1" w:themeTint="a6" w:val="595959"/>
      <w:spacing w:val="15"/>
      <w:sz w:val="28"/>
      <w:szCs w:val="28"/>
    </w:rPr>
  </w:style>
  <w:style w:type="character" w:styleId="TitleChar">
    <w:name w:val="Title Char"/>
    <w:basedOn w:val="DefaultParagraphFont"/>
    <w:qFormat/>
    <w:rPr>
      <w:rFonts w:ascii="Aptos Display" w:hAnsi="Aptos Display" w:eastAsia="Arial" w:cs="Arial"/>
      <w:spacing w:val="-10"/>
      <w:sz w:val="56"/>
      <w:szCs w:val="56"/>
    </w:rPr>
  </w:style>
  <w:style w:type="character" w:styleId="Heading9Char">
    <w:name w:val="Heading 9 Char"/>
    <w:basedOn w:val="DefaultParagraphFont"/>
    <w:qFormat/>
    <w:rPr>
      <w:rFonts w:eastAsia="Arial" w:cs="Arial"/>
      <w:color w:themeColor="dark1" w:themeTint="d8" w:val="272727"/>
    </w:rPr>
  </w:style>
  <w:style w:type="character" w:styleId="Heading8Char">
    <w:name w:val="Heading 8 Char"/>
    <w:basedOn w:val="DefaultParagraphFont"/>
    <w:qFormat/>
    <w:rPr>
      <w:rFonts w:eastAsia="Arial" w:cs="Arial"/>
      <w:i/>
      <w:iCs/>
      <w:color w:themeColor="dark1" w:themeTint="d8" w:val="272727"/>
    </w:rPr>
  </w:style>
  <w:style w:type="character" w:styleId="Heading7Char">
    <w:name w:val="Heading 7 Char"/>
    <w:basedOn w:val="DefaultParagraphFont"/>
    <w:qFormat/>
    <w:rPr>
      <w:rFonts w:eastAsia="Arial" w:cs="Arial"/>
      <w:color w:themeColor="dark1" w:themeTint="a6" w:val="595959"/>
    </w:rPr>
  </w:style>
  <w:style w:type="character" w:styleId="PlaceholderText">
    <w:name w:val="Placeholder Text"/>
    <w:basedOn w:val="DefaultParagraphFont"/>
    <w:qFormat/>
    <w:rPr>
      <w:color w:val="666666"/>
    </w:rPr>
  </w:style>
  <w:style w:type="character" w:styleId="FollowedHyperlink">
    <w:name w:val="FollowedHyperlink"/>
    <w:basedOn w:val="DefaultParagraphFont"/>
    <w:rPr>
      <w:color w:themeColor="followedHyperlink" w:val="954F72"/>
      <w:u w:val="single"/>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EndnoteTextChar">
    <w:name w:val="Endnote Text Char"/>
    <w:basedOn w:val="DefaultParagraphFont"/>
    <w:qFormat/>
    <w:rPr>
      <w:sz w:val="20"/>
      <w:szCs w:val="20"/>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FootnoteTextChar">
    <w:name w:val="Footnote Text Char"/>
    <w:basedOn w:val="DefaultParagraphFont"/>
    <w:qFormat/>
    <w:rPr>
      <w:sz w:val="20"/>
      <w:szCs w:val="20"/>
    </w:rPr>
  </w:style>
  <w:style w:type="character" w:styleId="FooterChar">
    <w:name w:val="Footer Char"/>
    <w:basedOn w:val="DefaultParagraphFont"/>
    <w:qFormat/>
    <w:rPr/>
  </w:style>
  <w:style w:type="character" w:styleId="HeaderChar">
    <w:name w:val="Header Char"/>
    <w:basedOn w:val="DefaultParagraphFont"/>
    <w:qFormat/>
    <w:rPr/>
  </w:style>
  <w:style w:type="character" w:styleId="BookTitle">
    <w:name w:val="Book Title"/>
    <w:basedOn w:val="DefaultParagraphFont"/>
    <w:qFormat/>
    <w:rPr>
      <w:b/>
      <w:bCs/>
      <w:i/>
      <w:iCs/>
      <w:spacing w:val="5"/>
    </w:rPr>
  </w:style>
  <w:style w:type="character" w:styleId="SubtleReference">
    <w:name w:val="Subtle Reference"/>
    <w:basedOn w:val="DefaultParagraphFont"/>
    <w:qFormat/>
    <w:rPr>
      <w:smallCaps/>
      <w:color w:themeColor="dark1" w:themeTint="a5" w:val="5A5A5A"/>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SubtleEmphasis">
    <w:name w:val="Subtle Emphasis"/>
    <w:basedOn w:val="DefaultParagraphFont"/>
    <w:qFormat/>
    <w:rPr>
      <w:i/>
      <w:iCs/>
      <w:color w:themeColor="dark1" w:themeTint="bf" w:val="404040"/>
    </w:rPr>
  </w:style>
  <w:style w:type="character" w:styleId="SourceText">
    <w:name w:val="Source Text"/>
    <w:qFormat/>
    <w:rPr>
      <w:rFonts w:ascii="Liberation Mono" w:hAnsi="Liberation Mono" w:eastAsia="Liberation Mono" w:cs="Liberation Mono"/>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IndexHeading">
    <w:name w:val="Index Heading"/>
    <w:basedOn w:val="Heading"/>
    <w:pPr>
      <w:suppressLineNumbers/>
      <w:ind w:hanging="0" w:left="0"/>
    </w:pPr>
    <w:rPr>
      <w:b/>
      <w:bCs/>
      <w:sz w:val="32"/>
      <w:szCs w:val="32"/>
    </w:rPr>
  </w:style>
  <w:style w:type="paragraph" w:styleId="TOCHeading">
    <w:name w:val="TOC Heading"/>
    <w:basedOn w:val="IndexHeading"/>
    <w:qFormat/>
    <w:pPr>
      <w:suppressLineNumbers/>
      <w:ind w:hanging="0" w:left="0"/>
    </w:pPr>
    <w:rPr>
      <w:b/>
      <w:bCs/>
      <w:sz w:val="32"/>
      <w:szCs w:val="32"/>
    </w:rPr>
  </w:style>
  <w:style w:type="paragraph" w:styleId="TOC1">
    <w:name w:val="TOC 1"/>
    <w:basedOn w:val="Index"/>
    <w:pPr>
      <w:tabs>
        <w:tab w:val="clear" w:pos="720"/>
        <w:tab w:val="right" w:pos="9360" w:leader="dot"/>
      </w:tabs>
      <w:ind w:hanging="0" w:left="0"/>
    </w:pPr>
    <w:rPr/>
  </w:style>
  <w:style w:type="paragraph" w:styleId="TOC2">
    <w:name w:val="TOC 2"/>
    <w:basedOn w:val="Index"/>
    <w:pPr>
      <w:tabs>
        <w:tab w:val="clear" w:pos="720"/>
        <w:tab w:val="right" w:pos="9077" w:leader="dot"/>
      </w:tabs>
      <w:ind w:hanging="0" w:left="283"/>
    </w:pPr>
    <w:rPr/>
  </w:style>
  <w:style w:type="paragraph" w:styleId="TOC3">
    <w:name w:val="TOC 3"/>
    <w:basedOn w:val="Index"/>
    <w:pPr>
      <w:tabs>
        <w:tab w:val="clear" w:pos="720"/>
        <w:tab w:val="right" w:pos="8793" w:leader="dot"/>
      </w:tabs>
      <w:ind w:hanging="0" w:left="567"/>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IntenseQuote">
    <w:name w:val="Intense Quote"/>
    <w:basedOn w:val="Normal"/>
    <w:next w:val="Normal"/>
    <w:qFormat/>
    <w:pPr>
      <w:pBdr>
        <w:top w:val="single" w:sz="4" w:space="10" w:color="0F4761"/>
        <w:bottom w:val="single" w:sz="4" w:space="10" w:color="0F4761"/>
      </w:pBdr>
      <w:spacing w:before="360" w:after="360"/>
      <w:ind w:left="864" w:right="864"/>
      <w:jc w:val="center"/>
    </w:pPr>
    <w:rPr>
      <w:i/>
      <w:iCs/>
      <w:color w:themeColor="accent1" w:themeShade="bf" w:val="0F4761"/>
    </w:rPr>
  </w:style>
  <w:style w:type="paragraph" w:styleId="ListParagraph">
    <w:name w:val="List Paragraph"/>
    <w:basedOn w:val="Normal"/>
    <w:qFormat/>
    <w:pPr>
      <w:spacing w:before="0" w:after="4"/>
      <w:ind w:left="720"/>
      <w:contextualSpacing/>
    </w:pPr>
    <w:rPr/>
  </w:style>
  <w:style w:type="paragraph" w:styleId="Quote">
    <w:name w:val="Quote"/>
    <w:basedOn w:val="Normal"/>
    <w:next w:val="Normal"/>
    <w:qFormat/>
    <w:pPr>
      <w:spacing w:before="160" w:after="4"/>
      <w:jc w:val="center"/>
    </w:pPr>
    <w:rPr>
      <w:i/>
      <w:iCs/>
      <w:color w:themeColor="dark1" w:themeTint="bf" w:val="404040"/>
    </w:rPr>
  </w:style>
  <w:style w:type="paragraph" w:styleId="Subtitle">
    <w:name w:val="Subtitle"/>
    <w:basedOn w:val="Normal"/>
    <w:next w:val="Normal"/>
    <w:qFormat/>
    <w:pPr>
      <w:ind w:hanging="10" w:left="10"/>
    </w:pPr>
    <w:rPr>
      <w:rFonts w:eastAsia="Arial" w:cs="Arial"/>
      <w:color w:themeColor="dark1" w:themeTint="a6" w:val="595959"/>
      <w:spacing w:val="15"/>
      <w:sz w:val="28"/>
      <w:szCs w:val="28"/>
    </w:rPr>
  </w:style>
  <w:style w:type="paragraph" w:styleId="Title">
    <w:name w:val="Title"/>
    <w:basedOn w:val="Normal"/>
    <w:next w:val="Normal"/>
    <w:qFormat/>
    <w:pPr>
      <w:spacing w:lineRule="auto" w:line="240" w:before="0" w:after="80"/>
      <w:contextualSpacing/>
    </w:pPr>
    <w:rPr>
      <w:rFonts w:ascii="Aptos Display" w:hAnsi="Aptos Display" w:eastAsia="Arial" w:cs="Arial"/>
      <w:spacing w:val="-10"/>
      <w:sz w:val="56"/>
      <w:szCs w:val="56"/>
    </w:rPr>
  </w:style>
  <w:style w:type="paragraph" w:styleId="TableofFigures">
    <w:name w:val="Table of Figures"/>
    <w:basedOn w:val="Normal"/>
    <w:next w:val="Normal"/>
    <w:pPr>
      <w:spacing w:before="0" w:after="0"/>
    </w:pPr>
    <w:rPr/>
  </w:style>
  <w:style w:type="paragraph" w:styleId="TOC9">
    <w:name w:val="TOC 9"/>
    <w:basedOn w:val="Normal"/>
    <w:next w:val="Normal"/>
    <w:pPr>
      <w:spacing w:before="0" w:after="100"/>
      <w:ind w:left="1760"/>
    </w:pPr>
    <w:rPr/>
  </w:style>
  <w:style w:type="paragraph" w:styleId="TOC8">
    <w:name w:val="TOC 8"/>
    <w:basedOn w:val="Normal"/>
    <w:next w:val="Normal"/>
    <w:pPr>
      <w:spacing w:before="0" w:after="100"/>
      <w:ind w:left="1540"/>
    </w:pPr>
    <w:rPr/>
  </w:style>
  <w:style w:type="paragraph" w:styleId="TOC7">
    <w:name w:val="TOC 7"/>
    <w:basedOn w:val="Normal"/>
    <w:next w:val="Normal"/>
    <w:pPr>
      <w:spacing w:before="0" w:after="100"/>
      <w:ind w:left="1320"/>
    </w:pPr>
    <w:rPr/>
  </w:style>
  <w:style w:type="paragraph" w:styleId="TOC6">
    <w:name w:val="TOC 6"/>
    <w:basedOn w:val="Normal"/>
    <w:next w:val="Normal"/>
    <w:pPr>
      <w:spacing w:before="0" w:after="100"/>
      <w:ind w:left="1100"/>
    </w:pPr>
    <w:rPr/>
  </w:style>
  <w:style w:type="paragraph" w:styleId="TOC5">
    <w:name w:val="TOC 5"/>
    <w:basedOn w:val="Normal"/>
    <w:next w:val="Normal"/>
    <w:pPr>
      <w:spacing w:before="0" w:after="100"/>
      <w:ind w:left="880"/>
    </w:pPr>
    <w:rPr/>
  </w:style>
  <w:style w:type="paragraph" w:styleId="TOC4">
    <w:name w:val="TOC 4"/>
    <w:basedOn w:val="Normal"/>
    <w:next w:val="Normal"/>
    <w:pPr>
      <w:spacing w:before="0" w:after="100"/>
      <w:ind w:left="660"/>
    </w:pPr>
    <w:rPr/>
  </w:style>
  <w:style w:type="paragraph" w:styleId="EndnoteText">
    <w:name w:val="Endnote Text"/>
    <w:basedOn w:val="Normal"/>
    <w:pPr>
      <w:spacing w:lineRule="auto" w:line="240" w:before="0" w:after="0"/>
    </w:pPr>
    <w:rPr>
      <w:sz w:val="20"/>
      <w:szCs w:val="20"/>
    </w:rPr>
  </w:style>
  <w:style w:type="paragraph" w:styleId="FootnoteText">
    <w:name w:val="Footnote Text"/>
    <w:basedOn w:val="Normal"/>
    <w:pPr>
      <w:spacing w:lineRule="auto" w:line="240" w:before="0" w:after="0"/>
    </w:pPr>
    <w:rPr>
      <w:sz w:val="20"/>
      <w:szCs w:val="20"/>
    </w:rPr>
  </w:style>
  <w:style w:type="paragraph" w:styleId="HeaderandFooter">
    <w:name w:val="Header and Footer"/>
    <w:basedOn w:val="Normal"/>
    <w:qFormat/>
    <w:pPr>
      <w:suppressLineNumbers/>
      <w:tabs>
        <w:tab w:val="clear" w:pos="720"/>
        <w:tab w:val="center" w:pos="4680" w:leader="none"/>
        <w:tab w:val="right" w:pos="9360" w:leader="none"/>
      </w:tabs>
    </w:pPr>
    <w:rPr/>
  </w:style>
  <w:style w:type="paragraph" w:styleId="Footer">
    <w:name w:val="Footer"/>
    <w:basedOn w:val="Normal"/>
    <w:pPr>
      <w:tabs>
        <w:tab w:val="clear" w:pos="720"/>
        <w:tab w:val="center" w:pos="4844" w:leader="none"/>
        <w:tab w:val="right" w:pos="9689" w:leader="none"/>
      </w:tabs>
      <w:spacing w:lineRule="auto" w:line="240" w:before="0" w:after="0"/>
    </w:pPr>
    <w:rPr/>
  </w:style>
  <w:style w:type="paragraph" w:styleId="Header">
    <w:name w:val="Header"/>
    <w:basedOn w:val="Normal"/>
    <w:pPr>
      <w:tabs>
        <w:tab w:val="clear" w:pos="720"/>
        <w:tab w:val="center" w:pos="4844" w:leader="none"/>
        <w:tab w:val="right" w:pos="9689" w:leader="none"/>
      </w:tabs>
      <w:spacing w:lineRule="auto" w:line="240" w:before="0" w:after="0"/>
    </w:pPr>
    <w:rPr/>
  </w:style>
  <w:style w:type="paragraph" w:styleId="NoSpacing">
    <w:name w:val="No Spacing"/>
    <w:basedOn w:val="Normal"/>
    <w:qFormat/>
    <w:pPr>
      <w:spacing w:lineRule="auto" w:line="240" w:before="0" w:after="0"/>
    </w:pPr>
    <w:rPr/>
  </w:style>
  <w:style w:type="paragraph" w:styleId="FrameContents">
    <w:name w:val="Frame Contents"/>
    <w:basedOn w:val="Normal"/>
    <w:qFormat/>
    <w:pPr/>
    <w:rPr/>
  </w:style>
  <w:style w:type="numbering" w:styleId="NoList">
    <w:name w:val="No List"/>
    <w:qFormat/>
  </w:style>
  <w:style w:type="numbering" w:styleId="Numbering123">
    <w:name w:val="Numbering 123"/>
    <w:qFormat/>
  </w:style>
  <w:style w:type="numbering" w:styleId="Numberingabc">
    <w:name w:val="Numbering abc"/>
    <w:qFormat/>
  </w:style>
  <w:style w:type="numbering" w:styleId="NumberingIVX">
    <w:name w:val="Numbering IVX"/>
    <w:qFormat/>
  </w:style>
  <w:style w:type="numbering" w:styleId="Bullet">
    <w:name w:val="Bullet •"/>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1806</TotalTime>
  <Application>LibreOffice/24.2.7.2$Linux_X86_64 LibreOffice_project/420$Build-2</Application>
  <AppVersion>15.0000</AppVersion>
  <Pages>20</Pages>
  <Words>3309</Words>
  <Characters>21270</Characters>
  <CharactersWithSpaces>24589</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2026-07-28T09:44:54Z</dcterms:modified>
  <cp:revision>324</cp:revision>
  <dc:subject/>
  <dc:title>Datamining_Assignment2</dc:title>
</cp:coreProperties>
</file>

<file path=docProps/custom.xml><?xml version="1.0" encoding="utf-8"?>
<Properties xmlns="http://schemas.openxmlformats.org/officeDocument/2006/custom-properties" xmlns:vt="http://schemas.openxmlformats.org/officeDocument/2006/docPropsVTypes"/>
</file>