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CC8DDD" w14:textId="77777777" w:rsidR="00C548E0" w:rsidRDefault="00C548E0"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7AFDC59D" w14:textId="77777777" w:rsidR="00147A7A" w:rsidRDefault="00147A7A"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47300F46" w14:textId="77777777" w:rsidR="00147A7A" w:rsidRPr="00916F72" w:rsidRDefault="00147A7A" w:rsidP="00B02551">
      <w:pPr>
        <w:spacing w:before="180" w:after="150" w:line="240" w:lineRule="auto"/>
        <w:jc w:val="both"/>
        <w:rPr>
          <w:rFonts w:ascii="Arial" w:eastAsia="Times New Roman" w:hAnsi="Arial" w:cs="Arial"/>
          <w:color w:val="000000" w:themeColor="text1"/>
          <w:spacing w:val="-3"/>
          <w:kern w:val="0"/>
          <w:sz w:val="32"/>
          <w:szCs w:val="32"/>
          <w:lang w:eastAsia="en-GB"/>
          <w14:ligatures w14:val="none"/>
        </w:rPr>
      </w:pPr>
    </w:p>
    <w:p w14:paraId="31D1E6E6" w14:textId="25051D22" w:rsidR="00BC7DD5" w:rsidRPr="00BC7DD5" w:rsidRDefault="00BC7DD5" w:rsidP="00BC7DD5">
      <w:pPr>
        <w:pStyle w:val="p1"/>
        <w:jc w:val="center"/>
        <w:rPr>
          <w:rFonts w:ascii="Arial" w:hAnsi="Arial" w:cs="Arial"/>
          <w:b/>
          <w:bCs/>
          <w:sz w:val="52"/>
          <w:szCs w:val="52"/>
        </w:rPr>
      </w:pPr>
      <w:r w:rsidRPr="00BC7DD5">
        <w:rPr>
          <w:rStyle w:val="s1"/>
          <w:rFonts w:ascii="Arial" w:hAnsi="Arial" w:cs="Arial"/>
          <w:b/>
          <w:bCs/>
          <w:sz w:val="52"/>
          <w:szCs w:val="52"/>
        </w:rPr>
        <w:t>A Critical Analysis of SDG 3 Good Health and Well</w:t>
      </w:r>
      <w:r w:rsidRPr="00BC7DD5">
        <w:rPr>
          <w:rStyle w:val="s1"/>
          <w:rFonts w:ascii="Arial" w:hAnsi="Arial" w:cs="Arial"/>
          <w:b/>
          <w:bCs/>
          <w:sz w:val="52"/>
          <w:szCs w:val="52"/>
        </w:rPr>
        <w:noBreakHyphen/>
        <w:t>Being</w:t>
      </w:r>
      <w:r w:rsidRPr="00BC7DD5">
        <w:rPr>
          <w:rStyle w:val="s1"/>
          <w:rFonts w:ascii="Arial" w:hAnsi="Arial" w:cs="Arial"/>
          <w:b/>
          <w:bCs/>
          <w:sz w:val="52"/>
          <w:szCs w:val="52"/>
        </w:rPr>
        <w:t xml:space="preserve"> </w:t>
      </w:r>
      <w:r w:rsidRPr="00BC7DD5">
        <w:rPr>
          <w:rStyle w:val="s1"/>
          <w:rFonts w:ascii="Arial" w:hAnsi="Arial" w:cs="Arial"/>
          <w:b/>
          <w:bCs/>
          <w:sz w:val="52"/>
          <w:szCs w:val="52"/>
        </w:rPr>
        <w:t>and SDG 8 (Decent Work and Economic Growth)</w:t>
      </w:r>
    </w:p>
    <w:p w14:paraId="3EB77529" w14:textId="5C93DCB2" w:rsidR="00916F72" w:rsidRPr="00916F72" w:rsidRDefault="00916F72" w:rsidP="00916F72">
      <w:pPr>
        <w:pStyle w:val="Heading1"/>
        <w:spacing w:before="0" w:after="0"/>
        <w:jc w:val="center"/>
        <w:rPr>
          <w:rFonts w:ascii="Arial" w:hAnsi="Arial" w:cs="Arial"/>
          <w:b/>
          <w:bCs/>
          <w:color w:val="000000" w:themeColor="text1"/>
          <w:sz w:val="52"/>
          <w:szCs w:val="52"/>
          <w:u w:val="single"/>
        </w:rPr>
      </w:pPr>
    </w:p>
    <w:p w14:paraId="3DF12433" w14:textId="77777777" w:rsidR="00147A7A" w:rsidRPr="00916F72" w:rsidRDefault="00147A7A" w:rsidP="00B02551">
      <w:pPr>
        <w:spacing w:before="180" w:after="150" w:line="240" w:lineRule="auto"/>
        <w:jc w:val="both"/>
        <w:rPr>
          <w:rFonts w:ascii="Arial" w:eastAsia="Times New Roman" w:hAnsi="Arial" w:cs="Arial"/>
          <w:color w:val="000000" w:themeColor="text1"/>
          <w:spacing w:val="-3"/>
          <w:kern w:val="0"/>
          <w:sz w:val="32"/>
          <w:szCs w:val="32"/>
          <w:lang w:eastAsia="en-GB"/>
          <w14:ligatures w14:val="none"/>
        </w:rPr>
      </w:pPr>
    </w:p>
    <w:p w14:paraId="043DB9E6" w14:textId="77777777" w:rsidR="00147A7A" w:rsidRDefault="00147A7A"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69477CF2" w14:textId="77777777" w:rsidR="00147A7A" w:rsidRDefault="00147A7A"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3DB8D7B8" w14:textId="5E8550C2" w:rsidR="00147A7A" w:rsidRPr="00E6278A" w:rsidRDefault="00C71A18" w:rsidP="00B02551">
      <w:pPr>
        <w:spacing w:before="180" w:after="150" w:line="240" w:lineRule="auto"/>
        <w:jc w:val="both"/>
        <w:rPr>
          <w:rFonts w:ascii="Arial" w:eastAsia="Times New Roman" w:hAnsi="Arial" w:cs="Arial"/>
          <w:color w:val="26221F"/>
          <w:spacing w:val="-3"/>
          <w:kern w:val="0"/>
          <w:sz w:val="40"/>
          <w:szCs w:val="40"/>
          <w:lang w:eastAsia="en-GB"/>
          <w14:ligatures w14:val="none"/>
        </w:rPr>
      </w:pPr>
      <w:r>
        <w:rPr>
          <w:rFonts w:ascii="Arial" w:eastAsia="Times New Roman" w:hAnsi="Arial" w:cs="Arial"/>
          <w:color w:val="26221F"/>
          <w:spacing w:val="-3"/>
          <w:kern w:val="0"/>
          <w:sz w:val="40"/>
          <w:szCs w:val="40"/>
          <w:lang w:eastAsia="en-GB"/>
          <w14:ligatures w14:val="none"/>
        </w:rPr>
        <w:t xml:space="preserve">Student </w:t>
      </w:r>
      <w:r w:rsidR="00147A7A" w:rsidRPr="00E6278A">
        <w:rPr>
          <w:rFonts w:ascii="Arial" w:eastAsia="Times New Roman" w:hAnsi="Arial" w:cs="Arial"/>
          <w:color w:val="26221F"/>
          <w:spacing w:val="-3"/>
          <w:kern w:val="0"/>
          <w:sz w:val="40"/>
          <w:szCs w:val="40"/>
          <w:lang w:eastAsia="en-GB"/>
          <w14:ligatures w14:val="none"/>
        </w:rPr>
        <w:t>Name: Monalene Anne Ho</w:t>
      </w:r>
    </w:p>
    <w:p w14:paraId="6EC26409" w14:textId="1529809B" w:rsidR="00147A7A" w:rsidRPr="00E6278A" w:rsidRDefault="00147A7A" w:rsidP="00B02551">
      <w:pPr>
        <w:spacing w:before="180" w:after="150" w:line="240" w:lineRule="auto"/>
        <w:jc w:val="both"/>
        <w:rPr>
          <w:rFonts w:ascii="Arial" w:eastAsia="Times New Roman" w:hAnsi="Arial" w:cs="Arial"/>
          <w:color w:val="26221F"/>
          <w:spacing w:val="-3"/>
          <w:kern w:val="0"/>
          <w:sz w:val="40"/>
          <w:szCs w:val="40"/>
          <w:lang w:eastAsia="en-GB"/>
          <w14:ligatures w14:val="none"/>
        </w:rPr>
      </w:pPr>
      <w:r w:rsidRPr="00E6278A">
        <w:rPr>
          <w:rFonts w:ascii="Arial" w:eastAsia="Times New Roman" w:hAnsi="Arial" w:cs="Arial"/>
          <w:color w:val="26221F"/>
          <w:spacing w:val="-3"/>
          <w:kern w:val="0"/>
          <w:sz w:val="40"/>
          <w:szCs w:val="40"/>
          <w:lang w:eastAsia="en-GB"/>
          <w14:ligatures w14:val="none"/>
        </w:rPr>
        <w:t>Student no. 2311680</w:t>
      </w:r>
    </w:p>
    <w:p w14:paraId="0CEBD029" w14:textId="2E658236" w:rsidR="00147A7A" w:rsidRPr="00E6278A" w:rsidRDefault="00634731" w:rsidP="00B02551">
      <w:pPr>
        <w:spacing w:before="180" w:after="150" w:line="240" w:lineRule="auto"/>
        <w:jc w:val="both"/>
        <w:rPr>
          <w:rStyle w:val="Strong"/>
          <w:rFonts w:ascii="Arial" w:hAnsi="Arial" w:cs="Arial"/>
          <w:b w:val="0"/>
          <w:bCs w:val="0"/>
          <w:color w:val="1D2125"/>
          <w:sz w:val="40"/>
          <w:szCs w:val="40"/>
        </w:rPr>
      </w:pPr>
      <w:r>
        <w:rPr>
          <w:rFonts w:ascii="Arial" w:eastAsia="Times New Roman" w:hAnsi="Arial" w:cs="Arial"/>
          <w:color w:val="26221F"/>
          <w:spacing w:val="-3"/>
          <w:kern w:val="0"/>
          <w:sz w:val="40"/>
          <w:szCs w:val="40"/>
          <w:lang w:eastAsia="en-GB"/>
          <w14:ligatures w14:val="none"/>
        </w:rPr>
        <w:t>Module Leader</w:t>
      </w:r>
      <w:r w:rsidR="00147A7A" w:rsidRPr="00E6278A">
        <w:rPr>
          <w:rFonts w:ascii="Arial" w:eastAsia="Times New Roman" w:hAnsi="Arial" w:cs="Arial"/>
          <w:color w:val="26221F"/>
          <w:spacing w:val="-3"/>
          <w:kern w:val="0"/>
          <w:sz w:val="40"/>
          <w:szCs w:val="40"/>
          <w:lang w:eastAsia="en-GB"/>
          <w14:ligatures w14:val="none"/>
        </w:rPr>
        <w:t xml:space="preserve">: </w:t>
      </w:r>
      <w:r w:rsidR="00147A7A" w:rsidRPr="00E6278A">
        <w:rPr>
          <w:rStyle w:val="Strong"/>
          <w:rFonts w:ascii="Arial" w:hAnsi="Arial" w:cs="Arial"/>
          <w:b w:val="0"/>
          <w:bCs w:val="0"/>
          <w:color w:val="1D2125"/>
          <w:sz w:val="40"/>
          <w:szCs w:val="40"/>
        </w:rPr>
        <w:t xml:space="preserve">Dr </w:t>
      </w:r>
      <w:proofErr w:type="spellStart"/>
      <w:r w:rsidR="00147A7A" w:rsidRPr="00E6278A">
        <w:rPr>
          <w:rStyle w:val="Strong"/>
          <w:rFonts w:ascii="Arial" w:hAnsi="Arial" w:cs="Arial"/>
          <w:b w:val="0"/>
          <w:bCs w:val="0"/>
          <w:color w:val="1D2125"/>
          <w:sz w:val="40"/>
          <w:szCs w:val="40"/>
        </w:rPr>
        <w:t>Itse</w:t>
      </w:r>
      <w:proofErr w:type="spellEnd"/>
      <w:r w:rsidR="00147A7A" w:rsidRPr="00E6278A">
        <w:rPr>
          <w:rStyle w:val="Strong"/>
          <w:rFonts w:ascii="Arial" w:hAnsi="Arial" w:cs="Arial"/>
          <w:b w:val="0"/>
          <w:bCs w:val="0"/>
          <w:color w:val="1D2125"/>
          <w:sz w:val="40"/>
          <w:szCs w:val="40"/>
        </w:rPr>
        <w:t xml:space="preserve"> Olaoye</w:t>
      </w:r>
    </w:p>
    <w:p w14:paraId="1682EA5F" w14:textId="3AAE1C22" w:rsidR="00147A7A" w:rsidRPr="00E6278A" w:rsidRDefault="00124AF7" w:rsidP="00B02551">
      <w:pPr>
        <w:spacing w:before="180" w:after="150" w:line="240" w:lineRule="auto"/>
        <w:jc w:val="both"/>
        <w:rPr>
          <w:rStyle w:val="Strong"/>
          <w:rFonts w:ascii="Arial" w:hAnsi="Arial" w:cs="Arial"/>
          <w:b w:val="0"/>
          <w:bCs w:val="0"/>
          <w:color w:val="1D2125"/>
          <w:sz w:val="40"/>
          <w:szCs w:val="40"/>
        </w:rPr>
      </w:pPr>
      <w:r w:rsidRPr="00E6278A">
        <w:rPr>
          <w:rStyle w:val="Strong"/>
          <w:rFonts w:ascii="Arial" w:hAnsi="Arial" w:cs="Arial"/>
          <w:b w:val="0"/>
          <w:bCs w:val="0"/>
          <w:color w:val="1D2125"/>
          <w:sz w:val="40"/>
          <w:szCs w:val="40"/>
        </w:rPr>
        <w:t>Module</w:t>
      </w:r>
      <w:r w:rsidR="00634731">
        <w:rPr>
          <w:rStyle w:val="Strong"/>
          <w:rFonts w:ascii="Arial" w:hAnsi="Arial" w:cs="Arial"/>
          <w:b w:val="0"/>
          <w:bCs w:val="0"/>
          <w:color w:val="1D2125"/>
          <w:sz w:val="40"/>
          <w:szCs w:val="40"/>
        </w:rPr>
        <w:t>:</w:t>
      </w:r>
      <w:r w:rsidR="00AF455B" w:rsidRPr="00E6278A">
        <w:rPr>
          <w:rStyle w:val="Strong"/>
          <w:rFonts w:ascii="Arial" w:hAnsi="Arial" w:cs="Arial"/>
          <w:b w:val="0"/>
          <w:bCs w:val="0"/>
          <w:color w:val="1D2125"/>
          <w:sz w:val="40"/>
          <w:szCs w:val="40"/>
        </w:rPr>
        <w:t xml:space="preserve"> </w:t>
      </w:r>
      <w:r w:rsidRPr="00E6278A">
        <w:rPr>
          <w:rStyle w:val="Strong"/>
          <w:rFonts w:ascii="Arial" w:hAnsi="Arial" w:cs="Arial"/>
          <w:b w:val="0"/>
          <w:bCs w:val="0"/>
          <w:color w:val="1D2125"/>
          <w:sz w:val="40"/>
          <w:szCs w:val="40"/>
        </w:rPr>
        <w:t>Health, Wellbeing and Sustainable Development</w:t>
      </w:r>
    </w:p>
    <w:p w14:paraId="54AC6967" w14:textId="77777777" w:rsidR="00AF455B" w:rsidRDefault="00AF455B" w:rsidP="00AF455B">
      <w:pPr>
        <w:pStyle w:val="Heading1"/>
        <w:spacing w:before="0" w:after="0"/>
        <w:rPr>
          <w:rFonts w:ascii="Arial" w:hAnsi="Arial" w:cs="Arial"/>
          <w:color w:val="000000" w:themeColor="text1"/>
        </w:rPr>
      </w:pPr>
      <w:r w:rsidRPr="00E6278A">
        <w:rPr>
          <w:rStyle w:val="Strong"/>
          <w:rFonts w:ascii="Arial" w:hAnsi="Arial" w:cs="Arial"/>
          <w:b w:val="0"/>
          <w:bCs w:val="0"/>
          <w:color w:val="1D2125"/>
        </w:rPr>
        <w:t>Module code:</w:t>
      </w:r>
      <w:r w:rsidRPr="00E6278A">
        <w:rPr>
          <w:rStyle w:val="Strong"/>
          <w:rFonts w:ascii="Arial" w:hAnsi="Arial" w:cs="Arial"/>
          <w:b w:val="0"/>
          <w:bCs w:val="0"/>
          <w:color w:val="000000" w:themeColor="text1"/>
        </w:rPr>
        <w:t xml:space="preserve"> </w:t>
      </w:r>
      <w:r w:rsidRPr="00E6278A">
        <w:rPr>
          <w:rFonts w:ascii="Arial" w:hAnsi="Arial" w:cs="Arial"/>
          <w:color w:val="000000" w:themeColor="text1"/>
        </w:rPr>
        <w:t>(BMHP6030_LON)</w:t>
      </w:r>
    </w:p>
    <w:p w14:paraId="09395182" w14:textId="77777777" w:rsidR="00C71A18" w:rsidRPr="00C71A18" w:rsidRDefault="00C71A18" w:rsidP="00C71A18"/>
    <w:p w14:paraId="2AB11454" w14:textId="77777777" w:rsidR="00BC7DD5" w:rsidRPr="00BC7DD5" w:rsidRDefault="00BC7DD5" w:rsidP="00BC7DD5"/>
    <w:p w14:paraId="03692CA9" w14:textId="755481A9" w:rsidR="00AF455B" w:rsidRPr="00147A7A" w:rsidRDefault="00AF455B" w:rsidP="00B02551">
      <w:pPr>
        <w:spacing w:before="180" w:after="150" w:line="240" w:lineRule="auto"/>
        <w:jc w:val="both"/>
        <w:rPr>
          <w:rFonts w:ascii="Arial" w:eastAsia="Times New Roman" w:hAnsi="Arial" w:cs="Arial"/>
          <w:color w:val="26221F"/>
          <w:spacing w:val="-3"/>
          <w:kern w:val="0"/>
          <w:sz w:val="36"/>
          <w:szCs w:val="36"/>
          <w:lang w:eastAsia="en-GB"/>
          <w14:ligatures w14:val="none"/>
        </w:rPr>
      </w:pPr>
    </w:p>
    <w:p w14:paraId="0B84A9B6" w14:textId="77777777" w:rsidR="00C548E0" w:rsidRDefault="00C548E0"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7BDFEFA0" w14:textId="77777777" w:rsidR="00C548E0" w:rsidRDefault="00C548E0"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60B05B95" w14:textId="77777777" w:rsidR="0031789E" w:rsidRDefault="0031789E"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39262472" w14:textId="77777777" w:rsidR="0031789E" w:rsidRDefault="0031789E" w:rsidP="00B02551">
      <w:pPr>
        <w:spacing w:before="180" w:after="150" w:line="240" w:lineRule="auto"/>
        <w:jc w:val="both"/>
        <w:rPr>
          <w:rFonts w:ascii="Arial" w:eastAsia="Times New Roman" w:hAnsi="Arial" w:cs="Arial"/>
          <w:color w:val="26221F"/>
          <w:spacing w:val="-3"/>
          <w:kern w:val="0"/>
          <w:sz w:val="32"/>
          <w:szCs w:val="32"/>
          <w:lang w:eastAsia="en-GB"/>
          <w14:ligatures w14:val="none"/>
        </w:rPr>
      </w:pPr>
    </w:p>
    <w:p w14:paraId="2F9C7C8B" w14:textId="38886C5B" w:rsidR="00B02551" w:rsidRPr="00517F9E" w:rsidRDefault="00B02551" w:rsidP="00B02551">
      <w:pPr>
        <w:spacing w:before="180"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3"/>
          <w:kern w:val="0"/>
          <w:lang w:eastAsia="en-GB"/>
          <w14:ligatures w14:val="none"/>
        </w:rPr>
        <w:t>Table of Contents</w:t>
      </w:r>
    </w:p>
    <w:p w14:paraId="07D98943" w14:textId="549CB1E0" w:rsidR="00227A4E" w:rsidRPr="00517F9E" w:rsidRDefault="00B02551" w:rsidP="00227A4E">
      <w:pPr>
        <w:numPr>
          <w:ilvl w:val="0"/>
          <w:numId w:val="2"/>
        </w:numPr>
        <w:spacing w:before="60"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2"/>
          <w:kern w:val="0"/>
          <w:lang w:eastAsia="en-GB"/>
          <w14:ligatures w14:val="none"/>
        </w:rPr>
        <w:t>Introduction</w:t>
      </w:r>
      <w:r w:rsidR="00A74A08">
        <w:rPr>
          <w:rFonts w:ascii="Arial" w:eastAsia="Times New Roman" w:hAnsi="Arial" w:cs="Arial"/>
          <w:color w:val="26221F"/>
          <w:spacing w:val="2"/>
          <w:kern w:val="0"/>
          <w:lang w:eastAsia="en-GB"/>
          <w14:ligatures w14:val="none"/>
        </w:rPr>
        <w:t>……………………………………………………………………….1</w:t>
      </w:r>
    </w:p>
    <w:p w14:paraId="4DF6DF73" w14:textId="5EE27E37" w:rsidR="00B02551" w:rsidRPr="00517F9E" w:rsidRDefault="00B02551" w:rsidP="00B02551">
      <w:pPr>
        <w:numPr>
          <w:ilvl w:val="0"/>
          <w:numId w:val="2"/>
        </w:numPr>
        <w:spacing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2"/>
          <w:kern w:val="0"/>
          <w:lang w:eastAsia="en-GB"/>
          <w14:ligatures w14:val="none"/>
        </w:rPr>
        <w:t>Sustainable Development Goal 3: Good Health and Wellbeing</w:t>
      </w:r>
      <w:r w:rsidR="00A74A08">
        <w:rPr>
          <w:rFonts w:ascii="Arial" w:eastAsia="Times New Roman" w:hAnsi="Arial" w:cs="Arial"/>
          <w:color w:val="26221F"/>
          <w:spacing w:val="2"/>
          <w:kern w:val="0"/>
          <w:lang w:eastAsia="en-GB"/>
          <w14:ligatures w14:val="none"/>
        </w:rPr>
        <w:t>……………1</w:t>
      </w:r>
    </w:p>
    <w:p w14:paraId="12E715B2" w14:textId="32FA3F6E" w:rsidR="00B02551" w:rsidRPr="00517F9E" w:rsidRDefault="00B02551" w:rsidP="00B02551">
      <w:pPr>
        <w:numPr>
          <w:ilvl w:val="0"/>
          <w:numId w:val="2"/>
        </w:numPr>
        <w:spacing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2"/>
          <w:kern w:val="0"/>
          <w:lang w:eastAsia="en-GB"/>
          <w14:ligatures w14:val="none"/>
        </w:rPr>
        <w:t>Sustainable Development Goal 8: Decent Work and Economic Growth</w:t>
      </w:r>
      <w:r w:rsidR="00A74A08">
        <w:rPr>
          <w:rFonts w:ascii="Arial" w:eastAsia="Times New Roman" w:hAnsi="Arial" w:cs="Arial"/>
          <w:color w:val="26221F"/>
          <w:spacing w:val="2"/>
          <w:kern w:val="0"/>
          <w:lang w:eastAsia="en-GB"/>
          <w14:ligatures w14:val="none"/>
        </w:rPr>
        <w:t>….</w:t>
      </w:r>
      <w:r w:rsidR="00F00954">
        <w:rPr>
          <w:rFonts w:ascii="Arial" w:eastAsia="Times New Roman" w:hAnsi="Arial" w:cs="Arial"/>
          <w:color w:val="26221F"/>
          <w:spacing w:val="2"/>
          <w:kern w:val="0"/>
          <w:lang w:eastAsia="en-GB"/>
          <w14:ligatures w14:val="none"/>
        </w:rPr>
        <w:t>.</w:t>
      </w:r>
      <w:r w:rsidR="00941DDF">
        <w:rPr>
          <w:rFonts w:ascii="Arial" w:eastAsia="Times New Roman" w:hAnsi="Arial" w:cs="Arial"/>
          <w:color w:val="26221F"/>
          <w:spacing w:val="2"/>
          <w:kern w:val="0"/>
          <w:lang w:eastAsia="en-GB"/>
          <w14:ligatures w14:val="none"/>
        </w:rPr>
        <w:t>2</w:t>
      </w:r>
    </w:p>
    <w:p w14:paraId="46381C1D" w14:textId="3A503B28" w:rsidR="00B02551" w:rsidRPr="00517F9E" w:rsidRDefault="00B02551" w:rsidP="00B02551">
      <w:pPr>
        <w:numPr>
          <w:ilvl w:val="0"/>
          <w:numId w:val="2"/>
        </w:numPr>
        <w:spacing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2"/>
          <w:kern w:val="0"/>
          <w:lang w:eastAsia="en-GB"/>
          <w14:ligatures w14:val="none"/>
        </w:rPr>
        <w:t>National Wellbeing Initiatives</w:t>
      </w:r>
      <w:r w:rsidR="00F00954">
        <w:rPr>
          <w:rFonts w:ascii="Arial" w:eastAsia="Times New Roman" w:hAnsi="Arial" w:cs="Arial"/>
          <w:color w:val="26221F"/>
          <w:spacing w:val="2"/>
          <w:kern w:val="0"/>
          <w:lang w:eastAsia="en-GB"/>
          <w14:ligatures w14:val="none"/>
        </w:rPr>
        <w:t>…………………………………………………....3</w:t>
      </w:r>
    </w:p>
    <w:p w14:paraId="719B6531" w14:textId="4B2DE252" w:rsidR="00B02551" w:rsidRPr="00517F9E" w:rsidRDefault="00B02551" w:rsidP="00B02551">
      <w:pPr>
        <w:numPr>
          <w:ilvl w:val="0"/>
          <w:numId w:val="2"/>
        </w:numPr>
        <w:spacing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2"/>
          <w:kern w:val="0"/>
          <w:lang w:eastAsia="en-GB"/>
          <w14:ligatures w14:val="none"/>
        </w:rPr>
        <w:t>Local Wellbeing Initiatives</w:t>
      </w:r>
      <w:r w:rsidR="00F00954">
        <w:rPr>
          <w:rFonts w:ascii="Arial" w:eastAsia="Times New Roman" w:hAnsi="Arial" w:cs="Arial"/>
          <w:color w:val="26221F"/>
          <w:spacing w:val="2"/>
          <w:kern w:val="0"/>
          <w:lang w:eastAsia="en-GB"/>
          <w14:ligatures w14:val="none"/>
        </w:rPr>
        <w:t>……………………………………………………</w:t>
      </w:r>
      <w:proofErr w:type="gramStart"/>
      <w:r w:rsidR="00F00954">
        <w:rPr>
          <w:rFonts w:ascii="Arial" w:eastAsia="Times New Roman" w:hAnsi="Arial" w:cs="Arial"/>
          <w:color w:val="26221F"/>
          <w:spacing w:val="2"/>
          <w:kern w:val="0"/>
          <w:lang w:eastAsia="en-GB"/>
          <w14:ligatures w14:val="none"/>
        </w:rPr>
        <w:t>…..</w:t>
      </w:r>
      <w:proofErr w:type="gramEnd"/>
      <w:r w:rsidR="00F00954">
        <w:rPr>
          <w:rFonts w:ascii="Arial" w:eastAsia="Times New Roman" w:hAnsi="Arial" w:cs="Arial"/>
          <w:color w:val="26221F"/>
          <w:spacing w:val="2"/>
          <w:kern w:val="0"/>
          <w:lang w:eastAsia="en-GB"/>
          <w14:ligatures w14:val="none"/>
        </w:rPr>
        <w:t>5</w:t>
      </w:r>
    </w:p>
    <w:p w14:paraId="7185EEC7" w14:textId="0B089B00" w:rsidR="00B02551" w:rsidRPr="00517F9E" w:rsidRDefault="00B02551" w:rsidP="00B02551">
      <w:pPr>
        <w:numPr>
          <w:ilvl w:val="0"/>
          <w:numId w:val="2"/>
        </w:numPr>
        <w:spacing w:after="150" w:line="240" w:lineRule="auto"/>
        <w:jc w:val="both"/>
        <w:rPr>
          <w:rFonts w:ascii="Arial" w:eastAsia="Times New Roman" w:hAnsi="Arial" w:cs="Arial"/>
          <w:color w:val="26221F"/>
          <w:kern w:val="0"/>
          <w:lang w:eastAsia="en-GB"/>
          <w14:ligatures w14:val="none"/>
        </w:rPr>
      </w:pPr>
      <w:r w:rsidRPr="00517F9E">
        <w:rPr>
          <w:rFonts w:ascii="Arial" w:eastAsia="Times New Roman" w:hAnsi="Arial" w:cs="Arial"/>
          <w:color w:val="26221F"/>
          <w:spacing w:val="2"/>
          <w:kern w:val="0"/>
          <w:lang w:eastAsia="en-GB"/>
          <w14:ligatures w14:val="none"/>
        </w:rPr>
        <w:t>Conclusion</w:t>
      </w:r>
      <w:r w:rsidR="00F00954">
        <w:rPr>
          <w:rFonts w:ascii="Arial" w:eastAsia="Times New Roman" w:hAnsi="Arial" w:cs="Arial"/>
          <w:color w:val="26221F"/>
          <w:spacing w:val="2"/>
          <w:kern w:val="0"/>
          <w:lang w:eastAsia="en-GB"/>
          <w14:ligatures w14:val="none"/>
        </w:rPr>
        <w:t>………………………………………………………………………….7</w:t>
      </w:r>
    </w:p>
    <w:p w14:paraId="3A262A60" w14:textId="597DD3A9" w:rsidR="00B02551" w:rsidRPr="000F58BE" w:rsidRDefault="00B02551" w:rsidP="00B02551">
      <w:pPr>
        <w:numPr>
          <w:ilvl w:val="0"/>
          <w:numId w:val="2"/>
        </w:numPr>
        <w:spacing w:after="210" w:line="240" w:lineRule="auto"/>
        <w:jc w:val="both"/>
        <w:rPr>
          <w:rFonts w:ascii="Arial" w:eastAsia="Times New Roman" w:hAnsi="Arial" w:cs="Arial"/>
          <w:color w:val="26221F"/>
          <w:kern w:val="0"/>
          <w:sz w:val="40"/>
          <w:szCs w:val="40"/>
          <w:lang w:eastAsia="en-GB"/>
          <w14:ligatures w14:val="none"/>
        </w:rPr>
      </w:pPr>
      <w:r w:rsidRPr="00517F9E">
        <w:rPr>
          <w:rFonts w:ascii="Arial" w:eastAsia="Times New Roman" w:hAnsi="Arial" w:cs="Arial"/>
          <w:color w:val="26221F"/>
          <w:spacing w:val="2"/>
          <w:kern w:val="0"/>
          <w:lang w:eastAsia="en-GB"/>
          <w14:ligatures w14:val="none"/>
        </w:rPr>
        <w:t>References</w:t>
      </w:r>
      <w:r w:rsidR="00F00954">
        <w:rPr>
          <w:rFonts w:ascii="Arial" w:eastAsia="Times New Roman" w:hAnsi="Arial" w:cs="Arial"/>
          <w:color w:val="26221F"/>
          <w:spacing w:val="2"/>
          <w:kern w:val="0"/>
          <w:lang w:eastAsia="en-GB"/>
          <w14:ligatures w14:val="none"/>
        </w:rPr>
        <w:t>………………………………………………………………………….7</w:t>
      </w:r>
    </w:p>
    <w:p w14:paraId="29C4DF27" w14:textId="77777777" w:rsidR="00B02551" w:rsidRPr="003973E6" w:rsidRDefault="00B02551" w:rsidP="00B0255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B397042" w14:textId="77777777" w:rsidR="00A45141" w:rsidRDefault="00A45141" w:rsidP="00A4238A">
      <w:pPr>
        <w:jc w:val="center"/>
      </w:pPr>
    </w:p>
    <w:p w14:paraId="34931E6F" w14:textId="77777777" w:rsidR="00B02551" w:rsidRDefault="00B02551" w:rsidP="00A4238A">
      <w:pPr>
        <w:jc w:val="center"/>
      </w:pPr>
    </w:p>
    <w:p w14:paraId="1C3B7289" w14:textId="77777777" w:rsidR="00B02551" w:rsidRDefault="00B02551" w:rsidP="00A4238A">
      <w:pPr>
        <w:jc w:val="center"/>
      </w:pPr>
    </w:p>
    <w:p w14:paraId="02AF9D52" w14:textId="77777777" w:rsidR="00B02551" w:rsidRDefault="00B02551" w:rsidP="00A4238A">
      <w:pPr>
        <w:jc w:val="center"/>
      </w:pPr>
    </w:p>
    <w:p w14:paraId="0BB590B6" w14:textId="77777777" w:rsidR="00B02551" w:rsidRDefault="00B02551" w:rsidP="00A4238A">
      <w:pPr>
        <w:jc w:val="center"/>
      </w:pPr>
    </w:p>
    <w:p w14:paraId="1709A089" w14:textId="77777777" w:rsidR="00B02551" w:rsidRDefault="00B02551" w:rsidP="00A4238A">
      <w:pPr>
        <w:jc w:val="center"/>
      </w:pPr>
    </w:p>
    <w:p w14:paraId="7A118998" w14:textId="77777777" w:rsidR="00B02551" w:rsidRDefault="00B02551" w:rsidP="00A4238A">
      <w:pPr>
        <w:jc w:val="center"/>
      </w:pPr>
    </w:p>
    <w:p w14:paraId="46620A7C" w14:textId="77777777" w:rsidR="00B02551" w:rsidRDefault="00B02551" w:rsidP="00A4238A">
      <w:pPr>
        <w:jc w:val="center"/>
      </w:pPr>
    </w:p>
    <w:p w14:paraId="3BD3746B" w14:textId="77777777" w:rsidR="00B02551" w:rsidRDefault="00B02551" w:rsidP="00A4238A">
      <w:pPr>
        <w:jc w:val="center"/>
      </w:pPr>
    </w:p>
    <w:p w14:paraId="616BD3D0" w14:textId="77777777" w:rsidR="00B02551" w:rsidRDefault="00B02551" w:rsidP="00A4238A">
      <w:pPr>
        <w:jc w:val="center"/>
      </w:pPr>
    </w:p>
    <w:p w14:paraId="62F6A2A1" w14:textId="77777777" w:rsidR="00A74A08" w:rsidRDefault="00A74A08" w:rsidP="00A4238A">
      <w:pPr>
        <w:jc w:val="center"/>
      </w:pPr>
    </w:p>
    <w:p w14:paraId="20BD3452" w14:textId="77777777" w:rsidR="00A74A08" w:rsidRDefault="00A74A08" w:rsidP="00A4238A">
      <w:pPr>
        <w:jc w:val="center"/>
      </w:pPr>
    </w:p>
    <w:p w14:paraId="5C0358D6" w14:textId="77777777" w:rsidR="00A74A08" w:rsidRDefault="00A74A08" w:rsidP="00A4238A">
      <w:pPr>
        <w:jc w:val="center"/>
      </w:pPr>
    </w:p>
    <w:p w14:paraId="03CC1E5B" w14:textId="77777777" w:rsidR="00A74A08" w:rsidRDefault="00A74A08" w:rsidP="00A4238A">
      <w:pPr>
        <w:jc w:val="center"/>
      </w:pPr>
    </w:p>
    <w:p w14:paraId="6D785313" w14:textId="77777777" w:rsidR="00A74A08" w:rsidRDefault="00A74A08" w:rsidP="00A4238A">
      <w:pPr>
        <w:jc w:val="center"/>
      </w:pPr>
    </w:p>
    <w:p w14:paraId="089B1958" w14:textId="77777777" w:rsidR="00B02551" w:rsidRDefault="00B02551" w:rsidP="00A4238A">
      <w:pPr>
        <w:jc w:val="center"/>
      </w:pPr>
    </w:p>
    <w:p w14:paraId="4686E76C" w14:textId="77777777" w:rsidR="00B02551" w:rsidRDefault="00B02551" w:rsidP="00A45141"/>
    <w:p w14:paraId="00631913" w14:textId="77777777" w:rsidR="00A74A08" w:rsidRDefault="00A74A08" w:rsidP="00CE7B08">
      <w:pPr>
        <w:spacing w:before="180" w:after="150" w:line="360" w:lineRule="auto"/>
        <w:jc w:val="both"/>
        <w:rPr>
          <w:rFonts w:ascii="Arial" w:eastAsia="Times New Roman" w:hAnsi="Arial" w:cs="Arial"/>
          <w:b/>
          <w:bCs/>
          <w:color w:val="26221F"/>
          <w:spacing w:val="-3"/>
          <w:kern w:val="0"/>
          <w:sz w:val="22"/>
          <w:szCs w:val="22"/>
          <w:lang w:eastAsia="en-GB"/>
          <w14:ligatures w14:val="none"/>
        </w:rPr>
      </w:pPr>
    </w:p>
    <w:p w14:paraId="05B94C99" w14:textId="15C9F906" w:rsidR="00CE7B08" w:rsidRPr="00517F9E" w:rsidRDefault="00CE7B08" w:rsidP="00CE7B08">
      <w:pPr>
        <w:spacing w:before="180" w:after="150" w:line="360" w:lineRule="auto"/>
        <w:jc w:val="both"/>
        <w:rPr>
          <w:rFonts w:ascii="Arial" w:eastAsia="Times New Roman" w:hAnsi="Arial" w:cs="Arial"/>
          <w:b/>
          <w:bCs/>
          <w:color w:val="26221F"/>
          <w:kern w:val="0"/>
          <w:sz w:val="22"/>
          <w:szCs w:val="22"/>
          <w:lang w:eastAsia="en-GB"/>
          <w14:ligatures w14:val="none"/>
        </w:rPr>
      </w:pPr>
      <w:r w:rsidRPr="00517F9E">
        <w:rPr>
          <w:rFonts w:ascii="Arial" w:eastAsia="Times New Roman" w:hAnsi="Arial" w:cs="Arial"/>
          <w:b/>
          <w:bCs/>
          <w:color w:val="26221F"/>
          <w:spacing w:val="-3"/>
          <w:kern w:val="0"/>
          <w:sz w:val="22"/>
          <w:szCs w:val="22"/>
          <w:lang w:eastAsia="en-GB"/>
          <w14:ligatures w14:val="none"/>
        </w:rPr>
        <w:lastRenderedPageBreak/>
        <w:t>Introduction</w:t>
      </w:r>
    </w:p>
    <w:p w14:paraId="409BF8D4" w14:textId="12B79A5A" w:rsidR="00CE7B08" w:rsidRPr="006C5E08" w:rsidRDefault="00CE7B08" w:rsidP="00CE7B08">
      <w:pPr>
        <w:spacing w:after="180" w:line="360" w:lineRule="auto"/>
        <w:jc w:val="both"/>
        <w:rPr>
          <w:rFonts w:ascii="Arial" w:eastAsia="Times New Roman" w:hAnsi="Arial" w:cs="Arial"/>
          <w:color w:val="26221F"/>
          <w:kern w:val="0"/>
          <w:sz w:val="22"/>
          <w:szCs w:val="22"/>
          <w:lang w:eastAsia="en-GB"/>
          <w14:ligatures w14:val="none"/>
        </w:rPr>
      </w:pPr>
      <w:r w:rsidRPr="00CE7B08">
        <w:rPr>
          <w:rFonts w:ascii="Arial" w:eastAsia="Times New Roman" w:hAnsi="Arial" w:cs="Arial"/>
          <w:color w:val="26221F"/>
          <w:spacing w:val="2"/>
          <w:kern w:val="0"/>
          <w:sz w:val="22"/>
          <w:szCs w:val="22"/>
          <w:lang w:eastAsia="en-GB"/>
          <w14:ligatures w14:val="none"/>
        </w:rPr>
        <w:t>Wellbeing is a multidimensional concept shaped by health, employment, social conditions, and the wider determinants that influence people’s ability to live healthy, secure, and fulfilling lives. Within the UK, wellbeing has become a central policy priority due to rising health inequalities, workforce shortages, and increasing pressure on health and social care systems. Sustainable Development Goal (SDG) 3, which focuses on ensuring healthy lives and promoting wellbeing, and SDG 8, which emphasises decent work and economic stability, provide a useful framework for analysing national and local initiatives aimed at improving population outcomes. This assignment critically evaluates how the UK interprets and implements SDG 3 and SDG 8 through national and local wellbeing initiatives, examining their effectiveness, limitations, and alignment with sustainable development principles.</w:t>
      </w:r>
    </w:p>
    <w:p w14:paraId="3AA5B38F" w14:textId="77777777" w:rsidR="00CE7B08" w:rsidRPr="006C5E08" w:rsidRDefault="00CE7B08" w:rsidP="006C5E08">
      <w:pPr>
        <w:spacing w:before="180" w:after="150" w:line="360" w:lineRule="auto"/>
        <w:jc w:val="both"/>
        <w:rPr>
          <w:rFonts w:ascii="Arial" w:eastAsia="Times New Roman" w:hAnsi="Arial" w:cs="Arial"/>
          <w:b/>
          <w:bCs/>
          <w:color w:val="26221F"/>
          <w:kern w:val="0"/>
          <w:sz w:val="22"/>
          <w:szCs w:val="22"/>
          <w:lang w:eastAsia="en-GB"/>
          <w14:ligatures w14:val="none"/>
        </w:rPr>
      </w:pPr>
      <w:r w:rsidRPr="006C5E08">
        <w:rPr>
          <w:rFonts w:ascii="Arial" w:eastAsia="Times New Roman" w:hAnsi="Arial" w:cs="Arial"/>
          <w:b/>
          <w:bCs/>
          <w:color w:val="26221F"/>
          <w:spacing w:val="-3"/>
          <w:kern w:val="0"/>
          <w:sz w:val="22"/>
          <w:szCs w:val="22"/>
          <w:lang w:eastAsia="en-GB"/>
          <w14:ligatures w14:val="none"/>
        </w:rPr>
        <w:t>SDG 3: Global Context and UK Interpretation</w:t>
      </w:r>
    </w:p>
    <w:p w14:paraId="2B3D2DBD" w14:textId="77777777" w:rsidR="006C5E08" w:rsidRPr="006C5E08" w:rsidRDefault="006C5E08" w:rsidP="006C5E08">
      <w:pPr>
        <w:pStyle w:val="p1"/>
        <w:spacing w:line="360" w:lineRule="auto"/>
        <w:jc w:val="both"/>
        <w:rPr>
          <w:rFonts w:ascii="Arial" w:hAnsi="Arial" w:cs="Arial"/>
          <w:sz w:val="22"/>
          <w:szCs w:val="22"/>
        </w:rPr>
      </w:pPr>
      <w:r w:rsidRPr="006C5E08">
        <w:rPr>
          <w:rStyle w:val="s1"/>
          <w:rFonts w:ascii="Arial" w:hAnsi="Arial" w:cs="Arial"/>
          <w:sz w:val="22"/>
          <w:szCs w:val="22"/>
        </w:rPr>
        <w:t>Sustainable Development Goal 3 aims to “ensure healthy lives and promote wellbeing for all at all ages,” with a particular focus on reducing premature mortality, strengthening health systems, and achieving universal health coverage (UN, 2023; WHO, 2023). Globally, progress has been uneven: while some countries have reduced child mortality and expanded vaccination coverage, others face rising non</w:t>
      </w:r>
      <w:r w:rsidRPr="006C5E08">
        <w:rPr>
          <w:rStyle w:val="s1"/>
          <w:rFonts w:ascii="Arial" w:hAnsi="Arial" w:cs="Arial"/>
          <w:sz w:val="22"/>
          <w:szCs w:val="22"/>
        </w:rPr>
        <w:noBreakHyphen/>
        <w:t>communicable diseases, persistent infectious disease burdens, and widening health inequalities. The WHO warns of a projected global shortfall of 10 million health workers by 2030, which threatens the capacity of health systems to deliver safe, timely, and equitable care (WHO, 2023). SDG 3 therefore cannot be separated from broader social, economic, and workforce dynamics.</w:t>
      </w:r>
    </w:p>
    <w:p w14:paraId="65108772" w14:textId="77777777" w:rsidR="006C5E08" w:rsidRPr="006C5E08" w:rsidRDefault="006C5E08" w:rsidP="006C5E08">
      <w:pPr>
        <w:pStyle w:val="p1"/>
        <w:spacing w:line="360" w:lineRule="auto"/>
        <w:jc w:val="both"/>
        <w:rPr>
          <w:rFonts w:ascii="Arial" w:hAnsi="Arial" w:cs="Arial"/>
          <w:sz w:val="22"/>
          <w:szCs w:val="22"/>
        </w:rPr>
      </w:pPr>
      <w:r w:rsidRPr="006C5E08">
        <w:rPr>
          <w:rStyle w:val="s1"/>
          <w:rFonts w:ascii="Arial" w:hAnsi="Arial" w:cs="Arial"/>
          <w:sz w:val="22"/>
          <w:szCs w:val="22"/>
        </w:rPr>
        <w:t>The goal also emphasises prevention, resilience, and the social determinants of health. International evidence shows that health outcomes are shaped not only by clinical services but by housing, employment, education, and environmental conditions (Marmot, 2015). Countries that invest in public health, primary care, and community</w:t>
      </w:r>
      <w:r w:rsidRPr="006C5E08">
        <w:rPr>
          <w:rStyle w:val="s1"/>
          <w:rFonts w:ascii="Arial" w:hAnsi="Arial" w:cs="Arial"/>
          <w:sz w:val="22"/>
          <w:szCs w:val="22"/>
        </w:rPr>
        <w:noBreakHyphen/>
        <w:t>based services tend to achieve better population outcomes and lower long</w:t>
      </w:r>
      <w:r w:rsidRPr="006C5E08">
        <w:rPr>
          <w:rStyle w:val="s1"/>
          <w:rFonts w:ascii="Arial" w:hAnsi="Arial" w:cs="Arial"/>
          <w:sz w:val="22"/>
          <w:szCs w:val="22"/>
        </w:rPr>
        <w:noBreakHyphen/>
        <w:t>term costs. However, many health systems remain reactive and hospital</w:t>
      </w:r>
      <w:r w:rsidRPr="006C5E08">
        <w:rPr>
          <w:rStyle w:val="s1"/>
          <w:rFonts w:ascii="Arial" w:hAnsi="Arial" w:cs="Arial"/>
          <w:sz w:val="22"/>
          <w:szCs w:val="22"/>
        </w:rPr>
        <w:noBreakHyphen/>
        <w:t>centred, limiting progress towards SDG 3’s vision of comprehensive wellbeing.</w:t>
      </w:r>
    </w:p>
    <w:p w14:paraId="46290DCF" w14:textId="77777777" w:rsidR="006C5E08" w:rsidRPr="006C5E08" w:rsidRDefault="006C5E08" w:rsidP="006C5E08">
      <w:pPr>
        <w:pStyle w:val="p1"/>
        <w:spacing w:line="360" w:lineRule="auto"/>
        <w:jc w:val="both"/>
        <w:rPr>
          <w:rFonts w:ascii="Arial" w:hAnsi="Arial" w:cs="Arial"/>
          <w:sz w:val="22"/>
          <w:szCs w:val="22"/>
        </w:rPr>
      </w:pPr>
      <w:r w:rsidRPr="006C5E08">
        <w:rPr>
          <w:rStyle w:val="s1"/>
          <w:rFonts w:ascii="Arial" w:hAnsi="Arial" w:cs="Arial"/>
          <w:sz w:val="22"/>
          <w:szCs w:val="22"/>
        </w:rPr>
        <w:t>Within the UK, SDG 3 is interpreted through national strategies that prioritise integrated care, mental health expansion, and prevention</w:t>
      </w:r>
      <w:r w:rsidRPr="006C5E08">
        <w:rPr>
          <w:rStyle w:val="s1"/>
          <w:rFonts w:ascii="Arial" w:hAnsi="Arial" w:cs="Arial"/>
          <w:sz w:val="22"/>
          <w:szCs w:val="22"/>
        </w:rPr>
        <w:noBreakHyphen/>
        <w:t>focused approaches. The NHS Long Term Plan and related policies aim to reduce avoidable hospital admissions, improve management of long</w:t>
      </w:r>
      <w:r w:rsidRPr="006C5E08">
        <w:rPr>
          <w:rStyle w:val="s1"/>
          <w:rFonts w:ascii="Arial" w:hAnsi="Arial" w:cs="Arial"/>
          <w:sz w:val="22"/>
          <w:szCs w:val="22"/>
        </w:rPr>
        <w:noBreakHyphen/>
        <w:t xml:space="preserve">term conditions, and expand access to mental health support (NHS England, 2023). Yet the Health Foundation (2026) highlights that life expectancy gains have stalled, and </w:t>
      </w:r>
      <w:r w:rsidRPr="006C5E08">
        <w:rPr>
          <w:rStyle w:val="s1"/>
          <w:rFonts w:ascii="Arial" w:hAnsi="Arial" w:cs="Arial"/>
          <w:sz w:val="22"/>
          <w:szCs w:val="22"/>
        </w:rPr>
        <w:lastRenderedPageBreak/>
        <w:t>gaps between the most and least deprived communities have widened. People living in deprived areas experience higher rates of chronic illness, multimorbidity, and premature mortality, reflecting deep</w:t>
      </w:r>
      <w:r w:rsidRPr="006C5E08">
        <w:rPr>
          <w:rStyle w:val="s1"/>
          <w:rFonts w:ascii="Arial" w:hAnsi="Arial" w:cs="Arial"/>
          <w:sz w:val="22"/>
          <w:szCs w:val="22"/>
        </w:rPr>
        <w:noBreakHyphen/>
        <w:t>rooted structural inequalities.</w:t>
      </w:r>
    </w:p>
    <w:p w14:paraId="30039F88" w14:textId="77777777" w:rsidR="006C5E08" w:rsidRPr="006C5E08" w:rsidRDefault="006C5E08" w:rsidP="006C5E08">
      <w:pPr>
        <w:pStyle w:val="p1"/>
        <w:spacing w:line="360" w:lineRule="auto"/>
        <w:jc w:val="both"/>
        <w:rPr>
          <w:rFonts w:ascii="Arial" w:hAnsi="Arial" w:cs="Arial"/>
          <w:sz w:val="22"/>
          <w:szCs w:val="22"/>
        </w:rPr>
      </w:pPr>
      <w:r w:rsidRPr="006C5E08">
        <w:rPr>
          <w:rStyle w:val="s1"/>
          <w:rFonts w:ascii="Arial" w:hAnsi="Arial" w:cs="Arial"/>
          <w:sz w:val="22"/>
          <w:szCs w:val="22"/>
        </w:rPr>
        <w:t>Workforce pressures further constrain the UK’s ability to realise SDG 3. Shortages of GPs, nurses, mental health professionals, and social care staff limit access to services and increase waiting times (Skills for Care, 2024). These shortages are not simply operational problems; they represent a fundamental barrier to achieving universal, equitable wellbeing. The interdependence between SDG 3 and SDG 8 becomes clear: without decent work, fair pay, and sustainable staffing, health systems cannot deliver on their promises.</w:t>
      </w:r>
    </w:p>
    <w:p w14:paraId="7A3B9AA1" w14:textId="51BD803F" w:rsidR="00CE7B08" w:rsidRPr="006C5E08" w:rsidRDefault="006C5E08" w:rsidP="006C5E08">
      <w:pPr>
        <w:pStyle w:val="p1"/>
        <w:spacing w:line="360" w:lineRule="auto"/>
        <w:jc w:val="both"/>
        <w:rPr>
          <w:rFonts w:ascii="Arial" w:hAnsi="Arial" w:cs="Arial"/>
          <w:sz w:val="22"/>
          <w:szCs w:val="22"/>
        </w:rPr>
      </w:pPr>
      <w:r w:rsidRPr="006C5E08">
        <w:rPr>
          <w:rStyle w:val="s1"/>
          <w:rFonts w:ascii="Arial" w:hAnsi="Arial" w:cs="Arial"/>
          <w:sz w:val="22"/>
          <w:szCs w:val="22"/>
        </w:rPr>
        <w:t>Critically, the UK’s approach to SDG 3 combines strong policy intent with inconsistent implementation. Prevention and mental health are frequently prioritised in strategy documents, yet short</w:t>
      </w:r>
      <w:r w:rsidRPr="006C5E08">
        <w:rPr>
          <w:rStyle w:val="s1"/>
          <w:rFonts w:ascii="Arial" w:hAnsi="Arial" w:cs="Arial"/>
          <w:sz w:val="22"/>
          <w:szCs w:val="22"/>
        </w:rPr>
        <w:noBreakHyphen/>
        <w:t>term funding cycles, fragmented commissioning, and regional disparities undermine delivery (Institute for Government, 2024). While the UK has the infrastructure and expertise to make substantial progress, the lack of long</w:t>
      </w:r>
      <w:r w:rsidRPr="006C5E08">
        <w:rPr>
          <w:rStyle w:val="s1"/>
          <w:rFonts w:ascii="Arial" w:hAnsi="Arial" w:cs="Arial"/>
          <w:sz w:val="22"/>
          <w:szCs w:val="22"/>
        </w:rPr>
        <w:noBreakHyphen/>
        <w:t>term, cross</w:t>
      </w:r>
      <w:r w:rsidRPr="006C5E08">
        <w:rPr>
          <w:rStyle w:val="s1"/>
          <w:rFonts w:ascii="Arial" w:hAnsi="Arial" w:cs="Arial"/>
          <w:sz w:val="22"/>
          <w:szCs w:val="22"/>
        </w:rPr>
        <w:noBreakHyphen/>
        <w:t>government commitment to tackling inequalities and stabilising the workforce means that SDG 3 remains only partially realised. This tension between ambition and reality is central to evaluating national and local wellbeing initiatives in the sections that follow.</w:t>
      </w:r>
    </w:p>
    <w:p w14:paraId="5BA81CF5" w14:textId="77777777" w:rsidR="00CE7B08" w:rsidRPr="00517F9E" w:rsidRDefault="00CE7B08" w:rsidP="00CE7B08">
      <w:pPr>
        <w:spacing w:before="180" w:after="150" w:line="360" w:lineRule="auto"/>
        <w:jc w:val="both"/>
        <w:rPr>
          <w:rFonts w:ascii="Arial" w:eastAsia="Times New Roman" w:hAnsi="Arial" w:cs="Arial"/>
          <w:b/>
          <w:bCs/>
          <w:color w:val="26221F"/>
          <w:kern w:val="0"/>
          <w:sz w:val="22"/>
          <w:szCs w:val="22"/>
          <w:lang w:eastAsia="en-GB"/>
          <w14:ligatures w14:val="none"/>
        </w:rPr>
      </w:pPr>
      <w:r w:rsidRPr="00517F9E">
        <w:rPr>
          <w:rFonts w:ascii="Arial" w:eastAsia="Times New Roman" w:hAnsi="Arial" w:cs="Arial"/>
          <w:b/>
          <w:bCs/>
          <w:color w:val="26221F"/>
          <w:spacing w:val="-3"/>
          <w:kern w:val="0"/>
          <w:sz w:val="22"/>
          <w:szCs w:val="22"/>
          <w:lang w:eastAsia="en-GB"/>
          <w14:ligatures w14:val="none"/>
        </w:rPr>
        <w:t>SDG 8: Global Context and UK Interpretation</w:t>
      </w:r>
    </w:p>
    <w:p w14:paraId="4CD01982" w14:textId="77777777" w:rsidR="00FD68C8" w:rsidRPr="00FD68C8" w:rsidRDefault="00FD68C8" w:rsidP="00FD68C8">
      <w:pPr>
        <w:pStyle w:val="p1"/>
        <w:spacing w:line="360" w:lineRule="auto"/>
        <w:jc w:val="both"/>
        <w:rPr>
          <w:rFonts w:ascii="Arial" w:hAnsi="Arial" w:cs="Arial"/>
          <w:sz w:val="22"/>
          <w:szCs w:val="22"/>
        </w:rPr>
      </w:pPr>
      <w:r w:rsidRPr="00FD68C8">
        <w:rPr>
          <w:rStyle w:val="s1"/>
          <w:rFonts w:ascii="Arial" w:hAnsi="Arial" w:cs="Arial"/>
          <w:sz w:val="22"/>
          <w:szCs w:val="22"/>
        </w:rPr>
        <w:t>Sustainable Development Goal 8 aims to promote sustained, inclusive, and sustainable economic growth, full and productive employment, and decent work for all (UN, 2023; ILO, 2023). Globally, SDG 8 recognises that economic stability and workforce wellbeing are inseparable from broader social development. The International Labour Organization highlights that more than 2 billion workers worldwide lack formal employment protections, contributing to unsafe working conditions, low wages, and limited access to social security (ILO, 2023). These structural inequalities hinder progress towards decent work and exacerbate poverty, gender disparities, and labour exploitation. SDG 8 therefore emphasises fair pay, safe workplaces, labour rights, and investment in workforce development as essential foundations for sustainable development.</w:t>
      </w:r>
    </w:p>
    <w:p w14:paraId="666F7E25" w14:textId="77777777" w:rsidR="00FD68C8" w:rsidRPr="00FD68C8" w:rsidRDefault="00FD68C8" w:rsidP="00FD68C8">
      <w:pPr>
        <w:pStyle w:val="p1"/>
        <w:spacing w:line="360" w:lineRule="auto"/>
        <w:jc w:val="both"/>
        <w:rPr>
          <w:rFonts w:ascii="Arial" w:hAnsi="Arial" w:cs="Arial"/>
          <w:sz w:val="22"/>
          <w:szCs w:val="22"/>
        </w:rPr>
      </w:pPr>
      <w:r w:rsidRPr="00FD68C8">
        <w:rPr>
          <w:rStyle w:val="s1"/>
          <w:rFonts w:ascii="Arial" w:hAnsi="Arial" w:cs="Arial"/>
          <w:sz w:val="22"/>
          <w:szCs w:val="22"/>
        </w:rPr>
        <w:t>Global labour markets face significant challenges, including rising job insecurity, technological disruption, and widening inequalities between high</w:t>
      </w:r>
      <w:r w:rsidRPr="00FD68C8">
        <w:rPr>
          <w:rStyle w:val="s1"/>
          <w:rFonts w:ascii="Arial" w:hAnsi="Arial" w:cs="Arial"/>
          <w:sz w:val="22"/>
          <w:szCs w:val="22"/>
        </w:rPr>
        <w:noBreakHyphen/>
        <w:t>income and low</w:t>
      </w:r>
      <w:r w:rsidRPr="00FD68C8">
        <w:rPr>
          <w:rStyle w:val="s1"/>
          <w:rFonts w:ascii="Arial" w:hAnsi="Arial" w:cs="Arial"/>
          <w:sz w:val="22"/>
          <w:szCs w:val="22"/>
        </w:rPr>
        <w:noBreakHyphen/>
        <w:t>income regions. Informal employment remains widespread in many countries, limiting workers’ access to training, career progression, and social protections. The ILO also reports increasing levels of work</w:t>
      </w:r>
      <w:r w:rsidRPr="00FD68C8">
        <w:rPr>
          <w:rStyle w:val="s1"/>
          <w:rFonts w:ascii="Arial" w:hAnsi="Arial" w:cs="Arial"/>
          <w:sz w:val="22"/>
          <w:szCs w:val="22"/>
        </w:rPr>
        <w:noBreakHyphen/>
        <w:t xml:space="preserve">related stress, burnout, and mental health difficulties, reflecting the growing importance of wellbeing within employment policy. These global trends highlight the </w:t>
      </w:r>
      <w:r w:rsidRPr="00FD68C8">
        <w:rPr>
          <w:rStyle w:val="s1"/>
          <w:rFonts w:ascii="Arial" w:hAnsi="Arial" w:cs="Arial"/>
          <w:sz w:val="22"/>
          <w:szCs w:val="22"/>
        </w:rPr>
        <w:lastRenderedPageBreak/>
        <w:t>need for integrated approaches that link economic growth with workforce stability, health, and safety.</w:t>
      </w:r>
    </w:p>
    <w:p w14:paraId="5E473D30" w14:textId="77777777" w:rsidR="00FD68C8" w:rsidRPr="00FD68C8" w:rsidRDefault="00FD68C8" w:rsidP="00FD68C8">
      <w:pPr>
        <w:pStyle w:val="p1"/>
        <w:spacing w:line="360" w:lineRule="auto"/>
        <w:jc w:val="both"/>
        <w:rPr>
          <w:rFonts w:ascii="Arial" w:hAnsi="Arial" w:cs="Arial"/>
          <w:sz w:val="22"/>
          <w:szCs w:val="22"/>
        </w:rPr>
      </w:pPr>
      <w:r w:rsidRPr="00FD68C8">
        <w:rPr>
          <w:rStyle w:val="s1"/>
          <w:rFonts w:ascii="Arial" w:hAnsi="Arial" w:cs="Arial"/>
          <w:sz w:val="22"/>
          <w:szCs w:val="22"/>
        </w:rPr>
        <w:t>Within the UK, SDG 8 is closely connected to the health and social care workforce, where recruitment challenges, high turnover, and regional disparities directly affect service quality and population wellbeing. Workforce shortages in the NHS exceed 120,000 vacancies, while adult social care faces more than 150,000 unfilled posts (Skills for Care, 2024). These shortages are not simply operational issues; they represent structural barriers to achieving both SDG 8 and SDG 3. When staffing is unstable, access to care declines, waiting times increase, and continuity of support is disrupted. This demonstrates the interdependence between decent work and health outcomes.</w:t>
      </w:r>
    </w:p>
    <w:p w14:paraId="6E033BEB" w14:textId="77777777" w:rsidR="00FD68C8" w:rsidRPr="00FD68C8" w:rsidRDefault="00FD68C8" w:rsidP="00FD68C8">
      <w:pPr>
        <w:pStyle w:val="p1"/>
        <w:spacing w:line="360" w:lineRule="auto"/>
        <w:jc w:val="both"/>
        <w:rPr>
          <w:rFonts w:ascii="Arial" w:hAnsi="Arial" w:cs="Arial"/>
          <w:sz w:val="22"/>
          <w:szCs w:val="22"/>
        </w:rPr>
      </w:pPr>
      <w:r w:rsidRPr="00FD68C8">
        <w:rPr>
          <w:rStyle w:val="s1"/>
          <w:rFonts w:ascii="Arial" w:hAnsi="Arial" w:cs="Arial"/>
          <w:sz w:val="22"/>
          <w:szCs w:val="22"/>
        </w:rPr>
        <w:t>The UK’s labour market also faces persistent inequalities. Pay disparities, insecure contracts, and limited career progression affect many social care workers, contributing to high turnover and reduced job satisfaction (Nuffield Trust, 2024). Regional inequalities further complicate progress: deprived areas struggle to recruit and retain staff, while more affluent regions benefit from stronger local economies and better resourced services. These disparities undermine national efforts to deliver equitable wellbeing and sustainable employment.</w:t>
      </w:r>
    </w:p>
    <w:p w14:paraId="0D1E8C47" w14:textId="77777777" w:rsidR="00FD68C8" w:rsidRPr="00FD68C8" w:rsidRDefault="00FD68C8" w:rsidP="00FD68C8">
      <w:pPr>
        <w:pStyle w:val="p1"/>
        <w:spacing w:line="360" w:lineRule="auto"/>
        <w:jc w:val="both"/>
        <w:rPr>
          <w:rFonts w:ascii="Arial" w:hAnsi="Arial" w:cs="Arial"/>
          <w:sz w:val="22"/>
          <w:szCs w:val="22"/>
        </w:rPr>
      </w:pPr>
      <w:r w:rsidRPr="00FD68C8">
        <w:rPr>
          <w:rStyle w:val="s1"/>
          <w:rFonts w:ascii="Arial" w:hAnsi="Arial" w:cs="Arial"/>
          <w:sz w:val="22"/>
          <w:szCs w:val="22"/>
        </w:rPr>
        <w:t>Critically, while UK policy documents emphasise workforce development, implementation remains inconsistent. Short</w:t>
      </w:r>
      <w:r w:rsidRPr="00FD68C8">
        <w:rPr>
          <w:rStyle w:val="s1"/>
          <w:rFonts w:ascii="Arial" w:hAnsi="Arial" w:cs="Arial"/>
          <w:sz w:val="22"/>
          <w:szCs w:val="22"/>
        </w:rPr>
        <w:noBreakHyphen/>
        <w:t>term funding cycles, fragmented commissioning, and limited investment in training hinder long</w:t>
      </w:r>
      <w:r w:rsidRPr="00FD68C8">
        <w:rPr>
          <w:rStyle w:val="s1"/>
          <w:rFonts w:ascii="Arial" w:hAnsi="Arial" w:cs="Arial"/>
          <w:sz w:val="22"/>
          <w:szCs w:val="22"/>
        </w:rPr>
        <w:noBreakHyphen/>
        <w:t>term workforce planning (Institute for Government, 2024). The Health Foundation (2026) argues that without multi</w:t>
      </w:r>
      <w:r w:rsidRPr="00FD68C8">
        <w:rPr>
          <w:rStyle w:val="s1"/>
          <w:rFonts w:ascii="Arial" w:hAnsi="Arial" w:cs="Arial"/>
          <w:sz w:val="22"/>
          <w:szCs w:val="22"/>
        </w:rPr>
        <w:noBreakHyphen/>
        <w:t>year funding settlements and improved pay structures, the UK cannot achieve sustainable workforce stability. This gap between policy ambition and practical delivery mirrors global challenges and highlights the need for integrated strategies that link economic growth, workforce wellbeing, and social development.</w:t>
      </w:r>
    </w:p>
    <w:p w14:paraId="13B24D5C" w14:textId="3F3E722E" w:rsidR="00FD68C8" w:rsidRPr="00213AB3" w:rsidRDefault="00FD68C8" w:rsidP="00213AB3">
      <w:pPr>
        <w:pStyle w:val="p1"/>
        <w:spacing w:line="360" w:lineRule="auto"/>
        <w:jc w:val="both"/>
        <w:rPr>
          <w:rFonts w:ascii="Arial" w:hAnsi="Arial" w:cs="Arial"/>
          <w:sz w:val="22"/>
          <w:szCs w:val="22"/>
        </w:rPr>
      </w:pPr>
      <w:r w:rsidRPr="00FD68C8">
        <w:rPr>
          <w:rStyle w:val="s1"/>
          <w:rFonts w:ascii="Arial" w:hAnsi="Arial" w:cs="Arial"/>
          <w:sz w:val="22"/>
          <w:szCs w:val="22"/>
        </w:rPr>
        <w:t>SDG 8 provides a crucial lens for understanding the UK’s workforce challenges. Achieving decent work requires not only economic investment but also structural reform, fair pay, and long</w:t>
      </w:r>
      <w:r w:rsidRPr="00FD68C8">
        <w:rPr>
          <w:rStyle w:val="s1"/>
          <w:rFonts w:ascii="Arial" w:hAnsi="Arial" w:cs="Arial"/>
          <w:sz w:val="22"/>
          <w:szCs w:val="22"/>
        </w:rPr>
        <w:noBreakHyphen/>
        <w:t>term workforce planning. Without these foundations, progress towards SDG 3 and SDG 8 will remain limited.</w:t>
      </w:r>
    </w:p>
    <w:p w14:paraId="36F45F61" w14:textId="01E0448C" w:rsidR="00CE7B08" w:rsidRDefault="00CE7B08" w:rsidP="00CE7B08">
      <w:pPr>
        <w:spacing w:before="180" w:after="150" w:line="360" w:lineRule="auto"/>
        <w:jc w:val="both"/>
        <w:rPr>
          <w:rFonts w:ascii="Arial" w:eastAsia="Times New Roman" w:hAnsi="Arial" w:cs="Arial"/>
          <w:b/>
          <w:bCs/>
          <w:color w:val="26221F"/>
          <w:spacing w:val="-3"/>
          <w:kern w:val="0"/>
          <w:sz w:val="22"/>
          <w:szCs w:val="22"/>
          <w:lang w:eastAsia="en-GB"/>
          <w14:ligatures w14:val="none"/>
        </w:rPr>
      </w:pPr>
      <w:r w:rsidRPr="00C444C4">
        <w:rPr>
          <w:rFonts w:ascii="Arial" w:eastAsia="Times New Roman" w:hAnsi="Arial" w:cs="Arial"/>
          <w:b/>
          <w:bCs/>
          <w:color w:val="26221F"/>
          <w:spacing w:val="-3"/>
          <w:kern w:val="0"/>
          <w:sz w:val="22"/>
          <w:szCs w:val="22"/>
          <w:lang w:eastAsia="en-GB"/>
          <w14:ligatures w14:val="none"/>
        </w:rPr>
        <w:t>National Wellbeing Initiatives</w:t>
      </w:r>
    </w:p>
    <w:p w14:paraId="5BAA8A66"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 xml:space="preserve">National wellbeing initiatives in the UK aim to strengthen population health, reduce inequalities, and stabilise the workforce. Two major policies illustrate these efforts: the NHS Long Term Plan and the Adult Social Care Reform Agenda. Both demonstrate strong </w:t>
      </w:r>
      <w:r w:rsidRPr="00557339">
        <w:rPr>
          <w:rFonts w:ascii="Arial" w:eastAsia="Times New Roman" w:hAnsi="Arial" w:cs="Arial"/>
          <w:color w:val="26221F"/>
          <w:spacing w:val="2"/>
          <w:kern w:val="0"/>
          <w:sz w:val="22"/>
          <w:szCs w:val="22"/>
          <w:lang w:eastAsia="en-GB"/>
          <w14:ligatures w14:val="none"/>
        </w:rPr>
        <w:lastRenderedPageBreak/>
        <w:t>strategic intent, yet their effectiveness is shaped by structural constraints, workforce shortages, and regional disparities that limit progress towards SDG 3 and SDG 8.</w:t>
      </w:r>
    </w:p>
    <w:p w14:paraId="388C6065"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kern w:val="0"/>
          <w:sz w:val="22"/>
          <w:szCs w:val="22"/>
          <w:lang w:eastAsia="en-GB"/>
          <w14:ligatures w14:val="none"/>
        </w:rPr>
        <w:t>NHS Long Term Plan</w:t>
      </w:r>
    </w:p>
    <w:p w14:paraId="7C5AC766"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The NHS Long Term Plan sets out a shift towards prevention, integrated care, and expanded mental health provision (NHS England, 2023). Its focus on early intervention, digital transformation, and personalised care reflects international evidence that prevention</w:t>
      </w:r>
      <w:r w:rsidRPr="00557339">
        <w:rPr>
          <w:rFonts w:ascii="Arial" w:eastAsia="Times New Roman" w:hAnsi="Arial" w:cs="Arial"/>
          <w:color w:val="26221F"/>
          <w:spacing w:val="2"/>
          <w:kern w:val="0"/>
          <w:sz w:val="22"/>
          <w:szCs w:val="22"/>
          <w:lang w:eastAsia="en-GB"/>
          <w14:ligatures w14:val="none"/>
        </w:rPr>
        <w:noBreakHyphen/>
        <w:t>oriented systems achieve better long</w:t>
      </w:r>
      <w:r w:rsidRPr="00557339">
        <w:rPr>
          <w:rFonts w:ascii="Arial" w:eastAsia="Times New Roman" w:hAnsi="Arial" w:cs="Arial"/>
          <w:color w:val="26221F"/>
          <w:spacing w:val="2"/>
          <w:kern w:val="0"/>
          <w:sz w:val="22"/>
          <w:szCs w:val="22"/>
          <w:lang w:eastAsia="en-GB"/>
          <w14:ligatures w14:val="none"/>
        </w:rPr>
        <w:noBreakHyphen/>
        <w:t>term outcomes (Ham, 2021; Appleby, 2020).</w:t>
      </w:r>
    </w:p>
    <w:p w14:paraId="41A0838C"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Health Outcomes</w:t>
      </w:r>
    </w:p>
    <w:p w14:paraId="45E3767D"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Integrated Care Systems (ICSs) have improved coordination between primary, secondary, and community services, contributing to modest gains in early cancer diagnosis, diabetes prevention, and cardiovascular management (King’s Fund, 2023). However, these improvements are uneven. Deprived regions continue to experience higher rates of chronic illness and slower access to diagnostics, reflecting persistent structural inequalities (Health Foundation, 2026).</w:t>
      </w:r>
    </w:p>
    <w:p w14:paraId="42457114"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Mental Wellbeing Outcomes</w:t>
      </w:r>
    </w:p>
    <w:p w14:paraId="7D0FD3AB"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The plan’s commitment to expanding mental health services has increased access to talking therapies, crisis support, and community</w:t>
      </w:r>
      <w:r w:rsidRPr="00557339">
        <w:rPr>
          <w:rFonts w:ascii="Arial" w:eastAsia="Times New Roman" w:hAnsi="Arial" w:cs="Arial"/>
          <w:color w:val="26221F"/>
          <w:spacing w:val="2"/>
          <w:kern w:val="0"/>
          <w:sz w:val="22"/>
          <w:szCs w:val="22"/>
          <w:lang w:eastAsia="en-GB"/>
          <w14:ligatures w14:val="none"/>
        </w:rPr>
        <w:noBreakHyphen/>
        <w:t>based interventions. IAPT services have grown, enabling more people to receive evidence</w:t>
      </w:r>
      <w:r w:rsidRPr="00557339">
        <w:rPr>
          <w:rFonts w:ascii="Arial" w:eastAsia="Times New Roman" w:hAnsi="Arial" w:cs="Arial"/>
          <w:color w:val="26221F"/>
          <w:spacing w:val="2"/>
          <w:kern w:val="0"/>
          <w:sz w:val="22"/>
          <w:szCs w:val="22"/>
          <w:lang w:eastAsia="en-GB"/>
          <w14:ligatures w14:val="none"/>
        </w:rPr>
        <w:noBreakHyphen/>
        <w:t>based psychological therapies (NHS England, 2023). Yet vacancy rates in mental health nursing exceed 15% in some areas, limiting continuity of care and increasing waiting times (Skills for Care, 2024). Young people’s mental health services remain under significant strain, with demand rising faster than workforce capacity.</w:t>
      </w:r>
    </w:p>
    <w:p w14:paraId="63384B4B"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Behavioural Outcomes</w:t>
      </w:r>
    </w:p>
    <w:p w14:paraId="01AD65F9"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Prevention initiatives such as smoking cessation, weight management, and alcohol reduction have shown positive behavioural changes in areas with strong public health partnerships (Marmot, 2015). Digital tools have supported self</w:t>
      </w:r>
      <w:r w:rsidRPr="00557339">
        <w:rPr>
          <w:rFonts w:ascii="Arial" w:eastAsia="Times New Roman" w:hAnsi="Arial" w:cs="Arial"/>
          <w:color w:val="26221F"/>
          <w:spacing w:val="2"/>
          <w:kern w:val="0"/>
          <w:sz w:val="22"/>
          <w:szCs w:val="22"/>
          <w:lang w:eastAsia="en-GB"/>
          <w14:ligatures w14:val="none"/>
        </w:rPr>
        <w:noBreakHyphen/>
        <w:t>management and lifestyle change. However, cuts to local authority public health budgets have reduced programme availability, limiting national impact (Anderson et al., 2021).</w:t>
      </w:r>
    </w:p>
    <w:p w14:paraId="742DC03E"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Evaluation and Challenges</w:t>
      </w:r>
    </w:p>
    <w:p w14:paraId="01259C06" w14:textId="77D342AF"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 xml:space="preserve">Overall, the NHS Long Term Plan demonstrates strong policy intent but limited practical impact. Workforce shortages, regional inequalities, and fragmented commissioning undermine progress (Charlesworth &amp; Johnson, 2021). Digital transformation has improved </w:t>
      </w:r>
      <w:r w:rsidRPr="00557339">
        <w:rPr>
          <w:rFonts w:ascii="Arial" w:eastAsia="Times New Roman" w:hAnsi="Arial" w:cs="Arial"/>
          <w:color w:val="26221F"/>
          <w:spacing w:val="2"/>
          <w:kern w:val="0"/>
          <w:sz w:val="22"/>
          <w:szCs w:val="22"/>
          <w:lang w:eastAsia="en-GB"/>
          <w14:ligatures w14:val="none"/>
        </w:rPr>
        <w:lastRenderedPageBreak/>
        <w:t>access for some but widened inequalities for those with limited digital literacy. The Institute for Government (2024) argues that short</w:t>
      </w:r>
      <w:r w:rsidRPr="00557339">
        <w:rPr>
          <w:rFonts w:ascii="Arial" w:eastAsia="Times New Roman" w:hAnsi="Arial" w:cs="Arial"/>
          <w:color w:val="26221F"/>
          <w:spacing w:val="2"/>
          <w:kern w:val="0"/>
          <w:sz w:val="22"/>
          <w:szCs w:val="22"/>
          <w:lang w:eastAsia="en-GB"/>
          <w14:ligatures w14:val="none"/>
        </w:rPr>
        <w:noBreakHyphen/>
        <w:t>term funding cycles prevent sustained progress, while the Health Foundation (2026) emphasises that prevention cannot succeed without multi</w:t>
      </w:r>
      <w:r w:rsidRPr="00557339">
        <w:rPr>
          <w:rFonts w:ascii="Arial" w:eastAsia="Times New Roman" w:hAnsi="Arial" w:cs="Arial"/>
          <w:color w:val="26221F"/>
          <w:spacing w:val="2"/>
          <w:kern w:val="0"/>
          <w:sz w:val="22"/>
          <w:szCs w:val="22"/>
          <w:lang w:eastAsia="en-GB"/>
          <w14:ligatures w14:val="none"/>
        </w:rPr>
        <w:noBreakHyphen/>
        <w:t>year investment. These challenges highlight the interdependence of SDG 3 and SDG 8: without decent work, fair pay, and stable staffing, health outcomes cannot improve sustainably.</w:t>
      </w:r>
    </w:p>
    <w:p w14:paraId="1ADF432F"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kern w:val="0"/>
          <w:sz w:val="22"/>
          <w:szCs w:val="22"/>
          <w:lang w:eastAsia="en-GB"/>
          <w14:ligatures w14:val="none"/>
        </w:rPr>
        <w:t>Adult Social Care Reform Agenda</w:t>
      </w:r>
    </w:p>
    <w:p w14:paraId="022133FA"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The Adult Social Care Reform Agenda aims to improve quality, workforce stability, and integration with health services (DHSC, 2024). It emphasises professionalisation, training, and fairer pay (Lewis et al., 2019; Glasby &amp; Dickinson, 2014).</w:t>
      </w:r>
    </w:p>
    <w:p w14:paraId="4ED3AAE4"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Health Outcomes</w:t>
      </w:r>
    </w:p>
    <w:p w14:paraId="294FBD58"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Improved training and professionalisation have enhanced care quality in some regions, particularly for older adults and those with complex needs (CQC, 2023). Reforms have supported better safeguarding, improved care planning, and more consistent standards. However, outcomes remain inconsistent due to high turnover and limited local authority capacity.</w:t>
      </w:r>
    </w:p>
    <w:p w14:paraId="731F96DB"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Mental Wellbeing Outcomes</w:t>
      </w:r>
    </w:p>
    <w:p w14:paraId="1DEB511D"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Continuity of care is strongly associated with improved mental wellbeing for service users, especially those with long</w:t>
      </w:r>
      <w:r w:rsidRPr="00557339">
        <w:rPr>
          <w:rFonts w:ascii="Arial" w:eastAsia="Times New Roman" w:hAnsi="Arial" w:cs="Arial"/>
          <w:color w:val="26221F"/>
          <w:spacing w:val="2"/>
          <w:kern w:val="0"/>
          <w:sz w:val="22"/>
          <w:szCs w:val="22"/>
          <w:lang w:eastAsia="en-GB"/>
          <w14:ligatures w14:val="none"/>
        </w:rPr>
        <w:noBreakHyphen/>
        <w:t>term conditions or disabilities (Green et al., 2020). Yet instability in the workforce reduces continuity, increasing anxiety and stress for vulnerable groups.</w:t>
      </w:r>
    </w:p>
    <w:p w14:paraId="67937B42"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Behavioural Outcomes</w:t>
      </w:r>
    </w:p>
    <w:p w14:paraId="1FEC75E2" w14:textId="77777777"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Investment in community</w:t>
      </w:r>
      <w:r w:rsidRPr="00557339">
        <w:rPr>
          <w:rFonts w:ascii="Arial" w:eastAsia="Times New Roman" w:hAnsi="Arial" w:cs="Arial"/>
          <w:color w:val="26221F"/>
          <w:spacing w:val="2"/>
          <w:kern w:val="0"/>
          <w:sz w:val="22"/>
          <w:szCs w:val="22"/>
          <w:lang w:eastAsia="en-GB"/>
          <w14:ligatures w14:val="none"/>
        </w:rPr>
        <w:noBreakHyphen/>
        <w:t>based care has supported greater independence and reduced reliance on acute services (Glasby &amp; Dickinson, 2014). Reablement services have improved mobility and reduced hospital readmissions. However, limited funding restricts the scale of behavioural change nationally.</w:t>
      </w:r>
    </w:p>
    <w:p w14:paraId="4D732FF3" w14:textId="77777777" w:rsidR="00557339" w:rsidRPr="00557339" w:rsidRDefault="00557339" w:rsidP="00557339">
      <w:pPr>
        <w:spacing w:before="60" w:after="9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2"/>
          <w:kern w:val="0"/>
          <w:sz w:val="22"/>
          <w:szCs w:val="22"/>
          <w:lang w:eastAsia="en-GB"/>
          <w14:ligatures w14:val="none"/>
        </w:rPr>
        <w:t>Evaluation and Challenges</w:t>
      </w:r>
    </w:p>
    <w:p w14:paraId="149AC617" w14:textId="00C6DB86" w:rsidR="00557339" w:rsidRPr="00557339" w:rsidRDefault="00557339" w:rsidP="00557339">
      <w:pPr>
        <w:spacing w:after="180" w:line="360" w:lineRule="auto"/>
        <w:jc w:val="both"/>
        <w:rPr>
          <w:rFonts w:ascii="Arial" w:eastAsia="Times New Roman" w:hAnsi="Arial" w:cs="Arial"/>
          <w:color w:val="26221F"/>
          <w:kern w:val="0"/>
          <w:sz w:val="22"/>
          <w:szCs w:val="22"/>
          <w:lang w:eastAsia="en-GB"/>
          <w14:ligatures w14:val="none"/>
        </w:rPr>
      </w:pPr>
      <w:r w:rsidRPr="00557339">
        <w:rPr>
          <w:rFonts w:ascii="Arial" w:eastAsia="Times New Roman" w:hAnsi="Arial" w:cs="Arial"/>
          <w:color w:val="26221F"/>
          <w:spacing w:val="2"/>
          <w:kern w:val="0"/>
          <w:sz w:val="22"/>
          <w:szCs w:val="22"/>
          <w:lang w:eastAsia="en-GB"/>
          <w14:ligatures w14:val="none"/>
        </w:rPr>
        <w:t>Implementation has been slow, and local authorities report insufficient funding to meet rising demand (Nuffield Trust, 2024). Workforce instability remains a major barrier, with turnover rates exceeding 28% in some areas (Skills for Care, 2024). The absence of long</w:t>
      </w:r>
      <w:r w:rsidRPr="00557339">
        <w:rPr>
          <w:rFonts w:ascii="Arial" w:eastAsia="Times New Roman" w:hAnsi="Arial" w:cs="Arial"/>
          <w:color w:val="26221F"/>
          <w:spacing w:val="2"/>
          <w:kern w:val="0"/>
          <w:sz w:val="22"/>
          <w:szCs w:val="22"/>
          <w:lang w:eastAsia="en-GB"/>
          <w14:ligatures w14:val="none"/>
        </w:rPr>
        <w:noBreakHyphen/>
        <w:t>term, cross</w:t>
      </w:r>
      <w:r w:rsidRPr="00557339">
        <w:rPr>
          <w:rFonts w:ascii="Arial" w:eastAsia="Times New Roman" w:hAnsi="Arial" w:cs="Arial"/>
          <w:color w:val="26221F"/>
          <w:spacing w:val="2"/>
          <w:kern w:val="0"/>
          <w:sz w:val="22"/>
          <w:szCs w:val="22"/>
          <w:lang w:eastAsia="en-GB"/>
          <w14:ligatures w14:val="none"/>
        </w:rPr>
        <w:noBreakHyphen/>
        <w:t>government commitment to social care reform is a critical barrier. Repeated policy resets have prevented sustained progress, while short</w:t>
      </w:r>
      <w:r w:rsidRPr="00557339">
        <w:rPr>
          <w:rFonts w:ascii="Arial" w:eastAsia="Times New Roman" w:hAnsi="Arial" w:cs="Arial"/>
          <w:color w:val="26221F"/>
          <w:spacing w:val="2"/>
          <w:kern w:val="0"/>
          <w:sz w:val="22"/>
          <w:szCs w:val="22"/>
          <w:lang w:eastAsia="en-GB"/>
          <w14:ligatures w14:val="none"/>
        </w:rPr>
        <w:noBreakHyphen/>
        <w:t xml:space="preserve">term funding cycles undermine workforce planning and service stability (Institute for Government, 2024; Health Foundation, </w:t>
      </w:r>
      <w:r w:rsidRPr="00557339">
        <w:rPr>
          <w:rFonts w:ascii="Arial" w:eastAsia="Times New Roman" w:hAnsi="Arial" w:cs="Arial"/>
          <w:color w:val="26221F"/>
          <w:spacing w:val="2"/>
          <w:kern w:val="0"/>
          <w:sz w:val="22"/>
          <w:szCs w:val="22"/>
          <w:lang w:eastAsia="en-GB"/>
          <w14:ligatures w14:val="none"/>
        </w:rPr>
        <w:lastRenderedPageBreak/>
        <w:t>2026). Without structural reform, social care cannot meet rising demand or align fully with SDG 3 and SDG 8.</w:t>
      </w:r>
    </w:p>
    <w:p w14:paraId="1377701E" w14:textId="77777777" w:rsidR="00CE7B08" w:rsidRPr="00557339" w:rsidRDefault="00CE7B08" w:rsidP="00CE7B08">
      <w:pPr>
        <w:spacing w:before="180" w:after="150" w:line="360" w:lineRule="auto"/>
        <w:jc w:val="both"/>
        <w:rPr>
          <w:rFonts w:ascii="Arial" w:eastAsia="Times New Roman" w:hAnsi="Arial" w:cs="Arial"/>
          <w:b/>
          <w:bCs/>
          <w:color w:val="26221F"/>
          <w:kern w:val="0"/>
          <w:sz w:val="22"/>
          <w:szCs w:val="22"/>
          <w:lang w:eastAsia="en-GB"/>
          <w14:ligatures w14:val="none"/>
        </w:rPr>
      </w:pPr>
      <w:r w:rsidRPr="00557339">
        <w:rPr>
          <w:rFonts w:ascii="Arial" w:eastAsia="Times New Roman" w:hAnsi="Arial" w:cs="Arial"/>
          <w:b/>
          <w:bCs/>
          <w:color w:val="26221F"/>
          <w:spacing w:val="-3"/>
          <w:kern w:val="0"/>
          <w:sz w:val="22"/>
          <w:szCs w:val="22"/>
          <w:lang w:eastAsia="en-GB"/>
          <w14:ligatures w14:val="none"/>
        </w:rPr>
        <w:t>Local Wellbeing Initiatives</w:t>
      </w:r>
    </w:p>
    <w:p w14:paraId="50EE21E7"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Local wellbeing initiatives are essential for translating national policy ambitions into meaningful, community</w:t>
      </w:r>
      <w:r w:rsidRPr="00351C2B">
        <w:rPr>
          <w:rFonts w:ascii="Arial" w:eastAsia="Times New Roman" w:hAnsi="Arial" w:cs="Arial"/>
          <w:color w:val="26221F"/>
          <w:spacing w:val="2"/>
          <w:kern w:val="0"/>
          <w:sz w:val="22"/>
          <w:szCs w:val="22"/>
          <w:lang w:eastAsia="en-GB"/>
          <w14:ligatures w14:val="none"/>
        </w:rPr>
        <w:noBreakHyphen/>
        <w:t>level outcomes. While national strategies provide direction, it is local systems that determine whether wellbeing improvements are realised in practice. Two initiatives illustrate this dynamic: social prescribing programmes and community health hubs. Both aim to address the social determinants of health, reduce pressure on clinical services, and improve population wellbeing, yet their effectiveness varies significantly across regions due to funding, workforce capacity, and local partnerships.</w:t>
      </w:r>
    </w:p>
    <w:p w14:paraId="5A977D73"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kern w:val="0"/>
          <w:sz w:val="22"/>
          <w:szCs w:val="22"/>
          <w:lang w:eastAsia="en-GB"/>
          <w14:ligatures w14:val="none"/>
        </w:rPr>
        <w:t>Social Prescribing</w:t>
      </w:r>
    </w:p>
    <w:p w14:paraId="00B47927"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Social prescribing connects individuals to non</w:t>
      </w:r>
      <w:r w:rsidRPr="00351C2B">
        <w:rPr>
          <w:rFonts w:ascii="Arial" w:eastAsia="Times New Roman" w:hAnsi="Arial" w:cs="Arial"/>
          <w:color w:val="26221F"/>
          <w:spacing w:val="2"/>
          <w:kern w:val="0"/>
          <w:sz w:val="22"/>
          <w:szCs w:val="22"/>
          <w:lang w:eastAsia="en-GB"/>
          <w14:ligatures w14:val="none"/>
        </w:rPr>
        <w:noBreakHyphen/>
        <w:t>clinical support such as exercise groups, counselling, arts activities, debt advice, and community organisations (NHS England, 2023). It is designed to address the social, emotional, and practical factors that influence health, recognising that wellbeing is shaped by more than medical treatment alone.</w:t>
      </w:r>
    </w:p>
    <w:p w14:paraId="26986E83"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Outcomes</w:t>
      </w:r>
    </w:p>
    <w:p w14:paraId="40D46AE9"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Evidence shows that social prescribing can improve mental wellbeing, reduce loneliness, and increase physical activity (Public Health England, 2023). Participants often report improved confidence, stronger social connections, and greater engagement in community life. These outcomes align closely with SDG 3’s emphasis on holistic wellbeing and SDG 8’s focus on enabling individuals to participate fully in society.</w:t>
      </w:r>
    </w:p>
    <w:p w14:paraId="30165163"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Quantitative and Qualitative Data</w:t>
      </w:r>
    </w:p>
    <w:p w14:paraId="633D11F0"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Evaluations indicate a 20–30% reduction in GP appointments among regular users, suggesting that social prescribing can reduce pressure on primary care and free clinical time for more complex cases (LGA, 2024). Qualitative studies highlight improvements in mood, motivation, and self</w:t>
      </w:r>
      <w:r w:rsidRPr="00351C2B">
        <w:rPr>
          <w:rFonts w:ascii="Arial" w:eastAsia="Times New Roman" w:hAnsi="Arial" w:cs="Arial"/>
          <w:color w:val="26221F"/>
          <w:spacing w:val="2"/>
          <w:kern w:val="0"/>
          <w:sz w:val="22"/>
          <w:szCs w:val="22"/>
          <w:lang w:eastAsia="en-GB"/>
          <w14:ligatures w14:val="none"/>
        </w:rPr>
        <w:noBreakHyphen/>
        <w:t>management, particularly among people with mild to moderate mental health needs (Green &amp; Tones, 2010). Link workers play a crucial role in these outcomes, offering personalised support and helping individuals navigate community resources.</w:t>
      </w:r>
    </w:p>
    <w:p w14:paraId="38E60F43"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Evaluation of Effectiveness</w:t>
      </w:r>
    </w:p>
    <w:p w14:paraId="6CE44678"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 xml:space="preserve">Despite its potential, effectiveness varies significantly by region. Areas with strong voluntary and community sectors tend to achieve better outcomes, as they can offer a wider range of activities and support (CQC, 2023). In contrast, deprived regions often struggle to sustain programmes due to limited funding, fewer community organisations, and higher demand </w:t>
      </w:r>
      <w:r w:rsidRPr="00351C2B">
        <w:rPr>
          <w:rFonts w:ascii="Arial" w:eastAsia="Times New Roman" w:hAnsi="Arial" w:cs="Arial"/>
          <w:color w:val="26221F"/>
          <w:spacing w:val="2"/>
          <w:kern w:val="0"/>
          <w:sz w:val="22"/>
          <w:szCs w:val="22"/>
          <w:lang w:eastAsia="en-GB"/>
          <w14:ligatures w14:val="none"/>
        </w:rPr>
        <w:lastRenderedPageBreak/>
        <w:t>(Nuffield Trust, 2024). Link worker caseloads also vary widely, affecting the quality and continuity of support. These disparities highlight the importance of stable funding and workforce investment to ensure equitable access.</w:t>
      </w:r>
    </w:p>
    <w:p w14:paraId="0C704E3A"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Challenges</w:t>
      </w:r>
    </w:p>
    <w:p w14:paraId="7E31E226" w14:textId="12BDC7B2"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Key challenges include inconsistent funding, limited workforce capacity, and variability in community resources (Lewis et al., 2019). Digital exclusion also affects access, particularly for older adults and people with low digital literacy. Without long</w:t>
      </w:r>
      <w:r w:rsidRPr="00351C2B">
        <w:rPr>
          <w:rFonts w:ascii="Arial" w:eastAsia="Times New Roman" w:hAnsi="Arial" w:cs="Arial"/>
          <w:color w:val="26221F"/>
          <w:spacing w:val="2"/>
          <w:kern w:val="0"/>
          <w:sz w:val="22"/>
          <w:szCs w:val="22"/>
          <w:lang w:eastAsia="en-GB"/>
          <w14:ligatures w14:val="none"/>
        </w:rPr>
        <w:noBreakHyphen/>
        <w:t>term investment, social prescribing risks becoming fragmented and uneven across the country.</w:t>
      </w:r>
    </w:p>
    <w:p w14:paraId="5ABDCBDB"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kern w:val="0"/>
          <w:sz w:val="22"/>
          <w:szCs w:val="22"/>
          <w:lang w:eastAsia="en-GB"/>
          <w14:ligatures w14:val="none"/>
        </w:rPr>
        <w:t>Community Health Hubs</w:t>
      </w:r>
    </w:p>
    <w:p w14:paraId="3E427ABB"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Community health hubs integrate primary care, mental health services, social care, and voluntary sector support within a single, accessible location (Glasby, 2017). They aim to reduce fragmentation, improve coordination, and provide early intervention for people with complex needs.</w:t>
      </w:r>
    </w:p>
    <w:p w14:paraId="176B4089"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Outcomes</w:t>
      </w:r>
    </w:p>
    <w:p w14:paraId="08979121"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Hubs have demonstrated improvements in accessibility, continuity of care, and patient experience (Ham, 2021). By bringing multiple services together, they reduce the need for repeated referrals and improve communication between professionals. This integrated approach supports early intervention, reduces emergency admissions, and enhances chronic disease management (Hunter, 2016).</w:t>
      </w:r>
    </w:p>
    <w:p w14:paraId="39A74BCC"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Quantitative and Qualitative Data</w:t>
      </w:r>
    </w:p>
    <w:p w14:paraId="62139C69"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Regions with well</w:t>
      </w:r>
      <w:r w:rsidRPr="00351C2B">
        <w:rPr>
          <w:rFonts w:ascii="Arial" w:eastAsia="Times New Roman" w:hAnsi="Arial" w:cs="Arial"/>
          <w:color w:val="26221F"/>
          <w:spacing w:val="2"/>
          <w:kern w:val="0"/>
          <w:sz w:val="22"/>
          <w:szCs w:val="22"/>
          <w:lang w:eastAsia="en-GB"/>
          <w14:ligatures w14:val="none"/>
        </w:rPr>
        <w:noBreakHyphen/>
        <w:t>resourced hubs report reduced waiting times, improved management of long</w:t>
      </w:r>
      <w:r w:rsidRPr="00351C2B">
        <w:rPr>
          <w:rFonts w:ascii="Arial" w:eastAsia="Times New Roman" w:hAnsi="Arial" w:cs="Arial"/>
          <w:color w:val="26221F"/>
          <w:spacing w:val="2"/>
          <w:kern w:val="0"/>
          <w:sz w:val="22"/>
          <w:szCs w:val="22"/>
          <w:lang w:eastAsia="en-GB"/>
          <w14:ligatures w14:val="none"/>
        </w:rPr>
        <w:noBreakHyphen/>
        <w:t>term conditions, and higher patient satisfaction (Skills for Care, 2024). Qualitative evidence shows that service users value the convenience, holistic support, and sense of community offered by hub models.</w:t>
      </w:r>
    </w:p>
    <w:p w14:paraId="2564570A" w14:textId="77777777"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t>Evaluation of Effectiveness</w:t>
      </w:r>
    </w:p>
    <w:p w14:paraId="156BEDE2"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Effectiveness depends heavily on workforce availability and local authority investment (Anderson et al., 2021). In affluent regions, hubs benefit from stronger local economies, better infrastructure, and more stable staffing. In deprived areas, however, hubs often lack sufficient staff or resources, limiting their ability to deliver integrated care (LGA, 2024). Fragmented commissioning continues to hinder collaboration between NHS, social care, and voluntary organisations.</w:t>
      </w:r>
    </w:p>
    <w:p w14:paraId="29CA4D77" w14:textId="77777777" w:rsidR="00351C2B" w:rsidRDefault="00351C2B" w:rsidP="00351C2B">
      <w:pPr>
        <w:spacing w:before="60" w:after="90" w:line="360" w:lineRule="auto"/>
        <w:jc w:val="both"/>
        <w:rPr>
          <w:rFonts w:ascii="Arial" w:eastAsia="Times New Roman" w:hAnsi="Arial" w:cs="Arial"/>
          <w:b/>
          <w:bCs/>
          <w:color w:val="26221F"/>
          <w:spacing w:val="-2"/>
          <w:kern w:val="0"/>
          <w:sz w:val="22"/>
          <w:szCs w:val="22"/>
          <w:lang w:eastAsia="en-GB"/>
          <w14:ligatures w14:val="none"/>
        </w:rPr>
      </w:pPr>
    </w:p>
    <w:p w14:paraId="6891A302" w14:textId="30117BE2" w:rsidR="00351C2B" w:rsidRPr="00351C2B" w:rsidRDefault="00351C2B" w:rsidP="00351C2B">
      <w:pPr>
        <w:spacing w:before="60" w:after="90" w:line="360" w:lineRule="auto"/>
        <w:jc w:val="both"/>
        <w:rPr>
          <w:rFonts w:ascii="Arial" w:eastAsia="Times New Roman" w:hAnsi="Arial" w:cs="Arial"/>
          <w:b/>
          <w:bCs/>
          <w:color w:val="26221F"/>
          <w:kern w:val="0"/>
          <w:sz w:val="22"/>
          <w:szCs w:val="22"/>
          <w:lang w:eastAsia="en-GB"/>
          <w14:ligatures w14:val="none"/>
        </w:rPr>
      </w:pPr>
      <w:r w:rsidRPr="00351C2B">
        <w:rPr>
          <w:rFonts w:ascii="Arial" w:eastAsia="Times New Roman" w:hAnsi="Arial" w:cs="Arial"/>
          <w:b/>
          <w:bCs/>
          <w:color w:val="26221F"/>
          <w:spacing w:val="-2"/>
          <w:kern w:val="0"/>
          <w:sz w:val="22"/>
          <w:szCs w:val="22"/>
          <w:lang w:eastAsia="en-GB"/>
          <w14:ligatures w14:val="none"/>
        </w:rPr>
        <w:lastRenderedPageBreak/>
        <w:t>Challenges</w:t>
      </w:r>
    </w:p>
    <w:p w14:paraId="36276E80" w14:textId="77777777" w:rsidR="00351C2B" w:rsidRPr="00351C2B" w:rsidRDefault="00351C2B" w:rsidP="00351C2B">
      <w:pPr>
        <w:spacing w:after="180" w:line="360" w:lineRule="auto"/>
        <w:jc w:val="both"/>
        <w:rPr>
          <w:rFonts w:ascii="Arial" w:eastAsia="Times New Roman" w:hAnsi="Arial" w:cs="Arial"/>
          <w:color w:val="26221F"/>
          <w:kern w:val="0"/>
          <w:sz w:val="22"/>
          <w:szCs w:val="22"/>
          <w:lang w:eastAsia="en-GB"/>
          <w14:ligatures w14:val="none"/>
        </w:rPr>
      </w:pPr>
      <w:r w:rsidRPr="00351C2B">
        <w:rPr>
          <w:rFonts w:ascii="Arial" w:eastAsia="Times New Roman" w:hAnsi="Arial" w:cs="Arial"/>
          <w:color w:val="26221F"/>
          <w:spacing w:val="2"/>
          <w:kern w:val="0"/>
          <w:sz w:val="22"/>
          <w:szCs w:val="22"/>
          <w:lang w:eastAsia="en-GB"/>
          <w14:ligatures w14:val="none"/>
        </w:rPr>
        <w:t>Challenges include workforce shortages, limited capital investment, and inconsistent commissioning arrangements (DHSC, 2024). Without stable funding and long</w:t>
      </w:r>
      <w:r w:rsidRPr="00351C2B">
        <w:rPr>
          <w:rFonts w:ascii="Arial" w:eastAsia="Times New Roman" w:hAnsi="Arial" w:cs="Arial"/>
          <w:color w:val="26221F"/>
          <w:spacing w:val="2"/>
          <w:kern w:val="0"/>
          <w:sz w:val="22"/>
          <w:szCs w:val="22"/>
          <w:lang w:eastAsia="en-GB"/>
          <w14:ligatures w14:val="none"/>
        </w:rPr>
        <w:noBreakHyphen/>
        <w:t>term planning, hubs struggle to expand or sustain their services. These structural barriers limit progress towards SDG 3 and SDG 8, despite strong evidence of potential benefits.</w:t>
      </w:r>
    </w:p>
    <w:p w14:paraId="410E7F34" w14:textId="7D9E9DD9" w:rsidR="00B82E5E" w:rsidRDefault="005F3C40" w:rsidP="00351C2B">
      <w:pPr>
        <w:spacing w:line="360" w:lineRule="auto"/>
        <w:jc w:val="both"/>
        <w:rPr>
          <w:rFonts w:ascii="Arial" w:hAnsi="Arial" w:cs="Arial"/>
          <w:b/>
          <w:bCs/>
          <w:sz w:val="22"/>
          <w:szCs w:val="22"/>
        </w:rPr>
      </w:pPr>
      <w:r>
        <w:rPr>
          <w:rFonts w:ascii="Arial" w:hAnsi="Arial" w:cs="Arial"/>
          <w:b/>
          <w:bCs/>
          <w:sz w:val="22"/>
          <w:szCs w:val="22"/>
        </w:rPr>
        <w:t>Conclusion</w:t>
      </w:r>
    </w:p>
    <w:p w14:paraId="037F7B59" w14:textId="77777777" w:rsidR="00C23A2D" w:rsidRPr="00C23A2D" w:rsidRDefault="00C23A2D" w:rsidP="00C23A2D">
      <w:pPr>
        <w:pStyle w:val="p1"/>
        <w:spacing w:line="360" w:lineRule="auto"/>
        <w:jc w:val="both"/>
        <w:rPr>
          <w:rFonts w:ascii="Arial" w:hAnsi="Arial" w:cs="Arial"/>
          <w:sz w:val="22"/>
          <w:szCs w:val="22"/>
        </w:rPr>
      </w:pPr>
      <w:r w:rsidRPr="00C23A2D">
        <w:rPr>
          <w:rStyle w:val="s1"/>
          <w:rFonts w:ascii="Arial" w:hAnsi="Arial" w:cs="Arial"/>
          <w:sz w:val="22"/>
          <w:szCs w:val="22"/>
        </w:rPr>
        <w:t>The UK’s wellbeing agenda shows clear alignment with SDG 3 and SDG 8, yet persistent structural barriers continue to limit progress. National initiatives demonstrate strong ambition, while local programmes reveal the power of community</w:t>
      </w:r>
      <w:r w:rsidRPr="00C23A2D">
        <w:rPr>
          <w:rStyle w:val="s1"/>
          <w:rFonts w:ascii="Arial" w:hAnsi="Arial" w:cs="Arial"/>
          <w:sz w:val="22"/>
          <w:szCs w:val="22"/>
        </w:rPr>
        <w:noBreakHyphen/>
        <w:t>based, integrated support. However, neither can fully succeed without long</w:t>
      </w:r>
      <w:r w:rsidRPr="00C23A2D">
        <w:rPr>
          <w:rStyle w:val="s1"/>
          <w:rFonts w:ascii="Arial" w:hAnsi="Arial" w:cs="Arial"/>
          <w:sz w:val="22"/>
          <w:szCs w:val="22"/>
        </w:rPr>
        <w:noBreakHyphen/>
        <w:t>term funding, stable workforce investment, and coherent cross</w:t>
      </w:r>
      <w:r w:rsidRPr="00C23A2D">
        <w:rPr>
          <w:rStyle w:val="s1"/>
          <w:rFonts w:ascii="Arial" w:hAnsi="Arial" w:cs="Arial"/>
          <w:sz w:val="22"/>
          <w:szCs w:val="22"/>
        </w:rPr>
        <w:noBreakHyphen/>
        <w:t>sector collaboration. The evidence across this analysis is consistent: wellbeing cannot advance where workforce instability, regional inequalities, and fragmented systems remain unresolved. To move beyond incremental improvement, the UK must adopt a prevention</w:t>
      </w:r>
      <w:r w:rsidRPr="00C23A2D">
        <w:rPr>
          <w:rStyle w:val="s1"/>
          <w:rFonts w:ascii="Arial" w:hAnsi="Arial" w:cs="Arial"/>
          <w:sz w:val="22"/>
          <w:szCs w:val="22"/>
        </w:rPr>
        <w:noBreakHyphen/>
        <w:t>focused, workforce</w:t>
      </w:r>
      <w:r w:rsidRPr="00C23A2D">
        <w:rPr>
          <w:rStyle w:val="s1"/>
          <w:rFonts w:ascii="Arial" w:hAnsi="Arial" w:cs="Arial"/>
          <w:sz w:val="22"/>
          <w:szCs w:val="22"/>
        </w:rPr>
        <w:noBreakHyphen/>
        <w:t>centred, and sustainability</w:t>
      </w:r>
      <w:r w:rsidRPr="00C23A2D">
        <w:rPr>
          <w:rStyle w:val="s1"/>
          <w:rFonts w:ascii="Arial" w:hAnsi="Arial" w:cs="Arial"/>
          <w:sz w:val="22"/>
          <w:szCs w:val="22"/>
        </w:rPr>
        <w:noBreakHyphen/>
        <w:t>driven approach that strengthens both national strategy and local delivery. Only through structural reform can the UK realise the full promise of SDG 3 and SDG 8 and achieve lasting wellbeing for all.</w:t>
      </w:r>
    </w:p>
    <w:p w14:paraId="1BB09678" w14:textId="02299E21" w:rsidR="005F3C40" w:rsidRDefault="00F70ADA" w:rsidP="00351C2B">
      <w:pPr>
        <w:spacing w:line="360" w:lineRule="auto"/>
        <w:jc w:val="both"/>
        <w:rPr>
          <w:rFonts w:ascii="Arial" w:hAnsi="Arial" w:cs="Arial"/>
          <w:b/>
          <w:bCs/>
          <w:sz w:val="22"/>
          <w:szCs w:val="22"/>
        </w:rPr>
      </w:pPr>
      <w:r>
        <w:rPr>
          <w:rFonts w:ascii="Arial" w:hAnsi="Arial" w:cs="Arial"/>
          <w:b/>
          <w:bCs/>
          <w:sz w:val="22"/>
          <w:szCs w:val="22"/>
        </w:rPr>
        <w:t>References</w:t>
      </w:r>
    </w:p>
    <w:p w14:paraId="21C23A7C" w14:textId="6507655A"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 xml:space="preserve">Anderson, M., </w:t>
      </w:r>
      <w:proofErr w:type="spellStart"/>
      <w:r w:rsidRPr="00C92A12">
        <w:rPr>
          <w:rStyle w:val="s1"/>
          <w:rFonts w:ascii="Arial" w:hAnsi="Arial" w:cs="Arial"/>
          <w:sz w:val="22"/>
          <w:szCs w:val="22"/>
        </w:rPr>
        <w:t>Mossialos</w:t>
      </w:r>
      <w:proofErr w:type="spellEnd"/>
      <w:r w:rsidRPr="00C92A12">
        <w:rPr>
          <w:rStyle w:val="s1"/>
          <w:rFonts w:ascii="Arial" w:hAnsi="Arial" w:cs="Arial"/>
          <w:sz w:val="22"/>
          <w:szCs w:val="22"/>
        </w:rPr>
        <w:t>, E. &amp; Rudan, I. (2021) Health systems and workforce sustainability: challenges and policy responses. London: WHO Europe. Available at: https://www.euro.who.int (Accessed</w:t>
      </w:r>
      <w:r>
        <w:rPr>
          <w:rStyle w:val="s1"/>
          <w:rFonts w:ascii="Arial" w:hAnsi="Arial" w:cs="Arial"/>
          <w:sz w:val="22"/>
          <w:szCs w:val="22"/>
        </w:rPr>
        <w:t xml:space="preserve"> Date</w:t>
      </w:r>
      <w:r w:rsidRPr="00C92A12">
        <w:rPr>
          <w:rStyle w:val="s1"/>
          <w:rFonts w:ascii="Arial" w:hAnsi="Arial" w:cs="Arial"/>
          <w:sz w:val="22"/>
          <w:szCs w:val="22"/>
        </w:rPr>
        <w:t>: July</w:t>
      </w:r>
      <w:r>
        <w:rPr>
          <w:rStyle w:val="s1"/>
          <w:rFonts w:ascii="Arial" w:hAnsi="Arial" w:cs="Arial"/>
          <w:sz w:val="22"/>
          <w:szCs w:val="22"/>
        </w:rPr>
        <w:t xml:space="preserve"> 28,</w:t>
      </w:r>
      <w:r w:rsidRPr="00C92A12">
        <w:rPr>
          <w:rStyle w:val="s1"/>
          <w:rFonts w:ascii="Arial" w:hAnsi="Arial" w:cs="Arial"/>
          <w:sz w:val="22"/>
          <w:szCs w:val="22"/>
        </w:rPr>
        <w:t xml:space="preserve"> 2026).</w:t>
      </w:r>
    </w:p>
    <w:p w14:paraId="334A5D4C" w14:textId="5F3D9ACE"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Appleby, J. (2020) The NHS: long-term challenges and funding constraints. London: The King’s Fund. Available at: https://www.kingsfund.org.uk (Accessed</w:t>
      </w:r>
      <w:r>
        <w:rPr>
          <w:rStyle w:val="s1"/>
          <w:rFonts w:ascii="Arial" w:hAnsi="Arial" w:cs="Arial"/>
          <w:sz w:val="22"/>
          <w:szCs w:val="22"/>
        </w:rPr>
        <w:t xml:space="preserve"> Date</w:t>
      </w:r>
      <w:r w:rsidRPr="00C92A12">
        <w:rPr>
          <w:rStyle w:val="s1"/>
          <w:rFonts w:ascii="Arial" w:hAnsi="Arial" w:cs="Arial"/>
          <w:sz w:val="22"/>
          <w:szCs w:val="22"/>
        </w:rPr>
        <w:t>:</w:t>
      </w:r>
      <w:r>
        <w:rPr>
          <w:rStyle w:val="s1"/>
          <w:rFonts w:ascii="Arial" w:hAnsi="Arial" w:cs="Arial"/>
          <w:sz w:val="22"/>
          <w:szCs w:val="22"/>
        </w:rPr>
        <w:t xml:space="preserve"> </w:t>
      </w:r>
      <w:r w:rsidRPr="00C92A12">
        <w:rPr>
          <w:rStyle w:val="s1"/>
          <w:rFonts w:ascii="Arial" w:hAnsi="Arial" w:cs="Arial"/>
          <w:sz w:val="22"/>
          <w:szCs w:val="22"/>
        </w:rPr>
        <w:t xml:space="preserve">July </w:t>
      </w:r>
      <w:r>
        <w:rPr>
          <w:rStyle w:val="s1"/>
          <w:rFonts w:ascii="Arial" w:hAnsi="Arial" w:cs="Arial"/>
          <w:sz w:val="22"/>
          <w:szCs w:val="22"/>
        </w:rPr>
        <w:t xml:space="preserve">28, </w:t>
      </w:r>
      <w:r w:rsidRPr="00C92A12">
        <w:rPr>
          <w:rStyle w:val="s1"/>
          <w:rFonts w:ascii="Arial" w:hAnsi="Arial" w:cs="Arial"/>
          <w:sz w:val="22"/>
          <w:szCs w:val="22"/>
        </w:rPr>
        <w:t>2026).</w:t>
      </w:r>
    </w:p>
    <w:p w14:paraId="46E9F391" w14:textId="7D170FC3"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CQC (Care Quality Commission). (2023) The state of health and adult social care in England 2022/23. London: CQC. Available at: https://www.cqc.org.uk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28, </w:t>
      </w:r>
      <w:r w:rsidRPr="00C92A12">
        <w:rPr>
          <w:rStyle w:val="s1"/>
          <w:rFonts w:ascii="Arial" w:hAnsi="Arial" w:cs="Arial"/>
          <w:sz w:val="22"/>
          <w:szCs w:val="22"/>
        </w:rPr>
        <w:t>2026).</w:t>
      </w:r>
    </w:p>
    <w:p w14:paraId="1831DC0B" w14:textId="33AE5AF8"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Charlesworth, A. &amp; Johnson, P. (2021) Pay, progression and workforce stability in social care. London: Institute for Fiscal Studies. Available at: https://ifs.org.uk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28, </w:t>
      </w:r>
      <w:r w:rsidRPr="00C92A12">
        <w:rPr>
          <w:rStyle w:val="s1"/>
          <w:rFonts w:ascii="Arial" w:hAnsi="Arial" w:cs="Arial"/>
          <w:sz w:val="22"/>
          <w:szCs w:val="22"/>
        </w:rPr>
        <w:t>2026).</w:t>
      </w:r>
    </w:p>
    <w:p w14:paraId="4BD347B8" w14:textId="4BE0E238"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DHSC (Department of Health and Social Care). (2024) Adult social care reform: policy update. London: DHSC. Available at: https://www.gov.uk/dhsc (Accessed</w:t>
      </w:r>
      <w:r>
        <w:rPr>
          <w:rStyle w:val="s1"/>
          <w:rFonts w:ascii="Arial" w:hAnsi="Arial" w:cs="Arial"/>
          <w:sz w:val="22"/>
          <w:szCs w:val="22"/>
        </w:rPr>
        <w:t xml:space="preserve"> Date</w:t>
      </w:r>
      <w:r w:rsidRPr="00C92A12">
        <w:rPr>
          <w:rStyle w:val="s1"/>
          <w:rFonts w:ascii="Arial" w:hAnsi="Arial" w:cs="Arial"/>
          <w:sz w:val="22"/>
          <w:szCs w:val="22"/>
        </w:rPr>
        <w:t>:</w:t>
      </w:r>
      <w:r>
        <w:rPr>
          <w:rStyle w:val="s1"/>
          <w:rFonts w:ascii="Arial" w:hAnsi="Arial" w:cs="Arial"/>
          <w:sz w:val="22"/>
          <w:szCs w:val="22"/>
        </w:rPr>
        <w:t xml:space="preserve"> </w:t>
      </w:r>
      <w:r w:rsidRPr="00C92A12">
        <w:rPr>
          <w:rStyle w:val="s1"/>
          <w:rFonts w:ascii="Arial" w:hAnsi="Arial" w:cs="Arial"/>
          <w:sz w:val="22"/>
          <w:szCs w:val="22"/>
        </w:rPr>
        <w:t xml:space="preserve">July </w:t>
      </w:r>
      <w:r>
        <w:rPr>
          <w:rStyle w:val="s1"/>
          <w:rFonts w:ascii="Arial" w:hAnsi="Arial" w:cs="Arial"/>
          <w:sz w:val="22"/>
          <w:szCs w:val="22"/>
        </w:rPr>
        <w:t xml:space="preserve">28, </w:t>
      </w:r>
      <w:r w:rsidRPr="00C92A12">
        <w:rPr>
          <w:rStyle w:val="s1"/>
          <w:rFonts w:ascii="Arial" w:hAnsi="Arial" w:cs="Arial"/>
          <w:sz w:val="22"/>
          <w:szCs w:val="22"/>
        </w:rPr>
        <w:t>2026).</w:t>
      </w:r>
    </w:p>
    <w:p w14:paraId="037340C1" w14:textId="77777777"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 xml:space="preserve">Glasby, J. (2017) Understanding health and social care. 2nd </w:t>
      </w:r>
      <w:proofErr w:type="spellStart"/>
      <w:r w:rsidRPr="00C92A12">
        <w:rPr>
          <w:rStyle w:val="s1"/>
          <w:rFonts w:ascii="Arial" w:hAnsi="Arial" w:cs="Arial"/>
          <w:sz w:val="22"/>
          <w:szCs w:val="22"/>
        </w:rPr>
        <w:t>edn</w:t>
      </w:r>
      <w:proofErr w:type="spellEnd"/>
      <w:r w:rsidRPr="00C92A12">
        <w:rPr>
          <w:rStyle w:val="s1"/>
          <w:rFonts w:ascii="Arial" w:hAnsi="Arial" w:cs="Arial"/>
          <w:sz w:val="22"/>
          <w:szCs w:val="22"/>
        </w:rPr>
        <w:t>. Bristol: Policy Press.</w:t>
      </w:r>
    </w:p>
    <w:p w14:paraId="7787D698" w14:textId="77777777"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lastRenderedPageBreak/>
        <w:t xml:space="preserve">Glasby, J. &amp; Dickinson, H. (2014) Partnership working in health and social care. 2nd </w:t>
      </w:r>
      <w:proofErr w:type="spellStart"/>
      <w:r w:rsidRPr="00C92A12">
        <w:rPr>
          <w:rStyle w:val="s1"/>
          <w:rFonts w:ascii="Arial" w:hAnsi="Arial" w:cs="Arial"/>
          <w:sz w:val="22"/>
          <w:szCs w:val="22"/>
        </w:rPr>
        <w:t>edn</w:t>
      </w:r>
      <w:proofErr w:type="spellEnd"/>
      <w:r w:rsidRPr="00C92A12">
        <w:rPr>
          <w:rStyle w:val="s1"/>
          <w:rFonts w:ascii="Arial" w:hAnsi="Arial" w:cs="Arial"/>
          <w:sz w:val="22"/>
          <w:szCs w:val="22"/>
        </w:rPr>
        <w:t>. Bristol: Policy Press.</w:t>
      </w:r>
    </w:p>
    <w:p w14:paraId="3140850C" w14:textId="77777777"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Green, J. &amp; Tones, K. (2010) Health promotion: planning and strategies. London: SAGE.</w:t>
      </w:r>
    </w:p>
    <w:p w14:paraId="133CF28E" w14:textId="65CEEC09"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Green, M., Griffiths, P. &amp; Robinson, S. (2020) The impact of workforce instability on care quality. London: NIHR. Available at: https://www.nihr.ac.uk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28, </w:t>
      </w:r>
      <w:r w:rsidRPr="00C92A12">
        <w:rPr>
          <w:rStyle w:val="s1"/>
          <w:rFonts w:ascii="Arial" w:hAnsi="Arial" w:cs="Arial"/>
          <w:sz w:val="22"/>
          <w:szCs w:val="22"/>
        </w:rPr>
        <w:t>2026).</w:t>
      </w:r>
    </w:p>
    <w:p w14:paraId="2431F938" w14:textId="6A730AFD"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Ham, C. (2021) Reforming the NHS: the long-term plan and its challenges. London: The King’s Fund. Available at: https://www.kingsfund.org.uk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27, </w:t>
      </w:r>
      <w:r w:rsidRPr="00C92A12">
        <w:rPr>
          <w:rStyle w:val="s1"/>
          <w:rFonts w:ascii="Arial" w:hAnsi="Arial" w:cs="Arial"/>
          <w:sz w:val="22"/>
          <w:szCs w:val="22"/>
        </w:rPr>
        <w:t>2026).</w:t>
      </w:r>
    </w:p>
    <w:p w14:paraId="2C32A5B2" w14:textId="22258B2F" w:rsidR="00C92A12" w:rsidRPr="00C92A12" w:rsidRDefault="00C92A12" w:rsidP="00C92A12">
      <w:pPr>
        <w:pStyle w:val="p1"/>
        <w:spacing w:line="360" w:lineRule="auto"/>
        <w:jc w:val="both"/>
        <w:rPr>
          <w:rFonts w:ascii="Arial" w:hAnsi="Arial" w:cs="Arial"/>
          <w:spacing w:val="2"/>
          <w:sz w:val="22"/>
          <w:szCs w:val="22"/>
        </w:rPr>
      </w:pPr>
      <w:r w:rsidRPr="00C92A12">
        <w:rPr>
          <w:rStyle w:val="s1"/>
          <w:rFonts w:ascii="Arial" w:hAnsi="Arial" w:cs="Arial"/>
          <w:sz w:val="22"/>
          <w:szCs w:val="22"/>
        </w:rPr>
        <w:t>Health Foundation. (2026) Sustainable health and social care: long-term analysis. London: The Health Foundation. Available at: https://www.health.org.uk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26, </w:t>
      </w:r>
      <w:r w:rsidRPr="00C92A12">
        <w:rPr>
          <w:rStyle w:val="s1"/>
          <w:rFonts w:ascii="Arial" w:hAnsi="Arial" w:cs="Arial"/>
          <w:sz w:val="22"/>
          <w:szCs w:val="22"/>
        </w:rPr>
        <w:t>2026).</w:t>
      </w:r>
    </w:p>
    <w:p w14:paraId="2E0B7B07" w14:textId="77777777"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 xml:space="preserve">Hunter, D. (2016) The health debate. 2nd </w:t>
      </w:r>
      <w:proofErr w:type="spellStart"/>
      <w:r w:rsidRPr="00C92A12">
        <w:rPr>
          <w:rStyle w:val="s1"/>
          <w:rFonts w:ascii="Arial" w:hAnsi="Arial" w:cs="Arial"/>
          <w:sz w:val="22"/>
          <w:szCs w:val="22"/>
        </w:rPr>
        <w:t>edn</w:t>
      </w:r>
      <w:proofErr w:type="spellEnd"/>
      <w:r w:rsidRPr="00C92A12">
        <w:rPr>
          <w:rStyle w:val="s1"/>
          <w:rFonts w:ascii="Arial" w:hAnsi="Arial" w:cs="Arial"/>
          <w:sz w:val="22"/>
          <w:szCs w:val="22"/>
        </w:rPr>
        <w:t>. Bristol: Policy Press.</w:t>
      </w:r>
    </w:p>
    <w:p w14:paraId="097B7B76" w14:textId="77777777"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Institute for Government. (2024) Adult social care: political failure and reform barriers. London: Institute for Government. Available at: https://www.instituteforgovernment.org.uk (Accessed: 28 July 2026).</w:t>
      </w:r>
    </w:p>
    <w:p w14:paraId="613C0F05" w14:textId="777EA580"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ILO (International Labour Organization). (2023) World employment and social outlook. Geneva: ILO. Available at: https://www.ilo.org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26, </w:t>
      </w:r>
      <w:r w:rsidRPr="00C92A12">
        <w:rPr>
          <w:rStyle w:val="s1"/>
          <w:rFonts w:ascii="Arial" w:hAnsi="Arial" w:cs="Arial"/>
          <w:sz w:val="22"/>
          <w:szCs w:val="22"/>
        </w:rPr>
        <w:t>2026).</w:t>
      </w:r>
    </w:p>
    <w:p w14:paraId="581912A6" w14:textId="128C1CA8"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King’s Fund. (2023) Integrated care systems: progress and challenges. London: The King’s Fund. Available at: https://www.kingsfund.org.uk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28, </w:t>
      </w:r>
      <w:r w:rsidRPr="00C92A12">
        <w:rPr>
          <w:rStyle w:val="s1"/>
          <w:rFonts w:ascii="Arial" w:hAnsi="Arial" w:cs="Arial"/>
          <w:sz w:val="22"/>
          <w:szCs w:val="22"/>
        </w:rPr>
        <w:t>2026).</w:t>
      </w:r>
    </w:p>
    <w:p w14:paraId="54ED505B" w14:textId="5ED11C16"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LGA (Local Government Association). (2024) Adult social care funding pressures: national report. London: LGA. Available at: https://www.local.gov.uk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27, </w:t>
      </w:r>
      <w:r w:rsidRPr="00C92A12">
        <w:rPr>
          <w:rStyle w:val="s1"/>
          <w:rFonts w:ascii="Arial" w:hAnsi="Arial" w:cs="Arial"/>
          <w:sz w:val="22"/>
          <w:szCs w:val="22"/>
        </w:rPr>
        <w:t>2026).</w:t>
      </w:r>
    </w:p>
    <w:p w14:paraId="2F309C09" w14:textId="5FB5937C"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Lewis, R., West, A. &amp; Roberts, J. (2019) Delivering community-based care: challenges and opportunities. London: Nuffield Trust. Available at: https://www.nuffieldtrust.org.uk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27, </w:t>
      </w:r>
      <w:r w:rsidRPr="00C92A12">
        <w:rPr>
          <w:rStyle w:val="s1"/>
          <w:rFonts w:ascii="Arial" w:hAnsi="Arial" w:cs="Arial"/>
          <w:sz w:val="22"/>
          <w:szCs w:val="22"/>
        </w:rPr>
        <w:t>2026).</w:t>
      </w:r>
    </w:p>
    <w:p w14:paraId="76DECB1A" w14:textId="77777777"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Marmot, M. (2015) The health gap: the challenge of an unequal world. London: Bloomsbury.</w:t>
      </w:r>
    </w:p>
    <w:p w14:paraId="5C22895F" w14:textId="3507108E"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NHS England. (2023) NHS Long Term Workforce Plan. London: NHS England. Available at: https://www.england.nhs.uk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27,</w:t>
      </w:r>
      <w:r w:rsidRPr="00C92A12">
        <w:rPr>
          <w:rStyle w:val="s1"/>
          <w:rFonts w:ascii="Arial" w:hAnsi="Arial" w:cs="Arial"/>
          <w:sz w:val="22"/>
          <w:szCs w:val="22"/>
        </w:rPr>
        <w:t>2026).</w:t>
      </w:r>
    </w:p>
    <w:p w14:paraId="33FCF521" w14:textId="48661AA8"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Nuffield Trust. (2024) The state of social care: analysis and trends. London: Nuffield Trust. Available at: https://www.nuffieldtrust.org.uk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27, </w:t>
      </w:r>
      <w:r w:rsidRPr="00C92A12">
        <w:rPr>
          <w:rStyle w:val="s1"/>
          <w:rFonts w:ascii="Arial" w:hAnsi="Arial" w:cs="Arial"/>
          <w:sz w:val="22"/>
          <w:szCs w:val="22"/>
        </w:rPr>
        <w:t>2026).</w:t>
      </w:r>
    </w:p>
    <w:p w14:paraId="0A54B0E2" w14:textId="7E02CE53"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Public Health England. (2023) Health profile for England. London: PHE. Available at: https://www.gov.uk/phe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27, </w:t>
      </w:r>
      <w:r w:rsidRPr="00C92A12">
        <w:rPr>
          <w:rStyle w:val="s1"/>
          <w:rFonts w:ascii="Arial" w:hAnsi="Arial" w:cs="Arial"/>
          <w:sz w:val="22"/>
          <w:szCs w:val="22"/>
        </w:rPr>
        <w:t>2026).</w:t>
      </w:r>
    </w:p>
    <w:p w14:paraId="6E1282EC" w14:textId="54265201"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lastRenderedPageBreak/>
        <w:t>Skills for Care. (2024) The state of the adult social care sector and workforce in England. Leeds: Skills for Care. Available at: https://www.skillsforcare.org.uk (Accessed</w:t>
      </w:r>
      <w:r>
        <w:rPr>
          <w:rStyle w:val="s1"/>
          <w:rFonts w:ascii="Arial" w:hAnsi="Arial" w:cs="Arial"/>
          <w:sz w:val="22"/>
          <w:szCs w:val="22"/>
        </w:rPr>
        <w:t xml:space="preserve"> Date</w:t>
      </w:r>
      <w:r w:rsidRPr="00C92A12">
        <w:rPr>
          <w:rStyle w:val="s1"/>
          <w:rFonts w:ascii="Arial" w:hAnsi="Arial" w:cs="Arial"/>
          <w:sz w:val="22"/>
          <w:szCs w:val="22"/>
        </w:rPr>
        <w:t>: July</w:t>
      </w:r>
      <w:r>
        <w:rPr>
          <w:rStyle w:val="s1"/>
          <w:rFonts w:ascii="Arial" w:hAnsi="Arial" w:cs="Arial"/>
          <w:sz w:val="22"/>
          <w:szCs w:val="22"/>
        </w:rPr>
        <w:t xml:space="preserve"> 26,</w:t>
      </w:r>
      <w:r w:rsidRPr="00C92A12">
        <w:rPr>
          <w:rStyle w:val="s1"/>
          <w:rFonts w:ascii="Arial" w:hAnsi="Arial" w:cs="Arial"/>
          <w:sz w:val="22"/>
          <w:szCs w:val="22"/>
        </w:rPr>
        <w:t xml:space="preserve"> 2026).</w:t>
      </w:r>
    </w:p>
    <w:p w14:paraId="57359A1C" w14:textId="3D4862A2"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UN (United Nations). (2023) Sustainable Development Goals: global progress report. New York: UN. Available at: https://www.un.org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25,</w:t>
      </w:r>
      <w:r w:rsidRPr="00C92A12">
        <w:rPr>
          <w:rStyle w:val="s1"/>
          <w:rFonts w:ascii="Arial" w:hAnsi="Arial" w:cs="Arial"/>
          <w:sz w:val="22"/>
          <w:szCs w:val="22"/>
        </w:rPr>
        <w:t>2026).</w:t>
      </w:r>
    </w:p>
    <w:p w14:paraId="3E66001C" w14:textId="6749E2AB" w:rsidR="00C92A12" w:rsidRPr="00C92A12" w:rsidRDefault="00C92A12" w:rsidP="00C92A12">
      <w:pPr>
        <w:pStyle w:val="p1"/>
        <w:spacing w:line="360" w:lineRule="auto"/>
        <w:jc w:val="both"/>
        <w:rPr>
          <w:rFonts w:ascii="Arial" w:hAnsi="Arial" w:cs="Arial"/>
          <w:sz w:val="22"/>
          <w:szCs w:val="22"/>
        </w:rPr>
      </w:pPr>
      <w:r w:rsidRPr="00C92A12">
        <w:rPr>
          <w:rStyle w:val="s1"/>
          <w:rFonts w:ascii="Arial" w:hAnsi="Arial" w:cs="Arial"/>
          <w:sz w:val="22"/>
          <w:szCs w:val="22"/>
        </w:rPr>
        <w:t>WHO (World Health Organization). (2023) Universal health coverage: global monitoring report. Geneva: WHO. Available at: https://www.who.int (Accessed</w:t>
      </w:r>
      <w:r>
        <w:rPr>
          <w:rStyle w:val="s1"/>
          <w:rFonts w:ascii="Arial" w:hAnsi="Arial" w:cs="Arial"/>
          <w:sz w:val="22"/>
          <w:szCs w:val="22"/>
        </w:rPr>
        <w:t xml:space="preserve"> Date</w:t>
      </w:r>
      <w:r w:rsidRPr="00C92A12">
        <w:rPr>
          <w:rStyle w:val="s1"/>
          <w:rFonts w:ascii="Arial" w:hAnsi="Arial" w:cs="Arial"/>
          <w:sz w:val="22"/>
          <w:szCs w:val="22"/>
        </w:rPr>
        <w:t xml:space="preserve">: July </w:t>
      </w:r>
      <w:r>
        <w:rPr>
          <w:rStyle w:val="s1"/>
          <w:rFonts w:ascii="Arial" w:hAnsi="Arial" w:cs="Arial"/>
          <w:sz w:val="22"/>
          <w:szCs w:val="22"/>
        </w:rPr>
        <w:t xml:space="preserve">28, </w:t>
      </w:r>
      <w:r w:rsidRPr="00C92A12">
        <w:rPr>
          <w:rStyle w:val="s1"/>
          <w:rFonts w:ascii="Arial" w:hAnsi="Arial" w:cs="Arial"/>
          <w:sz w:val="22"/>
          <w:szCs w:val="22"/>
        </w:rPr>
        <w:t>2026).</w:t>
      </w:r>
    </w:p>
    <w:p w14:paraId="5D2D87D8" w14:textId="77777777" w:rsidR="00F70ADA" w:rsidRPr="00351C2B" w:rsidRDefault="00F70ADA" w:rsidP="00351C2B">
      <w:pPr>
        <w:spacing w:line="360" w:lineRule="auto"/>
        <w:jc w:val="both"/>
        <w:rPr>
          <w:rFonts w:ascii="Arial" w:hAnsi="Arial" w:cs="Arial"/>
          <w:b/>
          <w:bCs/>
          <w:sz w:val="22"/>
          <w:szCs w:val="22"/>
        </w:rPr>
      </w:pPr>
    </w:p>
    <w:sectPr w:rsidR="00F70ADA" w:rsidRPr="00351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28601E"/>
    <w:multiLevelType w:val="multilevel"/>
    <w:tmpl w:val="706C39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DF16A1"/>
    <w:multiLevelType w:val="multilevel"/>
    <w:tmpl w:val="E7A2E702"/>
    <w:lvl w:ilvl="0">
      <w:start w:val="1"/>
      <w:numFmt w:val="decimal"/>
      <w:lvlText w:val="%1."/>
      <w:lvlJc w:val="left"/>
      <w:pPr>
        <w:tabs>
          <w:tab w:val="num" w:pos="720"/>
        </w:tabs>
        <w:ind w:left="720" w:hanging="360"/>
      </w:pPr>
      <w:rPr>
        <w:sz w:val="24"/>
        <w:szCs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9560978">
    <w:abstractNumId w:val="0"/>
  </w:num>
  <w:num w:numId="2" w16cid:durableId="152235952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45BC2"/>
    <w:rsid w:val="00053D18"/>
    <w:rsid w:val="00054CC8"/>
    <w:rsid w:val="00077732"/>
    <w:rsid w:val="000862B5"/>
    <w:rsid w:val="000C6C6D"/>
    <w:rsid w:val="000F58BE"/>
    <w:rsid w:val="00124AF7"/>
    <w:rsid w:val="00145780"/>
    <w:rsid w:val="00147A7A"/>
    <w:rsid w:val="00170F63"/>
    <w:rsid w:val="00197DB5"/>
    <w:rsid w:val="001C5C1B"/>
    <w:rsid w:val="00213AB3"/>
    <w:rsid w:val="00227A4E"/>
    <w:rsid w:val="0031789E"/>
    <w:rsid w:val="0035159D"/>
    <w:rsid w:val="00351C2B"/>
    <w:rsid w:val="003800A0"/>
    <w:rsid w:val="003973E6"/>
    <w:rsid w:val="003A0081"/>
    <w:rsid w:val="003D1D7B"/>
    <w:rsid w:val="003F72D4"/>
    <w:rsid w:val="003F7D8A"/>
    <w:rsid w:val="004C215A"/>
    <w:rsid w:val="004F39D9"/>
    <w:rsid w:val="00505141"/>
    <w:rsid w:val="00517F9E"/>
    <w:rsid w:val="00557339"/>
    <w:rsid w:val="005A3E8E"/>
    <w:rsid w:val="005F3C40"/>
    <w:rsid w:val="00634731"/>
    <w:rsid w:val="006C5E08"/>
    <w:rsid w:val="00700390"/>
    <w:rsid w:val="0079253D"/>
    <w:rsid w:val="00897446"/>
    <w:rsid w:val="008A7B73"/>
    <w:rsid w:val="008D76CC"/>
    <w:rsid w:val="00916F72"/>
    <w:rsid w:val="00941DDF"/>
    <w:rsid w:val="009507DB"/>
    <w:rsid w:val="00A4238A"/>
    <w:rsid w:val="00A45141"/>
    <w:rsid w:val="00A508BC"/>
    <w:rsid w:val="00A62F45"/>
    <w:rsid w:val="00A74A08"/>
    <w:rsid w:val="00AC78E8"/>
    <w:rsid w:val="00AE1962"/>
    <w:rsid w:val="00AE7B76"/>
    <w:rsid w:val="00AF455B"/>
    <w:rsid w:val="00AF50FB"/>
    <w:rsid w:val="00B02551"/>
    <w:rsid w:val="00B2763B"/>
    <w:rsid w:val="00B82E5E"/>
    <w:rsid w:val="00BA14E8"/>
    <w:rsid w:val="00BB0EF3"/>
    <w:rsid w:val="00BC7DD5"/>
    <w:rsid w:val="00C17E9C"/>
    <w:rsid w:val="00C2333A"/>
    <w:rsid w:val="00C23A2D"/>
    <w:rsid w:val="00C444C4"/>
    <w:rsid w:val="00C548E0"/>
    <w:rsid w:val="00C71A18"/>
    <w:rsid w:val="00C92A12"/>
    <w:rsid w:val="00CE7B08"/>
    <w:rsid w:val="00D348EB"/>
    <w:rsid w:val="00D425C9"/>
    <w:rsid w:val="00E573DF"/>
    <w:rsid w:val="00E6278A"/>
    <w:rsid w:val="00EF37D3"/>
    <w:rsid w:val="00F00954"/>
    <w:rsid w:val="00F469BF"/>
    <w:rsid w:val="00F70ADA"/>
    <w:rsid w:val="00FB3B6B"/>
    <w:rsid w:val="00FC7D8B"/>
    <w:rsid w:val="00FD68C8"/>
    <w:rsid w:val="00FD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paragraph" w:customStyle="1" w:styleId="pdq2pgselectionanchorcontainer">
    <w:name w:val="pdq2pg_selectionanchorcontainer"/>
    <w:basedOn w:val="Normal"/>
    <w:rsid w:val="003973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973E6"/>
    <w:rPr>
      <w:b/>
      <w:bCs/>
    </w:rPr>
  </w:style>
  <w:style w:type="character" w:styleId="Emphasis">
    <w:name w:val="Emphasis"/>
    <w:basedOn w:val="DefaultParagraphFont"/>
    <w:uiPriority w:val="20"/>
    <w:qFormat/>
    <w:rsid w:val="004C215A"/>
    <w:rPr>
      <w:i/>
      <w:iCs/>
    </w:rPr>
  </w:style>
  <w:style w:type="paragraph" w:styleId="NormalWeb">
    <w:name w:val="Normal (Web)"/>
    <w:basedOn w:val="Normal"/>
    <w:uiPriority w:val="99"/>
    <w:unhideWhenUsed/>
    <w:rsid w:val="00FD74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74FC"/>
  </w:style>
  <w:style w:type="paragraph" w:customStyle="1" w:styleId="p1">
    <w:name w:val="p1"/>
    <w:basedOn w:val="Normal"/>
    <w:rsid w:val="00D425C9"/>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D425C9"/>
    <w:rPr>
      <w:spacing w:val="2"/>
    </w:rPr>
  </w:style>
  <w:style w:type="paragraph" w:customStyle="1" w:styleId="p2">
    <w:name w:val="p2"/>
    <w:basedOn w:val="Normal"/>
    <w:rsid w:val="00700390"/>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2">
    <w:name w:val="s2"/>
    <w:basedOn w:val="DefaultParagraphFont"/>
    <w:rsid w:val="00700390"/>
    <w:rPr>
      <w:spacing w:val="2"/>
    </w:rPr>
  </w:style>
  <w:style w:type="paragraph" w:customStyle="1" w:styleId="p3">
    <w:name w:val="p3"/>
    <w:basedOn w:val="Normal"/>
    <w:rsid w:val="00FC7D8B"/>
    <w:pPr>
      <w:spacing w:after="180"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FC7D8B"/>
    <w:rPr>
      <w:rFonts w:ascii="Helvetica" w:hAnsi="Helvetica" w:hint="default"/>
      <w:sz w:val="18"/>
      <w:szCs w:val="18"/>
    </w:rPr>
  </w:style>
  <w:style w:type="paragraph" w:customStyle="1" w:styleId="li2">
    <w:name w:val="li2"/>
    <w:basedOn w:val="Normal"/>
    <w:rsid w:val="00B02551"/>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3">
    <w:name w:val="li3"/>
    <w:basedOn w:val="Normal"/>
    <w:rsid w:val="00B02551"/>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4">
    <w:name w:val="li4"/>
    <w:basedOn w:val="Normal"/>
    <w:rsid w:val="00B02551"/>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4">
    <w:name w:val="p4"/>
    <w:basedOn w:val="Normal"/>
    <w:rsid w:val="00CE7B08"/>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p5">
    <w:name w:val="p5"/>
    <w:basedOn w:val="Normal"/>
    <w:rsid w:val="00CE7B08"/>
    <w:pPr>
      <w:spacing w:before="60" w:after="90" w:line="240" w:lineRule="auto"/>
    </w:pPr>
    <w:rPr>
      <w:rFonts w:ascii="Ginto Copilot Variable" w:eastAsia="Times New Roman" w:hAnsi="Ginto Copilot Variable" w:cs="Times New Roman"/>
      <w:color w:val="26221F"/>
      <w:kern w:val="0"/>
      <w:sz w:val="27"/>
      <w:szCs w:val="27"/>
      <w:lang w:eastAsia="en-GB"/>
      <w14:ligatures w14:val="none"/>
    </w:rPr>
  </w:style>
  <w:style w:type="character" w:customStyle="1" w:styleId="s5">
    <w:name w:val="s5"/>
    <w:basedOn w:val="DefaultParagraphFont"/>
    <w:rsid w:val="00CE7B08"/>
    <w:rPr>
      <w:spacing w:val="-2"/>
    </w:rPr>
  </w:style>
  <w:style w:type="character" w:customStyle="1" w:styleId="s4">
    <w:name w:val="s4"/>
    <w:basedOn w:val="DefaultParagraphFont"/>
    <w:rsid w:val="00CE7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12</Pages>
  <Words>3442</Words>
  <Characters>19620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Monalene Anne Ho (2311680)</cp:lastModifiedBy>
  <cp:revision>75</cp:revision>
  <dcterms:created xsi:type="dcterms:W3CDTF">2026-07-27T21:06:00Z</dcterms:created>
  <dcterms:modified xsi:type="dcterms:W3CDTF">2026-07-28T19:53:00Z</dcterms:modified>
</cp:coreProperties>
</file>