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271DB" w14:textId="77777777" w:rsidR="00FF0001" w:rsidRDefault="00FF0001" w:rsidP="00923ADB"/>
    <w:p w14:paraId="12868E5E" w14:textId="77777777" w:rsidR="00923ADB" w:rsidRDefault="00923ADB" w:rsidP="00923ADB"/>
    <w:p w14:paraId="4F105B47" w14:textId="77777777" w:rsidR="00923ADB" w:rsidRDefault="00923ADB" w:rsidP="00923ADB"/>
    <w:p w14:paraId="418A964C" w14:textId="3A74FEA7" w:rsidR="00700D91" w:rsidRDefault="002977F0" w:rsidP="00923ADB">
      <w:pPr>
        <w:rPr>
          <w:b/>
        </w:rPr>
      </w:pPr>
      <w:r w:rsidRPr="00B7040D">
        <w:rPr>
          <w:b/>
        </w:rPr>
        <w:t>COMMUNITY ENGAGEMENT ASSIGNMENT 2 – REFLECTIVE REPORT</w:t>
      </w:r>
    </w:p>
    <w:p w14:paraId="7CB4C3D6" w14:textId="77777777" w:rsidR="00B7040D" w:rsidRDefault="00B7040D" w:rsidP="00923ADB"/>
    <w:p w14:paraId="06BAF513" w14:textId="31230947" w:rsidR="00923ADB" w:rsidRDefault="00E471F4" w:rsidP="00923ADB">
      <w:r>
        <w:t xml:space="preserve">Anamaria Gabriela Duman </w:t>
      </w:r>
    </w:p>
    <w:p w14:paraId="1EDB8684" w14:textId="1A4A69F7" w:rsidR="00923ADB" w:rsidRDefault="00E471F4">
      <w:r>
        <w:t>2015291</w:t>
      </w:r>
      <w:r w:rsidR="00923ADB">
        <w:br w:type="page"/>
      </w:r>
    </w:p>
    <w:p w14:paraId="66C4380A" w14:textId="77777777" w:rsidR="00700D91" w:rsidRDefault="00B7040D" w:rsidP="00B7040D">
      <w:r w:rsidRPr="00B7040D">
        <w:lastRenderedPageBreak/>
        <w:t>Community Engagement Assignment 2 – Reflective Report</w:t>
      </w:r>
    </w:p>
    <w:p w14:paraId="10A6B96B" w14:textId="296CE8EE" w:rsidR="0087265C" w:rsidRPr="00D26E23" w:rsidRDefault="0087265C" w:rsidP="002977F0">
      <w:pPr>
        <w:pStyle w:val="Heading1"/>
        <w:rPr>
          <w:rFonts w:ascii="Times New Roman" w:hAnsi="Times New Roman" w:cs="Times New Roman"/>
          <w:b/>
          <w:color w:val="auto"/>
          <w:sz w:val="24"/>
          <w:szCs w:val="24"/>
        </w:rPr>
      </w:pPr>
      <w:r w:rsidRPr="00D26E23">
        <w:rPr>
          <w:rFonts w:ascii="Times New Roman" w:hAnsi="Times New Roman" w:cs="Times New Roman"/>
          <w:b/>
          <w:color w:val="auto"/>
          <w:sz w:val="24"/>
          <w:szCs w:val="24"/>
        </w:rPr>
        <w:t>Introduction</w:t>
      </w:r>
    </w:p>
    <w:p w14:paraId="7CD2E0F4" w14:textId="77777777" w:rsidR="002977F0" w:rsidRDefault="00D26E23" w:rsidP="002977F0">
      <w:pPr>
        <w:ind w:firstLine="720"/>
        <w:jc w:val="both"/>
      </w:pPr>
      <w:r>
        <w:t xml:space="preserve">Reflective report and community engagement has become a modern term for an evolution of models for conventional approach of self-improvement. The reflective approach has been considered as a technique of assessing our actions and thoughts, for the essence of personal development and learning in the specific fields. Most individuals have considered the practice as instinctive and natural. </w:t>
      </w:r>
      <w:r w:rsidR="00540265">
        <w:t xml:space="preserve">I have utilized the practice for the development of my career and business studies based on the community engagement and adaptable activities. </w:t>
      </w:r>
      <w:r w:rsidR="00264584">
        <w:t xml:space="preserve">My focus has been on sets of opinions utilized based on various concepts for self-improvement, personal development, learning, and training. </w:t>
      </w:r>
      <w:r w:rsidR="00A8276C">
        <w:t xml:space="preserve">For instance, the practice and engagement </w:t>
      </w:r>
      <w:proofErr w:type="gramStart"/>
      <w:r w:rsidR="00A8276C">
        <w:t>is</w:t>
      </w:r>
      <w:proofErr w:type="gramEnd"/>
      <w:r w:rsidR="00A8276C">
        <w:t xml:space="preserve"> greatly helpful and relevant in the continuous professional development and in developing or teaching children and young people </w:t>
      </w:r>
      <w:sdt>
        <w:sdtPr>
          <w:id w:val="-79447479"/>
          <w:citation/>
        </w:sdtPr>
        <w:sdtEndPr/>
        <w:sdtContent>
          <w:r w:rsidR="009D54B1">
            <w:fldChar w:fldCharType="begin"/>
          </w:r>
          <w:r w:rsidR="009D54B1">
            <w:rPr>
              <w:lang w:val="en-GB"/>
            </w:rPr>
            <w:instrText xml:space="preserve"> CITATION Kel19 \l 2057 </w:instrText>
          </w:r>
          <w:r w:rsidR="009D54B1">
            <w:fldChar w:fldCharType="separate"/>
          </w:r>
          <w:r w:rsidR="009D54B1" w:rsidRPr="009D54B1">
            <w:rPr>
              <w:noProof/>
              <w:lang w:val="en-GB"/>
            </w:rPr>
            <w:t>(Matthews, et al., 2019)</w:t>
          </w:r>
          <w:r w:rsidR="009D54B1">
            <w:fldChar w:fldCharType="end"/>
          </w:r>
        </w:sdtContent>
      </w:sdt>
      <w:r w:rsidR="009D54B1">
        <w:t xml:space="preserve">. </w:t>
      </w:r>
    </w:p>
    <w:p w14:paraId="692B1249" w14:textId="2569E3B5" w:rsidR="008B1D59" w:rsidRDefault="009D54B1" w:rsidP="002977F0">
      <w:pPr>
        <w:ind w:firstLine="720"/>
        <w:jc w:val="both"/>
      </w:pPr>
      <w:r>
        <w:t xml:space="preserve">In education, for example, in institutes is under intense pressure and most of the current policies have been renewed based on quality and education engagement. Some places have considered the evolution in the resurgence of new alternative techniques in various institutions across the globe. Essentially, the most persistent issue regarding the pre-service training and education is the praxis theories as illustrated in the programs. My attempt to mitigate the perceptions have led to </w:t>
      </w:r>
      <w:r w:rsidR="002977F0">
        <w:t>construction of</w:t>
      </w:r>
      <w:r>
        <w:t xml:space="preserve"> various profession models for community engagement and personal reflection </w:t>
      </w:r>
      <w:r w:rsidR="0032730C">
        <w:t xml:space="preserve">in the same community as outlined by various scholars </w:t>
      </w:r>
      <w:sdt>
        <w:sdtPr>
          <w:id w:val="715390173"/>
          <w:citation/>
        </w:sdtPr>
        <w:sdtEndPr/>
        <w:sdtContent>
          <w:r w:rsidR="00E92247">
            <w:fldChar w:fldCharType="begin"/>
          </w:r>
          <w:r w:rsidR="00E92247">
            <w:rPr>
              <w:lang w:val="en-GB"/>
            </w:rPr>
            <w:instrText xml:space="preserve"> CITATION Ioa19 \l 2057 </w:instrText>
          </w:r>
          <w:r w:rsidR="00E92247">
            <w:fldChar w:fldCharType="separate"/>
          </w:r>
          <w:r w:rsidR="00E92247" w:rsidRPr="00E92247">
            <w:rPr>
              <w:noProof/>
              <w:lang w:val="en-GB"/>
            </w:rPr>
            <w:t>(Palaiologou &amp; Male, 2019)</w:t>
          </w:r>
          <w:r w:rsidR="00E92247">
            <w:fldChar w:fldCharType="end"/>
          </w:r>
        </w:sdtContent>
      </w:sdt>
      <w:r w:rsidR="008B1D59">
        <w:t xml:space="preserve"> </w:t>
      </w:r>
      <w:r w:rsidR="0032730C">
        <w:t xml:space="preserve">who consider praxis theories of modelling. </w:t>
      </w:r>
      <w:r w:rsidR="00626BBA">
        <w:t xml:space="preserve">The approach has focused on the importance of integrating practice and theory to aid development in business studies. </w:t>
      </w:r>
    </w:p>
    <w:p w14:paraId="34697075" w14:textId="6A515E88" w:rsidR="0087265C" w:rsidRPr="00A950A1" w:rsidRDefault="00F03028" w:rsidP="002977F0">
      <w:pPr>
        <w:pStyle w:val="Heading1"/>
        <w:rPr>
          <w:rFonts w:ascii="Times New Roman" w:hAnsi="Times New Roman" w:cs="Times New Roman"/>
          <w:b/>
          <w:color w:val="auto"/>
          <w:sz w:val="24"/>
          <w:szCs w:val="24"/>
        </w:rPr>
      </w:pPr>
      <w:r w:rsidRPr="00A950A1">
        <w:rPr>
          <w:rFonts w:ascii="Times New Roman" w:hAnsi="Times New Roman" w:cs="Times New Roman"/>
          <w:b/>
          <w:color w:val="auto"/>
          <w:sz w:val="24"/>
          <w:szCs w:val="24"/>
        </w:rPr>
        <w:lastRenderedPageBreak/>
        <w:t>Literature Review</w:t>
      </w:r>
    </w:p>
    <w:p w14:paraId="5C2BADB3" w14:textId="77777777" w:rsidR="002977F0" w:rsidRDefault="00A950A1" w:rsidP="002977F0">
      <w:pPr>
        <w:ind w:firstLine="720"/>
        <w:jc w:val="both"/>
      </w:pPr>
      <w:r>
        <w:t xml:space="preserve">Various scholars and practitioners have indicated the evaluation, implementation, and development of praxis model approach based on various reasons for practical and theoretical importance like for business studies. </w:t>
      </w:r>
      <w:r w:rsidR="00D7307B">
        <w:t xml:space="preserve">Most areas of my life have been pervasive of communities of practice, especially in the global schooling and work. It has been indicated that practitioners achieve their objectives through management and development of various relationships with national jurisdiction, school leadership, colleagues, and students. Besides, praxis theories of model have been based on past practitioners like </w:t>
      </w:r>
      <w:r w:rsidR="00D7307B" w:rsidRPr="00886F5A">
        <w:rPr>
          <w:noProof/>
          <w:lang w:val="en-GB"/>
        </w:rPr>
        <w:t>Grant &amp; Thompson</w:t>
      </w:r>
      <w:r w:rsidR="00D7307B">
        <w:rPr>
          <w:noProof/>
          <w:lang w:val="en-GB"/>
        </w:rPr>
        <w:t xml:space="preserve"> (</w:t>
      </w:r>
      <w:r w:rsidR="00D7307B" w:rsidRPr="00886F5A">
        <w:rPr>
          <w:noProof/>
          <w:lang w:val="en-GB"/>
        </w:rPr>
        <w:t>2019)</w:t>
      </w:r>
      <w:r w:rsidR="00D7307B">
        <w:t xml:space="preserve"> in recognizing individualistic cognitive shift to a sociocultural technique. </w:t>
      </w:r>
    </w:p>
    <w:p w14:paraId="79B1A1DD" w14:textId="77777777" w:rsidR="002977F0" w:rsidRDefault="00D7307B" w:rsidP="002977F0">
      <w:pPr>
        <w:ind w:firstLine="720"/>
        <w:jc w:val="both"/>
      </w:pPr>
      <w:r>
        <w:t>The praxis community is a type of community engagement practice important in different business studies</w:t>
      </w:r>
      <w:sdt>
        <w:sdtPr>
          <w:id w:val="-959805293"/>
          <w:citation/>
        </w:sdtPr>
        <w:sdtEndPr/>
        <w:sdtContent>
          <w:r w:rsidR="00886F5A">
            <w:fldChar w:fldCharType="begin"/>
          </w:r>
          <w:r w:rsidR="00886F5A">
            <w:rPr>
              <w:lang w:val="en-GB"/>
            </w:rPr>
            <w:instrText xml:space="preserve"> CITATION Kel19 \l 2057 </w:instrText>
          </w:r>
          <w:r w:rsidR="00886F5A">
            <w:fldChar w:fldCharType="separate"/>
          </w:r>
          <w:r w:rsidR="00886F5A">
            <w:rPr>
              <w:noProof/>
              <w:lang w:val="en-GB"/>
            </w:rPr>
            <w:t xml:space="preserve"> </w:t>
          </w:r>
          <w:r w:rsidR="00886F5A" w:rsidRPr="00886F5A">
            <w:rPr>
              <w:noProof/>
              <w:lang w:val="en-GB"/>
            </w:rPr>
            <w:t>(Matthews, et al., 2019)</w:t>
          </w:r>
          <w:r w:rsidR="00886F5A">
            <w:fldChar w:fldCharType="end"/>
          </w:r>
        </w:sdtContent>
      </w:sdt>
      <w:r w:rsidR="00AD4564">
        <w:t>.</w:t>
      </w:r>
      <w:r>
        <w:t xml:space="preserve"> The difference between the community of praxis and community of practitioners is observed in the emphasis for conceptualization and reflection </w:t>
      </w:r>
      <w:r w:rsidR="00381B42">
        <w:t xml:space="preserve">of the classroom theories. The students’ community is based on opinions or theories of knowledge and praxis community has adopted practical events. </w:t>
      </w:r>
      <w:r w:rsidR="003865B2">
        <w:t xml:space="preserve">The model or approach is based on former works, which are sustained to share ideas learned in classrooms to real world cases. Scholars have indicated the importance theoretical work reconciliation in various institutions or settings. </w:t>
      </w:r>
    </w:p>
    <w:p w14:paraId="515BF031" w14:textId="77777777" w:rsidR="002977F0" w:rsidRDefault="00C527F1" w:rsidP="002977F0">
      <w:pPr>
        <w:ind w:firstLine="720"/>
        <w:jc w:val="both"/>
      </w:pPr>
      <w:r>
        <w:t>Studies indicate that both corporate and public decisions are made upon far reaching results for equity, human well-being, and environmental health</w:t>
      </w:r>
      <w:sdt>
        <w:sdtPr>
          <w:id w:val="1981889511"/>
          <w:citation/>
        </w:sdtPr>
        <w:sdtEndPr/>
        <w:sdtContent>
          <w:r w:rsidR="00F9332B">
            <w:fldChar w:fldCharType="begin"/>
          </w:r>
          <w:r w:rsidR="00F9332B">
            <w:rPr>
              <w:lang w:val="en-GB"/>
            </w:rPr>
            <w:instrText xml:space="preserve"> CITATION Kat19 \l 2057 </w:instrText>
          </w:r>
          <w:r w:rsidR="00F9332B">
            <w:fldChar w:fldCharType="separate"/>
          </w:r>
          <w:r w:rsidR="00F9332B">
            <w:rPr>
              <w:noProof/>
              <w:lang w:val="en-GB"/>
            </w:rPr>
            <w:t xml:space="preserve"> </w:t>
          </w:r>
          <w:r w:rsidR="00F9332B" w:rsidRPr="00F9332B">
            <w:rPr>
              <w:noProof/>
              <w:lang w:val="en-GB"/>
            </w:rPr>
            <w:t>(Mahon, et al., 2019)</w:t>
          </w:r>
          <w:r w:rsidR="00F9332B">
            <w:fldChar w:fldCharType="end"/>
          </w:r>
        </w:sdtContent>
      </w:sdt>
      <w:r w:rsidR="00284BF8" w:rsidRPr="00284BF8">
        <w:t>.</w:t>
      </w:r>
      <w:r w:rsidR="00104253">
        <w:t xml:space="preserve"> The stated decisions are usually considered without potential recourse for the locally embedded understandings and information. </w:t>
      </w:r>
      <w:r w:rsidR="00B4362C">
        <w:t>The decisions have been encompassed based on non-financial consequences, distant impacts, and long-term outcomes. There have been arguments regarding government legitimacy whereby the alignment of the decisions is per international factors instead of the well-being of the citizens or the local importance</w:t>
      </w:r>
      <w:r w:rsidR="00284BF8" w:rsidRPr="00284BF8">
        <w:t xml:space="preserve"> </w:t>
      </w:r>
      <w:sdt>
        <w:sdtPr>
          <w:id w:val="450441613"/>
          <w:citation/>
        </w:sdtPr>
        <w:sdtEndPr/>
        <w:sdtContent>
          <w:r w:rsidR="007B3E37">
            <w:fldChar w:fldCharType="begin"/>
          </w:r>
          <w:r w:rsidR="007B3E37">
            <w:rPr>
              <w:lang w:val="en-GB"/>
            </w:rPr>
            <w:instrText xml:space="preserve"> CITATION Dev19 \l 2057 </w:instrText>
          </w:r>
          <w:r w:rsidR="007B3E37">
            <w:fldChar w:fldCharType="separate"/>
          </w:r>
          <w:r w:rsidR="007B3E37" w:rsidRPr="007B3E37">
            <w:rPr>
              <w:noProof/>
              <w:lang w:val="en-GB"/>
            </w:rPr>
            <w:t>(Atallah, et al., 2019)</w:t>
          </w:r>
          <w:r w:rsidR="007B3E37">
            <w:fldChar w:fldCharType="end"/>
          </w:r>
        </w:sdtContent>
      </w:sdt>
      <w:r w:rsidR="00B4362C">
        <w:t xml:space="preserve">. Therefore, I have a conundrum in that </w:t>
      </w:r>
      <w:r w:rsidR="00B4362C">
        <w:lastRenderedPageBreak/>
        <w:t>globalization has enabled the influence of appropriate decisions considering both space and time.</w:t>
      </w:r>
      <w:r w:rsidR="003E60BA">
        <w:t xml:space="preserve"> Contrary to health promotion practice and theory, scholars have </w:t>
      </w:r>
      <w:r w:rsidR="00374F37">
        <w:t>based decisions local information and understanding of communities to establish locally appropriate agenda and response to promote business studies</w:t>
      </w:r>
      <w:sdt>
        <w:sdtPr>
          <w:id w:val="1550644928"/>
          <w:citation/>
        </w:sdtPr>
        <w:sdtEndPr/>
        <w:sdtContent>
          <w:r w:rsidR="00841397">
            <w:fldChar w:fldCharType="begin"/>
          </w:r>
          <w:r w:rsidR="00841397">
            <w:rPr>
              <w:lang w:val="en-GB"/>
            </w:rPr>
            <w:instrText xml:space="preserve"> CITATION Dev19 \l 2057 </w:instrText>
          </w:r>
          <w:r w:rsidR="00841397">
            <w:fldChar w:fldCharType="separate"/>
          </w:r>
          <w:r w:rsidR="00841397">
            <w:rPr>
              <w:noProof/>
              <w:lang w:val="en-GB"/>
            </w:rPr>
            <w:t xml:space="preserve"> </w:t>
          </w:r>
          <w:r w:rsidR="00841397" w:rsidRPr="00841397">
            <w:rPr>
              <w:noProof/>
              <w:lang w:val="en-GB"/>
            </w:rPr>
            <w:t>(Atallah, et al., 2019)</w:t>
          </w:r>
          <w:r w:rsidR="00841397">
            <w:fldChar w:fldCharType="end"/>
          </w:r>
        </w:sdtContent>
      </w:sdt>
      <w:r w:rsidR="00284BF8" w:rsidRPr="00284BF8">
        <w:t>.</w:t>
      </w:r>
      <w:r w:rsidR="00801AD9">
        <w:t xml:space="preserve"> </w:t>
      </w:r>
      <w:r w:rsidR="00AF6D0C">
        <w:t xml:space="preserve">Knowledge co-production and interaction, which considers certain setting specifications are urgently required in the scientific contexts. </w:t>
      </w:r>
    </w:p>
    <w:p w14:paraId="7123802B" w14:textId="77777777" w:rsidR="002977F0" w:rsidRDefault="00F34668" w:rsidP="002977F0">
      <w:pPr>
        <w:ind w:firstLine="720"/>
        <w:jc w:val="both"/>
      </w:pPr>
      <w:r>
        <w:t xml:space="preserve">The identification of the involved issues in design, testing, and implementation of the models has indicated the need for policy creation for innovation to international and national governance. </w:t>
      </w:r>
      <w:r w:rsidR="00E7568E">
        <w:t xml:space="preserve">I need to actively consider voices based on a variety of factors. The model under consideration is in infant stages, but scholarly satisfying local and international communities to narrow down academic evidences. </w:t>
      </w:r>
      <w:r w:rsidR="00A559A6">
        <w:t xml:space="preserve">Practitioners have illustrated the importance of praxis model, which is to aid communities and practitioners in the application of research gaps in the respective fields </w:t>
      </w:r>
      <w:sdt>
        <w:sdtPr>
          <w:id w:val="-1580674946"/>
          <w:citation/>
        </w:sdtPr>
        <w:sdtEndPr/>
        <w:sdtContent>
          <w:r w:rsidR="00841397">
            <w:fldChar w:fldCharType="begin"/>
          </w:r>
          <w:r w:rsidR="00841397">
            <w:rPr>
              <w:lang w:val="en-GB"/>
            </w:rPr>
            <w:instrText xml:space="preserve"> CITATION Mar191 \l 2057 </w:instrText>
          </w:r>
          <w:r w:rsidR="00841397">
            <w:fldChar w:fldCharType="separate"/>
          </w:r>
          <w:r w:rsidR="00841397" w:rsidRPr="00841397">
            <w:rPr>
              <w:noProof/>
              <w:lang w:val="en-GB"/>
            </w:rPr>
            <w:t>(Grant &amp; Thompson, 2019)</w:t>
          </w:r>
          <w:r w:rsidR="00841397">
            <w:fldChar w:fldCharType="end"/>
          </w:r>
        </w:sdtContent>
      </w:sdt>
      <w:r w:rsidR="008B1D59">
        <w:t>.</w:t>
      </w:r>
      <w:r w:rsidR="00A559A6">
        <w:t xml:space="preserve"> </w:t>
      </w:r>
      <w:r w:rsidR="002A719D">
        <w:t xml:space="preserve">The consideration of social media analyses has illustrated the promise in community engagement beyond learning institutions; in real world situation. </w:t>
      </w:r>
    </w:p>
    <w:p w14:paraId="0462E0F6" w14:textId="77777777" w:rsidR="002977F0" w:rsidRDefault="001749A5" w:rsidP="002977F0">
      <w:pPr>
        <w:ind w:firstLine="720"/>
        <w:jc w:val="both"/>
        <w:rPr>
          <w:noProof/>
          <w:lang w:val="en-GB"/>
        </w:rPr>
      </w:pPr>
      <w:r>
        <w:t xml:space="preserve">Reflective practices through community engagement like praxis theories and models has been connected to issues of opinions being stated based on the permitted factors. </w:t>
      </w:r>
      <w:r w:rsidR="00C863AB">
        <w:t>Past resources indicate that the models are a part of reflective support in various designs, practices, and studies according to Grant and Thompson (2019). The objective is based on the spirit of communicating the production knowledge in various departments and reflective practices</w:t>
      </w:r>
      <w:r w:rsidR="00841397">
        <w:t xml:space="preserve"> </w:t>
      </w:r>
      <w:sdt>
        <w:sdtPr>
          <w:id w:val="476572876"/>
          <w:citation/>
        </w:sdtPr>
        <w:sdtEndPr/>
        <w:sdtContent>
          <w:r w:rsidR="00841397">
            <w:fldChar w:fldCharType="begin"/>
          </w:r>
          <w:r w:rsidR="00841397">
            <w:rPr>
              <w:lang w:val="en-GB"/>
            </w:rPr>
            <w:instrText xml:space="preserve"> CITATION Ioa19 \l 2057 </w:instrText>
          </w:r>
          <w:r w:rsidR="00841397">
            <w:fldChar w:fldCharType="separate"/>
          </w:r>
          <w:r w:rsidR="00841397" w:rsidRPr="00841397">
            <w:rPr>
              <w:noProof/>
              <w:lang w:val="en-GB"/>
            </w:rPr>
            <w:t>(Palaiologou &amp; Male, 2019)</w:t>
          </w:r>
          <w:r w:rsidR="00841397">
            <w:fldChar w:fldCharType="end"/>
          </w:r>
        </w:sdtContent>
      </w:sdt>
      <w:r w:rsidR="008B1D59">
        <w:t xml:space="preserve">. </w:t>
      </w:r>
      <w:r w:rsidR="008608F8">
        <w:t xml:space="preserve">The implication is the provision of suggestions to the practitioner or scholar or other members in the communities, which have been learned over the time for future implementations and improvements. </w:t>
      </w:r>
      <w:r w:rsidR="00841397">
        <w:rPr>
          <w:noProof/>
          <w:lang w:val="en-GB"/>
        </w:rPr>
        <w:t xml:space="preserve">Palaiologou </w:t>
      </w:r>
      <w:r w:rsidR="00206A85">
        <w:rPr>
          <w:noProof/>
          <w:lang w:val="en-GB"/>
        </w:rPr>
        <w:t>and</w:t>
      </w:r>
      <w:r w:rsidR="00841397">
        <w:rPr>
          <w:noProof/>
          <w:lang w:val="en-GB"/>
        </w:rPr>
        <w:t xml:space="preserve"> Male (</w:t>
      </w:r>
      <w:r w:rsidR="00841397" w:rsidRPr="00841397">
        <w:rPr>
          <w:noProof/>
          <w:lang w:val="en-GB"/>
        </w:rPr>
        <w:t>2019)</w:t>
      </w:r>
      <w:r w:rsidR="00206A85">
        <w:rPr>
          <w:noProof/>
          <w:lang w:val="en-GB"/>
        </w:rPr>
        <w:t xml:space="preserve"> suggest a modern knowledge production mode with core factors being heterogeneity, trans-discilinarity, and reflexivity. </w:t>
      </w:r>
    </w:p>
    <w:p w14:paraId="7981FA55" w14:textId="77777777" w:rsidR="002977F0" w:rsidRDefault="00135CB3" w:rsidP="002977F0">
      <w:pPr>
        <w:ind w:firstLine="720"/>
        <w:jc w:val="left"/>
      </w:pPr>
      <w:r>
        <w:lastRenderedPageBreak/>
        <w:t xml:space="preserve">The practical and theoretical reasoning promoting the base of praxis community has been investigated by different scholars and practitioners </w:t>
      </w:r>
      <w:sdt>
        <w:sdtPr>
          <w:id w:val="178091633"/>
          <w:citation/>
        </w:sdtPr>
        <w:sdtEndPr/>
        <w:sdtContent>
          <w:r w:rsidR="00157ACE">
            <w:fldChar w:fldCharType="begin"/>
          </w:r>
          <w:r w:rsidR="00157ACE">
            <w:rPr>
              <w:lang w:val="en-GB"/>
            </w:rPr>
            <w:instrText xml:space="preserve"> CITATION Kel19 \l 2057 </w:instrText>
          </w:r>
          <w:r w:rsidR="00157ACE">
            <w:fldChar w:fldCharType="separate"/>
          </w:r>
          <w:r w:rsidR="00157ACE" w:rsidRPr="00157ACE">
            <w:rPr>
              <w:noProof/>
              <w:lang w:val="en-GB"/>
            </w:rPr>
            <w:t>(Matthews, et al., 2019)</w:t>
          </w:r>
          <w:r w:rsidR="00157ACE">
            <w:fldChar w:fldCharType="end"/>
          </w:r>
        </w:sdtContent>
      </w:sdt>
      <w:r w:rsidR="00157ACE">
        <w:t>.</w:t>
      </w:r>
      <w:r w:rsidR="00B51548">
        <w:t xml:space="preserve"> Scholars have evaluated and outlined praxis community approach in community engagement as a reflective practice. There are various programs that have been in practice for a while that are critical in self-evaluation and personal development. Various approaches have been employed to accomplish longitudinal comprehension of challenges and successes linked with the model. </w:t>
      </w:r>
      <w:r w:rsidR="00084571">
        <w:t>The detailed techniques are mainly participant-based methods focused on experiences comprehension of the stakeholders and participants</w:t>
      </w:r>
      <w:r w:rsidR="004B4375">
        <w:t xml:space="preserve"> </w:t>
      </w:r>
      <w:sdt>
        <w:sdtPr>
          <w:id w:val="663202661"/>
          <w:citation/>
        </w:sdtPr>
        <w:sdtEndPr/>
        <w:sdtContent>
          <w:r w:rsidR="004B4375">
            <w:fldChar w:fldCharType="begin"/>
          </w:r>
          <w:r w:rsidR="004B4375">
            <w:rPr>
              <w:lang w:val="en-GB"/>
            </w:rPr>
            <w:instrText xml:space="preserve"> CITATION Dor20 \l 2057 </w:instrText>
          </w:r>
          <w:r w:rsidR="004B4375">
            <w:fldChar w:fldCharType="separate"/>
          </w:r>
          <w:r w:rsidR="004B4375" w:rsidRPr="004B4375">
            <w:rPr>
              <w:noProof/>
              <w:lang w:val="en-GB"/>
            </w:rPr>
            <w:t>(Santos &amp; Soler, 2020)</w:t>
          </w:r>
          <w:r w:rsidR="004B4375">
            <w:fldChar w:fldCharType="end"/>
          </w:r>
        </w:sdtContent>
      </w:sdt>
      <w:r w:rsidR="00084571">
        <w:t xml:space="preserve">. </w:t>
      </w:r>
      <w:r w:rsidR="003D68BB">
        <w:t xml:space="preserve">Strategies in evaluation are mixed based on wider assessment of methods. </w:t>
      </w:r>
    </w:p>
    <w:p w14:paraId="7690E37B" w14:textId="77777777" w:rsidR="002977F0" w:rsidRDefault="006134FD" w:rsidP="002977F0">
      <w:pPr>
        <w:ind w:firstLine="720"/>
        <w:jc w:val="left"/>
      </w:pPr>
      <w:r>
        <w:t>Different studies have been qualitatively and quantitatively carried out in different learning institutions like universities. The conducted research has considered different strategies and approaches for better deduction of data or information.</w:t>
      </w:r>
      <w:r w:rsidR="00497F29">
        <w:t xml:space="preserve"> The detailed secondary resources indicate the general satisfaction of the participants in various learning curriculums like pertinent issues regarding praxis community, for example, the potential of the course to mitigate the niche between practice and theory</w:t>
      </w:r>
      <w:sdt>
        <w:sdtPr>
          <w:id w:val="-1713027472"/>
          <w:citation/>
        </w:sdtPr>
        <w:sdtEndPr/>
        <w:sdtContent>
          <w:r w:rsidR="00F24BF5">
            <w:fldChar w:fldCharType="begin"/>
          </w:r>
          <w:r w:rsidR="00F24BF5">
            <w:rPr>
              <w:lang w:val="en-GB"/>
            </w:rPr>
            <w:instrText xml:space="preserve"> CITATION Kat19 \l 2057 </w:instrText>
          </w:r>
          <w:r w:rsidR="00F24BF5">
            <w:fldChar w:fldCharType="separate"/>
          </w:r>
          <w:r w:rsidR="00F24BF5">
            <w:rPr>
              <w:noProof/>
              <w:lang w:val="en-GB"/>
            </w:rPr>
            <w:t xml:space="preserve"> </w:t>
          </w:r>
          <w:r w:rsidR="00F24BF5" w:rsidRPr="00F24BF5">
            <w:rPr>
              <w:noProof/>
              <w:lang w:val="en-GB"/>
            </w:rPr>
            <w:t>(Mahon, et al., 2019)</w:t>
          </w:r>
          <w:r w:rsidR="00F24BF5">
            <w:fldChar w:fldCharType="end"/>
          </w:r>
        </w:sdtContent>
      </w:sdt>
      <w:r w:rsidR="00317FAB">
        <w:t>. Besides, the importance of the evaluation and the overall satisfaction of the learners has been based on the model.</w:t>
      </w:r>
      <w:r w:rsidR="00F94FC2">
        <w:t xml:space="preserve"> The qualitative research carried out by different scholars has focused on both open and close-ended questions regarding the topic under investigation. </w:t>
      </w:r>
    </w:p>
    <w:p w14:paraId="6B871078" w14:textId="0AD15807" w:rsidR="005E6383" w:rsidRDefault="00965DCF" w:rsidP="002977F0">
      <w:pPr>
        <w:ind w:firstLine="720"/>
        <w:jc w:val="left"/>
      </w:pPr>
      <w:r>
        <w:t xml:space="preserve">The praxis community model establishes local schools’ partnership and engages in approaches of integrating institution learning to the </w:t>
      </w:r>
      <w:r w:rsidR="002977F0">
        <w:t>real-world</w:t>
      </w:r>
      <w:r>
        <w:t xml:space="preserve"> situations or experiences. The approach improves the connection between learning institutions, workplaces or schools, and learners to form a relevant connection between professional practices in academics.</w:t>
      </w:r>
      <w:r w:rsidR="009A0A80">
        <w:t xml:space="preserve"> </w:t>
      </w:r>
      <w:r w:rsidR="008D747F">
        <w:t>Different features have been evaluated by practitioners regarding the model</w:t>
      </w:r>
      <w:r w:rsidR="00F73C8F">
        <w:t xml:space="preserve"> </w:t>
      </w:r>
      <w:sdt>
        <w:sdtPr>
          <w:id w:val="-363587834"/>
          <w:citation/>
        </w:sdtPr>
        <w:sdtEndPr/>
        <w:sdtContent>
          <w:r w:rsidR="00F73C8F">
            <w:fldChar w:fldCharType="begin"/>
          </w:r>
          <w:r w:rsidR="00F73C8F">
            <w:rPr>
              <w:lang w:val="en-GB"/>
            </w:rPr>
            <w:instrText xml:space="preserve"> CITATION Kat19 \l 2057 </w:instrText>
          </w:r>
          <w:r w:rsidR="00F73C8F">
            <w:fldChar w:fldCharType="separate"/>
          </w:r>
          <w:r w:rsidR="00F73C8F" w:rsidRPr="00F73C8F">
            <w:rPr>
              <w:noProof/>
              <w:lang w:val="en-GB"/>
            </w:rPr>
            <w:t>(Mahon, et al., 2019)</w:t>
          </w:r>
          <w:r w:rsidR="00F73C8F">
            <w:fldChar w:fldCharType="end"/>
          </w:r>
        </w:sdtContent>
      </w:sdt>
      <w:r w:rsidR="008D747F">
        <w:t xml:space="preserve">. </w:t>
      </w:r>
      <w:r w:rsidR="00F73C8F">
        <w:t xml:space="preserve">The </w:t>
      </w:r>
      <w:r w:rsidR="00D711ED">
        <w:lastRenderedPageBreak/>
        <w:t xml:space="preserve">model has structured observations of different sources about learning institutions with teachers showing the best practices; </w:t>
      </w:r>
      <w:r w:rsidR="00F75BAC">
        <w:t xml:space="preserve">group teaching, which integrates into partnerships; and intense evaluation or reflection by academic tutors, teachers, and peers regarding university studies, observations, and teaching experience. </w:t>
      </w:r>
    </w:p>
    <w:p w14:paraId="378FABE1" w14:textId="1C2ABD31" w:rsidR="005E6383" w:rsidRPr="00B46B3C" w:rsidRDefault="005E6383" w:rsidP="002977F0">
      <w:pPr>
        <w:pStyle w:val="Heading1"/>
        <w:rPr>
          <w:rFonts w:ascii="Times New Roman" w:hAnsi="Times New Roman" w:cs="Times New Roman"/>
          <w:b/>
          <w:color w:val="auto"/>
          <w:sz w:val="24"/>
          <w:szCs w:val="24"/>
        </w:rPr>
      </w:pPr>
      <w:r w:rsidRPr="00B46B3C">
        <w:rPr>
          <w:rFonts w:ascii="Times New Roman" w:hAnsi="Times New Roman" w:cs="Times New Roman"/>
          <w:b/>
          <w:color w:val="auto"/>
          <w:sz w:val="24"/>
          <w:szCs w:val="24"/>
        </w:rPr>
        <w:t>Discussion</w:t>
      </w:r>
    </w:p>
    <w:p w14:paraId="0E7759B1" w14:textId="77777777" w:rsidR="002977F0" w:rsidRDefault="00B46B3C" w:rsidP="002977F0">
      <w:pPr>
        <w:ind w:firstLine="720"/>
        <w:jc w:val="both"/>
      </w:pPr>
      <w:r>
        <w:t xml:space="preserve">I have focused on the assessment of data to investigate the ability of praxis community model for various functions. The essence is about a reconciling research and theory in business education considering daily teaching practices; </w:t>
      </w:r>
      <w:r w:rsidR="00046A53">
        <w:t>assisting pre-service practitioners in establishing their identity while connecting with other learning institutions; and creating an important understanding of reflective practices in community engagement.</w:t>
      </w:r>
      <w:r w:rsidR="00DA5619">
        <w:t xml:space="preserve"> </w:t>
      </w:r>
      <w:r w:rsidR="00CE1EDE">
        <w:t xml:space="preserve">The involved issues are interdependent, both in quality teaching practice and evaluation of praxis community. </w:t>
      </w:r>
      <w:r w:rsidR="00B84855">
        <w:t xml:space="preserve">I have followed various challenges and tensions experience in the present program and formulated ways of mitigating the challenges in future settings. </w:t>
      </w:r>
    </w:p>
    <w:p w14:paraId="64B3DB64" w14:textId="77777777" w:rsidR="002977F0" w:rsidRDefault="00DC02F4" w:rsidP="002977F0">
      <w:pPr>
        <w:ind w:firstLine="720"/>
        <w:jc w:val="both"/>
      </w:pPr>
      <w:r>
        <w:t>I consider practice and theory as reconciled whenever learners reflect on the stated development opportunity and for a broader teaching comprehension.</w:t>
      </w:r>
      <w:r w:rsidR="00673B68">
        <w:t xml:space="preserve"> </w:t>
      </w:r>
      <w:r w:rsidR="0046733D">
        <w:t xml:space="preserve">The focus is on creating a conducive learning setting in that the detailed comprehension leads to future relevance in the learning fraternity and to understand praxis theories. </w:t>
      </w:r>
      <w:r w:rsidR="004C4F06">
        <w:t xml:space="preserve">I have managed to understand the community engagement model in various aspect of my life like in drama departments, which greatly relies on teaching experience. </w:t>
      </w:r>
      <w:r w:rsidR="006332B2">
        <w:t xml:space="preserve">The involved model is critical in my current professional continuous development in business studies, which involves relationship between theoretical learning and </w:t>
      </w:r>
      <w:proofErr w:type="gramStart"/>
      <w:r w:rsidR="006332B2">
        <w:t>real world</w:t>
      </w:r>
      <w:proofErr w:type="gramEnd"/>
      <w:r w:rsidR="006332B2">
        <w:t xml:space="preserve"> situations. </w:t>
      </w:r>
    </w:p>
    <w:p w14:paraId="0B01A61E" w14:textId="77777777" w:rsidR="002977F0" w:rsidRDefault="00642D47" w:rsidP="002977F0">
      <w:pPr>
        <w:ind w:firstLine="720"/>
        <w:jc w:val="both"/>
      </w:pPr>
      <w:r>
        <w:lastRenderedPageBreak/>
        <w:t xml:space="preserve">The responses of the involved secondary review from different peer-reviewed journals or government publications indicated the robust potential for the method in the provision of various bridging elements between practice and classroom’s theories. </w:t>
      </w:r>
      <w:r w:rsidR="008A5ABA">
        <w:t>Contrary to other professional expertise, the results are that the teachers or other peers offer timely and strict opportunity to connect their model comprehension of classroom teaching to the situation on the ground.</w:t>
      </w:r>
      <w:r w:rsidR="00DE3EDB">
        <w:t xml:space="preserve"> </w:t>
      </w:r>
      <w:r w:rsidR="001D3DB7">
        <w:t xml:space="preserve">The other element I have considered is the issue of theoretical knowledge like reflective practice and social constructivism or community engagement. </w:t>
      </w:r>
      <w:r w:rsidR="00CA18BA">
        <w:t xml:space="preserve">It is critical to connect the lessons learned in the classroom, for example, community of praxis with the </w:t>
      </w:r>
      <w:r w:rsidR="002977F0">
        <w:t>real-world</w:t>
      </w:r>
      <w:r w:rsidR="00CA18BA">
        <w:t xml:space="preserve"> situation. </w:t>
      </w:r>
      <w:r w:rsidR="00FE7874">
        <w:t>I have managed to open and operate some business activities based on praxis model and theories.</w:t>
      </w:r>
      <w:r w:rsidR="003132BC">
        <w:t xml:space="preserve"> I have made links between school’s curriculum and foundational theories in education, which has focused on understanding theoretical models or frameworks. </w:t>
      </w:r>
    </w:p>
    <w:p w14:paraId="4B71A5E7" w14:textId="77777777" w:rsidR="002977F0" w:rsidRDefault="009A04C2" w:rsidP="002977F0">
      <w:pPr>
        <w:ind w:firstLine="720"/>
        <w:jc w:val="left"/>
      </w:pPr>
      <w:r>
        <w:t xml:space="preserve">The reflective practice development is among the most critical methods of impacting pre-services in effective </w:t>
      </w:r>
      <w:r w:rsidR="00A6552A">
        <w:t xml:space="preserve">learning or </w:t>
      </w:r>
      <w:r>
        <w:t>teaching.</w:t>
      </w:r>
      <w:r w:rsidR="00EC53EF">
        <w:t xml:space="preserve"> The students not only engage in teaching experiences, but concurrently training themselves based on analyzing their colleagues. Quick results have been achieved in the classrooms, which could be adopted and applied in real world scenarios. The factors will ensure success whenever practically applied </w:t>
      </w:r>
      <w:sdt>
        <w:sdtPr>
          <w:id w:val="-1519541116"/>
          <w:citation/>
        </w:sdtPr>
        <w:sdtEndPr/>
        <w:sdtContent>
          <w:r w:rsidR="00F24BF5">
            <w:fldChar w:fldCharType="begin"/>
          </w:r>
          <w:r w:rsidR="00F24BF5">
            <w:rPr>
              <w:lang w:val="en-GB"/>
            </w:rPr>
            <w:instrText xml:space="preserve"> CITATION Bia16 \l 2057 </w:instrText>
          </w:r>
          <w:r w:rsidR="00F24BF5">
            <w:fldChar w:fldCharType="separate"/>
          </w:r>
          <w:r w:rsidR="00F24BF5" w:rsidRPr="00F24BF5">
            <w:rPr>
              <w:noProof/>
              <w:lang w:val="en-GB"/>
            </w:rPr>
            <w:t>(Biag &amp; Castrechini, 2016)</w:t>
          </w:r>
          <w:r w:rsidR="00F24BF5">
            <w:fldChar w:fldCharType="end"/>
          </w:r>
        </w:sdtContent>
      </w:sdt>
      <w:r w:rsidR="00AB4912">
        <w:t>.</w:t>
      </w:r>
      <w:r w:rsidR="00EC53EF">
        <w:t xml:space="preserve"> </w:t>
      </w:r>
      <w:r w:rsidR="007D7D92">
        <w:t xml:space="preserve">It is essential to note that educators are not inherently born as reflective practitioners, but develop it over the time and gain experience, which is critical in the practical </w:t>
      </w:r>
      <w:r w:rsidR="009C0763">
        <w:t>implementation of the approach in various business fields, for example. I have managed to implement modern business activities learned in the classroom to real world situations like in deciding about the structural organization of my firm.</w:t>
      </w:r>
      <w:r w:rsidR="0034081C">
        <w:t xml:space="preserve"> Besides, scaffolding into reflective approaches fails to </w:t>
      </w:r>
      <w:r w:rsidR="00E14F6C">
        <w:t>be observed until the completion of the practice under consideration</w:t>
      </w:r>
      <w:sdt>
        <w:sdtPr>
          <w:id w:val="690884125"/>
          <w:citation/>
        </w:sdtPr>
        <w:sdtEndPr/>
        <w:sdtContent>
          <w:r w:rsidR="00FC4537">
            <w:fldChar w:fldCharType="begin"/>
          </w:r>
          <w:r w:rsidR="00FC4537">
            <w:rPr>
              <w:lang w:val="en-GB"/>
            </w:rPr>
            <w:instrText xml:space="preserve"> CITATION Jef17 \l 2057 </w:instrText>
          </w:r>
          <w:r w:rsidR="00FC4537">
            <w:fldChar w:fldCharType="separate"/>
          </w:r>
          <w:r w:rsidR="00FC4537">
            <w:rPr>
              <w:noProof/>
              <w:lang w:val="en-GB"/>
            </w:rPr>
            <w:t xml:space="preserve"> </w:t>
          </w:r>
          <w:r w:rsidR="00FC4537" w:rsidRPr="00FC4537">
            <w:rPr>
              <w:noProof/>
              <w:lang w:val="en-GB"/>
            </w:rPr>
            <w:t>(Rose, 2017)</w:t>
          </w:r>
          <w:r w:rsidR="00FC4537">
            <w:fldChar w:fldCharType="end"/>
          </w:r>
        </w:sdtContent>
      </w:sdt>
      <w:r w:rsidR="00AB4912">
        <w:t>.</w:t>
      </w:r>
      <w:r w:rsidR="008C0394">
        <w:t xml:space="preserve"> The praxis community reflective practice has offered pre-service lessons based on different engagement community </w:t>
      </w:r>
      <w:r w:rsidR="008C0394">
        <w:lastRenderedPageBreak/>
        <w:t xml:space="preserve">reflective practices, space, time, and critical discussions. </w:t>
      </w:r>
      <w:r w:rsidR="00B83493">
        <w:t xml:space="preserve">Various models are critical and have been utilized in different world situations; I have managed to train new workers regarding modern approaches. </w:t>
      </w:r>
    </w:p>
    <w:p w14:paraId="4442F217" w14:textId="46D3EE81" w:rsidR="00AB4912" w:rsidRDefault="008A0C61" w:rsidP="002977F0">
      <w:pPr>
        <w:ind w:firstLine="720"/>
        <w:jc w:val="left"/>
      </w:pPr>
      <w:r>
        <w:t xml:space="preserve">I argue </w:t>
      </w:r>
      <w:r w:rsidR="000C5889">
        <w:t>that the linked between theory and experience is core in praxis community, which leads to critical reflective practices upon community engagement.</w:t>
      </w:r>
      <w:r w:rsidR="00144D9C">
        <w:t xml:space="preserve"> The engagement of the community is an essential factor in the implementation of classroom’s theories into the </w:t>
      </w:r>
      <w:r w:rsidR="002977F0">
        <w:t>real-world</w:t>
      </w:r>
      <w:r w:rsidR="00144D9C">
        <w:t xml:space="preserve"> scenarios. </w:t>
      </w:r>
      <w:r w:rsidR="001A136F">
        <w:t xml:space="preserve">The issue of social corporate responsibility has been important, which could be discussed based on the detailed cognition of praxis community in business activities. </w:t>
      </w:r>
      <w:r w:rsidR="00E201F4">
        <w:t>My response regarding the processes of reflective engagement of community is the criticality of model in ensuring different examples of reflection.</w:t>
      </w:r>
      <w:r w:rsidR="00150F4E">
        <w:t xml:space="preserve"> It is essential to note that critical reflection of an individual’s experience enables a person to understand ‘why’ certain choices or decisions are made or ‘what’ to change in the future. </w:t>
      </w:r>
      <w:r w:rsidR="00D62BE6">
        <w:t>These are some of the elements learned in the classroom, and are essential for the newcomers in the business field in terms of practi</w:t>
      </w:r>
      <w:r w:rsidR="005248C9">
        <w:t xml:space="preserve">cability or experience in the application of reflective practices. </w:t>
      </w:r>
    </w:p>
    <w:p w14:paraId="574E3046" w14:textId="61F65CFE" w:rsidR="001258E9" w:rsidRPr="00F21A96" w:rsidRDefault="001258E9" w:rsidP="002977F0">
      <w:pPr>
        <w:pStyle w:val="Heading1"/>
        <w:rPr>
          <w:rFonts w:ascii="Times New Roman" w:hAnsi="Times New Roman" w:cs="Times New Roman"/>
          <w:b/>
          <w:color w:val="auto"/>
          <w:sz w:val="24"/>
          <w:szCs w:val="24"/>
        </w:rPr>
      </w:pPr>
      <w:r w:rsidRPr="00F21A96">
        <w:rPr>
          <w:rFonts w:ascii="Times New Roman" w:hAnsi="Times New Roman" w:cs="Times New Roman"/>
          <w:b/>
          <w:color w:val="auto"/>
          <w:sz w:val="24"/>
          <w:szCs w:val="24"/>
        </w:rPr>
        <w:t>Conclusion</w:t>
      </w:r>
    </w:p>
    <w:p w14:paraId="6D9ED80D" w14:textId="77777777" w:rsidR="00E32B1C" w:rsidRDefault="00A5265D" w:rsidP="002977F0">
      <w:pPr>
        <w:ind w:firstLine="720"/>
        <w:jc w:val="both"/>
      </w:pPr>
      <w:r>
        <w:t>I have established various peer-reviewed secondary resources to support the current knowledge creation for healthier management and development of business ideas.</w:t>
      </w:r>
      <w:r w:rsidR="00354A01">
        <w:t xml:space="preserve"> </w:t>
      </w:r>
      <w:r w:rsidR="00836195">
        <w:t>The ambition is based on the achievement to critically support and foster</w:t>
      </w:r>
      <w:r w:rsidR="00BD2495">
        <w:t xml:space="preserve"> </w:t>
      </w:r>
      <w:r w:rsidR="00340211">
        <w:t>detailed reflections from communities, policy-makers, practitioners, and researchers. The focus in beyond certain business specifics, for example, which usually affect my practices, thinking, and understanding of the implementation processes and development.</w:t>
      </w:r>
      <w:r w:rsidR="00E9028E">
        <w:t xml:space="preserve"> </w:t>
      </w:r>
      <w:r w:rsidR="00B53F2E">
        <w:t xml:space="preserve">My focus </w:t>
      </w:r>
      <w:r w:rsidR="00B820BF">
        <w:t>is on engaging communities and peer-reviewed secondary resources to gain new or modern approaches for better business activity models.</w:t>
      </w:r>
      <w:r w:rsidR="00CF6624">
        <w:t xml:space="preserve"> </w:t>
      </w:r>
    </w:p>
    <w:p w14:paraId="01D356C6" w14:textId="77777777" w:rsidR="008B5035" w:rsidRDefault="009713E4" w:rsidP="001258E9">
      <w:pPr>
        <w:jc w:val="both"/>
      </w:pPr>
      <w:r>
        <w:lastRenderedPageBreak/>
        <w:t xml:space="preserve">Praxis community has been based on </w:t>
      </w:r>
      <w:r w:rsidR="00DE0D88">
        <w:t xml:space="preserve">implementing </w:t>
      </w:r>
      <w:r w:rsidR="002D4ACD">
        <w:t xml:space="preserve">theories learned in the classrooms and implementing them in real world situation. </w:t>
      </w:r>
      <w:r w:rsidR="0059030C">
        <w:t>It is essential to develop different approaches of carrying out research about various business activities processes.</w:t>
      </w:r>
      <w:r w:rsidR="00D14868">
        <w:t xml:space="preserve"> Community engagement and reflective report are some of the current models utilized in self-improvement process. The techniques are unique and have assisted in learning and development of a person’s thoughts or actions regarding certain elements in the business field, for example. I have considered the </w:t>
      </w:r>
      <w:r w:rsidR="00EF271D">
        <w:t xml:space="preserve">reflective and community engagement </w:t>
      </w:r>
      <w:r w:rsidR="00D14868">
        <w:t>practice as instinctive and natural.</w:t>
      </w:r>
      <w:r w:rsidR="0059030C">
        <w:t xml:space="preserve"> </w:t>
      </w:r>
      <w:r w:rsidR="00CF6624">
        <w:t xml:space="preserve"> </w:t>
      </w:r>
    </w:p>
    <w:p w14:paraId="23B49AB6" w14:textId="77777777" w:rsidR="008B5035" w:rsidRDefault="008B5035">
      <w:r>
        <w:br w:type="page"/>
      </w:r>
    </w:p>
    <w:sdt>
      <w:sdtPr>
        <w:rPr>
          <w:rFonts w:ascii="Times New Roman" w:eastAsiaTheme="minorHAnsi" w:hAnsi="Times New Roman" w:cs="Times New Roman"/>
          <w:b/>
          <w:color w:val="auto"/>
          <w:sz w:val="24"/>
          <w:szCs w:val="24"/>
        </w:rPr>
        <w:id w:val="987363096"/>
        <w:docPartObj>
          <w:docPartGallery w:val="Bibliographies"/>
          <w:docPartUnique/>
        </w:docPartObj>
      </w:sdtPr>
      <w:sdtEndPr>
        <w:rPr>
          <w:b w:val="0"/>
        </w:rPr>
      </w:sdtEndPr>
      <w:sdtContent>
        <w:p w14:paraId="629FF51C" w14:textId="77777777" w:rsidR="008B5035" w:rsidRPr="008B5035" w:rsidRDefault="008B5035" w:rsidP="002977F0">
          <w:pPr>
            <w:pStyle w:val="Heading1"/>
            <w:rPr>
              <w:rFonts w:ascii="Times New Roman" w:hAnsi="Times New Roman" w:cs="Times New Roman"/>
              <w:b/>
              <w:color w:val="auto"/>
              <w:sz w:val="24"/>
              <w:szCs w:val="24"/>
            </w:rPr>
          </w:pPr>
          <w:r w:rsidRPr="008B5035">
            <w:rPr>
              <w:rFonts w:ascii="Times New Roman" w:hAnsi="Times New Roman" w:cs="Times New Roman"/>
              <w:b/>
              <w:color w:val="auto"/>
              <w:sz w:val="24"/>
              <w:szCs w:val="24"/>
            </w:rPr>
            <w:t>References</w:t>
          </w:r>
        </w:p>
        <w:sdt>
          <w:sdtPr>
            <w:id w:val="-573587230"/>
            <w:bibliography/>
          </w:sdtPr>
          <w:sdtEndPr/>
          <w:sdtContent>
            <w:p w14:paraId="2D8B1E78" w14:textId="77777777" w:rsidR="008B5035" w:rsidRPr="008B5035" w:rsidRDefault="008B5035" w:rsidP="008B5035">
              <w:pPr>
                <w:pStyle w:val="Bibliography"/>
                <w:jc w:val="both"/>
                <w:rPr>
                  <w:noProof/>
                </w:rPr>
              </w:pPr>
              <w:r w:rsidRPr="008B5035">
                <w:fldChar w:fldCharType="begin"/>
              </w:r>
              <w:r w:rsidRPr="008B5035">
                <w:instrText xml:space="preserve"> BIBLIOGRAPHY </w:instrText>
              </w:r>
              <w:r w:rsidRPr="008B5035">
                <w:fldChar w:fldCharType="separate"/>
              </w:r>
              <w:r w:rsidRPr="008B5035">
                <w:rPr>
                  <w:noProof/>
                </w:rPr>
                <w:t xml:space="preserve">Atallah, D. G., Bacigalupe, G. &amp; Repetto, P., 2019. Centering at the Margins: Critical Community Resilience Praxis. </w:t>
              </w:r>
              <w:r w:rsidRPr="008B5035">
                <w:rPr>
                  <w:i/>
                  <w:iCs/>
                  <w:noProof/>
                </w:rPr>
                <w:t xml:space="preserve">Journal of Humanistic Psychology, </w:t>
              </w:r>
              <w:r w:rsidRPr="008B5035">
                <w:rPr>
                  <w:noProof/>
                </w:rPr>
                <w:t>pp. 1-31.</w:t>
              </w:r>
            </w:p>
            <w:p w14:paraId="4D1CBFA1" w14:textId="77777777" w:rsidR="008B5035" w:rsidRPr="008B5035" w:rsidRDefault="008B5035" w:rsidP="008B5035">
              <w:pPr>
                <w:pStyle w:val="Bibliography"/>
                <w:jc w:val="both"/>
                <w:rPr>
                  <w:noProof/>
                </w:rPr>
              </w:pPr>
              <w:r w:rsidRPr="008B5035">
                <w:rPr>
                  <w:noProof/>
                </w:rPr>
                <w:t xml:space="preserve">Biag, M. &amp; Castrechini, S., 2016. Coordinated strategies to help the whole child: Examining the contributions of full-service community schools. </w:t>
              </w:r>
              <w:r w:rsidRPr="008B5035">
                <w:rPr>
                  <w:i/>
                  <w:iCs/>
                  <w:noProof/>
                </w:rPr>
                <w:t xml:space="preserve">Journal of Education for Students Placed At Risk, </w:t>
              </w:r>
              <w:r w:rsidRPr="008B5035">
                <w:rPr>
                  <w:noProof/>
                </w:rPr>
                <w:t>21(3), p. 157–173.</w:t>
              </w:r>
            </w:p>
            <w:p w14:paraId="62F05BC1" w14:textId="77777777" w:rsidR="008B5035" w:rsidRPr="008B5035" w:rsidRDefault="008B5035" w:rsidP="008B5035">
              <w:pPr>
                <w:pStyle w:val="Bibliography"/>
                <w:jc w:val="both"/>
                <w:rPr>
                  <w:noProof/>
                </w:rPr>
              </w:pPr>
              <w:r w:rsidRPr="008B5035">
                <w:rPr>
                  <w:noProof/>
                </w:rPr>
                <w:t xml:space="preserve">Grant, M. &amp; Thompson, S., 2019. Reflective Praxis: accelerating knowledge generation through reflecting on our research and practice. </w:t>
              </w:r>
              <w:r w:rsidRPr="008B5035">
                <w:rPr>
                  <w:i/>
                  <w:iCs/>
                  <w:noProof/>
                </w:rPr>
                <w:t xml:space="preserve">Cities &amp; Health, </w:t>
              </w:r>
              <w:r w:rsidRPr="008B5035">
                <w:rPr>
                  <w:noProof/>
                </w:rPr>
                <w:t>2(2), pp. 91-95.</w:t>
              </w:r>
            </w:p>
            <w:p w14:paraId="39FCD3E7" w14:textId="77777777" w:rsidR="008B5035" w:rsidRPr="008B5035" w:rsidRDefault="008B5035" w:rsidP="008B5035">
              <w:pPr>
                <w:pStyle w:val="Bibliography"/>
                <w:jc w:val="both"/>
                <w:rPr>
                  <w:noProof/>
                </w:rPr>
              </w:pPr>
              <w:r w:rsidRPr="008B5035">
                <w:rPr>
                  <w:noProof/>
                </w:rPr>
                <w:t xml:space="preserve">Mahon, K., Heikkinen, H. L. T. &amp; Huttunen, R., 2019. Critical educational praxis in university ecosystems: enablers and constraints. </w:t>
              </w:r>
              <w:r w:rsidRPr="008B5035">
                <w:rPr>
                  <w:i/>
                  <w:iCs/>
                  <w:noProof/>
                </w:rPr>
                <w:t xml:space="preserve">Pedagogy, Culture &amp; Society, </w:t>
              </w:r>
              <w:r w:rsidRPr="008B5035">
                <w:rPr>
                  <w:noProof/>
                </w:rPr>
                <w:t>27(3), pp. 463-480.</w:t>
              </w:r>
            </w:p>
            <w:p w14:paraId="335A2820" w14:textId="77777777" w:rsidR="008B5035" w:rsidRPr="008B5035" w:rsidRDefault="008B5035" w:rsidP="008B5035">
              <w:pPr>
                <w:pStyle w:val="Bibliography"/>
                <w:jc w:val="both"/>
                <w:rPr>
                  <w:noProof/>
                </w:rPr>
              </w:pPr>
              <w:r w:rsidRPr="008B5035">
                <w:rPr>
                  <w:noProof/>
                </w:rPr>
                <w:t xml:space="preserve">Matthews, K. et al., 2019. Toward theories of partnership praxis: an analysis of interpretive framing in literature on students as partners in teaching and. </w:t>
              </w:r>
              <w:r w:rsidRPr="008B5035">
                <w:rPr>
                  <w:i/>
                  <w:iCs/>
                  <w:noProof/>
                </w:rPr>
                <w:t xml:space="preserve">Higher Education Research &amp; Development, </w:t>
              </w:r>
              <w:r w:rsidRPr="008B5035">
                <w:rPr>
                  <w:noProof/>
                </w:rPr>
                <w:t>38(2), pp. 280-293.</w:t>
              </w:r>
            </w:p>
            <w:p w14:paraId="24C219FC" w14:textId="77777777" w:rsidR="008B5035" w:rsidRPr="008B5035" w:rsidRDefault="008B5035" w:rsidP="008B5035">
              <w:pPr>
                <w:pStyle w:val="Bibliography"/>
                <w:jc w:val="both"/>
                <w:rPr>
                  <w:noProof/>
                </w:rPr>
              </w:pPr>
              <w:r w:rsidRPr="008B5035">
                <w:rPr>
                  <w:noProof/>
                </w:rPr>
                <w:t xml:space="preserve">Palaiologou, I. &amp; Male, T., 2019. Leadership in early childhood education: The case for pedagogical praxis. </w:t>
              </w:r>
              <w:r w:rsidRPr="008B5035">
                <w:rPr>
                  <w:i/>
                  <w:iCs/>
                  <w:noProof/>
                </w:rPr>
                <w:t xml:space="preserve">Contemporary Issues in Early Childhood: SAGE Journals , </w:t>
              </w:r>
              <w:r w:rsidRPr="008B5035">
                <w:rPr>
                  <w:noProof/>
                </w:rPr>
                <w:t>20(1).</w:t>
              </w:r>
            </w:p>
            <w:p w14:paraId="456BA187" w14:textId="77777777" w:rsidR="008B5035" w:rsidRPr="008B5035" w:rsidRDefault="008B5035" w:rsidP="008B5035">
              <w:pPr>
                <w:pStyle w:val="Bibliography"/>
                <w:jc w:val="both"/>
                <w:rPr>
                  <w:noProof/>
                </w:rPr>
              </w:pPr>
              <w:r w:rsidRPr="008B5035">
                <w:rPr>
                  <w:noProof/>
                </w:rPr>
                <w:t xml:space="preserve">Rose, J., 2017. Developing and Sequencing Community Engagement and Experiential Education: A Case Study of Urban Geography Teaching and Research. </w:t>
              </w:r>
              <w:r w:rsidRPr="008B5035">
                <w:rPr>
                  <w:i/>
                  <w:iCs/>
                  <w:noProof/>
                </w:rPr>
                <w:t xml:space="preserve">The Professional Geographer, </w:t>
              </w:r>
              <w:r w:rsidRPr="008B5035">
                <w:rPr>
                  <w:noProof/>
                </w:rPr>
                <w:t>pp. 1-7.</w:t>
              </w:r>
            </w:p>
            <w:p w14:paraId="4D208EBC" w14:textId="77777777" w:rsidR="008B5035" w:rsidRPr="008B5035" w:rsidRDefault="008B5035" w:rsidP="008B5035">
              <w:pPr>
                <w:pStyle w:val="Bibliography"/>
                <w:jc w:val="both"/>
                <w:rPr>
                  <w:noProof/>
                </w:rPr>
              </w:pPr>
              <w:r w:rsidRPr="008B5035">
                <w:rPr>
                  <w:noProof/>
                </w:rPr>
                <w:t xml:space="preserve">Santos, D. &amp; Soler, S., 2020. Pedagogical practice as ‘feeling-thinking’ praxis in higher education: a case study in Colombia. </w:t>
              </w:r>
              <w:r w:rsidRPr="008B5035">
                <w:rPr>
                  <w:i/>
                  <w:iCs/>
                  <w:noProof/>
                </w:rPr>
                <w:t>Teaching in Higher Education.</w:t>
              </w:r>
            </w:p>
            <w:p w14:paraId="7510A234" w14:textId="77777777" w:rsidR="001258E9" w:rsidRPr="003165ED" w:rsidRDefault="008B5035" w:rsidP="001258E9">
              <w:pPr>
                <w:jc w:val="both"/>
              </w:pPr>
              <w:r w:rsidRPr="008B5035">
                <w:rPr>
                  <w:b/>
                  <w:bCs/>
                  <w:noProof/>
                </w:rPr>
                <w:fldChar w:fldCharType="end"/>
              </w:r>
            </w:p>
          </w:sdtContent>
        </w:sdt>
      </w:sdtContent>
    </w:sdt>
    <w:sectPr w:rsidR="001258E9" w:rsidRPr="003165ED">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BD0D2" w14:textId="77777777" w:rsidR="00690791" w:rsidRDefault="00690791" w:rsidP="0052549E">
      <w:pPr>
        <w:spacing w:after="0" w:line="240" w:lineRule="auto"/>
      </w:pPr>
      <w:r>
        <w:separator/>
      </w:r>
    </w:p>
  </w:endnote>
  <w:endnote w:type="continuationSeparator" w:id="0">
    <w:p w14:paraId="5448F778" w14:textId="77777777" w:rsidR="00690791" w:rsidRDefault="00690791" w:rsidP="005254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F02284" w14:textId="77777777" w:rsidR="00690791" w:rsidRDefault="00690791" w:rsidP="0052549E">
      <w:pPr>
        <w:spacing w:after="0" w:line="240" w:lineRule="auto"/>
      </w:pPr>
      <w:r>
        <w:separator/>
      </w:r>
    </w:p>
  </w:footnote>
  <w:footnote w:type="continuationSeparator" w:id="0">
    <w:p w14:paraId="48E8DA85" w14:textId="77777777" w:rsidR="00690791" w:rsidRDefault="00690791" w:rsidP="005254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EC9090" w14:textId="4EFDF2ED" w:rsidR="0052549E" w:rsidRDefault="00B7040D">
    <w:pPr>
      <w:pStyle w:val="Header"/>
      <w:jc w:val="right"/>
    </w:pPr>
    <w:r w:rsidRPr="00B7040D">
      <w:t>Reflective Report</w:t>
    </w:r>
    <w:r>
      <w:t xml:space="preserve"> </w:t>
    </w:r>
    <w:sdt>
      <w:sdtPr>
        <w:id w:val="-475910092"/>
        <w:docPartObj>
          <w:docPartGallery w:val="Page Numbers (Top of Page)"/>
          <w:docPartUnique/>
        </w:docPartObj>
      </w:sdtPr>
      <w:sdtEndPr>
        <w:rPr>
          <w:noProof/>
        </w:rPr>
      </w:sdtEndPr>
      <w:sdtContent>
        <w:r w:rsidR="0052549E">
          <w:fldChar w:fldCharType="begin"/>
        </w:r>
        <w:r w:rsidR="0052549E">
          <w:instrText xml:space="preserve"> PAGE   \* MERGEFORMAT </w:instrText>
        </w:r>
        <w:r w:rsidR="0052549E">
          <w:fldChar w:fldCharType="separate"/>
        </w:r>
        <w:r w:rsidR="008B5035">
          <w:rPr>
            <w:noProof/>
          </w:rPr>
          <w:t>10</w:t>
        </w:r>
        <w:r w:rsidR="0052549E">
          <w:rPr>
            <w:noProof/>
          </w:rPr>
          <w:fldChar w:fldCharType="end"/>
        </w:r>
      </w:sdtContent>
    </w:sdt>
  </w:p>
  <w:p w14:paraId="2672E065" w14:textId="77777777" w:rsidR="0052549E" w:rsidRDefault="005254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E32B9"/>
    <w:multiLevelType w:val="multilevel"/>
    <w:tmpl w:val="498E3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CB6FCD"/>
    <w:multiLevelType w:val="hybridMultilevel"/>
    <w:tmpl w:val="D3283D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9D573B"/>
    <w:multiLevelType w:val="multilevel"/>
    <w:tmpl w:val="7B20F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407C2B"/>
    <w:multiLevelType w:val="hybridMultilevel"/>
    <w:tmpl w:val="A33CB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235F5F"/>
    <w:multiLevelType w:val="multilevel"/>
    <w:tmpl w:val="07C4555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22CA6171"/>
    <w:multiLevelType w:val="multilevel"/>
    <w:tmpl w:val="D8E0A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85138E"/>
    <w:multiLevelType w:val="hybridMultilevel"/>
    <w:tmpl w:val="EB98C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C4F0EE3"/>
    <w:multiLevelType w:val="hybridMultilevel"/>
    <w:tmpl w:val="F43899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D42790D"/>
    <w:multiLevelType w:val="multilevel"/>
    <w:tmpl w:val="7294F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751A2B"/>
    <w:multiLevelType w:val="hybridMultilevel"/>
    <w:tmpl w:val="14E4F5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2E1EC7"/>
    <w:multiLevelType w:val="hybridMultilevel"/>
    <w:tmpl w:val="BBBCCC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69619C3"/>
    <w:multiLevelType w:val="hybridMultilevel"/>
    <w:tmpl w:val="1F3A66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AD74BC"/>
    <w:multiLevelType w:val="multilevel"/>
    <w:tmpl w:val="2B581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E86388"/>
    <w:multiLevelType w:val="multilevel"/>
    <w:tmpl w:val="5114E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DD0401"/>
    <w:multiLevelType w:val="multilevel"/>
    <w:tmpl w:val="86B08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CC59F4"/>
    <w:multiLevelType w:val="hybridMultilevel"/>
    <w:tmpl w:val="679AE3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A947269"/>
    <w:multiLevelType w:val="hybridMultilevel"/>
    <w:tmpl w:val="E93EAAC4"/>
    <w:lvl w:ilvl="0" w:tplc="D34E0084">
      <w:start w:val="1"/>
      <w:numFmt w:val="bullet"/>
      <w:lvlText w:val=""/>
      <w:lvlJc w:val="left"/>
      <w:pPr>
        <w:ind w:left="360" w:hanging="360"/>
      </w:pPr>
      <w:rPr>
        <w:rFonts w:ascii="Symbol" w:hAnsi="Symbol" w:hint="default"/>
      </w:rPr>
    </w:lvl>
    <w:lvl w:ilvl="1" w:tplc="358EE176" w:tentative="1">
      <w:start w:val="1"/>
      <w:numFmt w:val="bullet"/>
      <w:lvlText w:val="o"/>
      <w:lvlJc w:val="left"/>
      <w:pPr>
        <w:ind w:left="1080" w:hanging="360"/>
      </w:pPr>
      <w:rPr>
        <w:rFonts w:ascii="Courier New" w:hAnsi="Courier New" w:cs="Courier New" w:hint="default"/>
      </w:rPr>
    </w:lvl>
    <w:lvl w:ilvl="2" w:tplc="ED847BE2" w:tentative="1">
      <w:start w:val="1"/>
      <w:numFmt w:val="bullet"/>
      <w:lvlText w:val=""/>
      <w:lvlJc w:val="left"/>
      <w:pPr>
        <w:ind w:left="1800" w:hanging="360"/>
      </w:pPr>
      <w:rPr>
        <w:rFonts w:ascii="Wingdings" w:hAnsi="Wingdings" w:hint="default"/>
      </w:rPr>
    </w:lvl>
    <w:lvl w:ilvl="3" w:tplc="2A602F1C" w:tentative="1">
      <w:start w:val="1"/>
      <w:numFmt w:val="bullet"/>
      <w:lvlText w:val=""/>
      <w:lvlJc w:val="left"/>
      <w:pPr>
        <w:ind w:left="2520" w:hanging="360"/>
      </w:pPr>
      <w:rPr>
        <w:rFonts w:ascii="Symbol" w:hAnsi="Symbol" w:hint="default"/>
      </w:rPr>
    </w:lvl>
    <w:lvl w:ilvl="4" w:tplc="8C9EEDD6" w:tentative="1">
      <w:start w:val="1"/>
      <w:numFmt w:val="bullet"/>
      <w:lvlText w:val="o"/>
      <w:lvlJc w:val="left"/>
      <w:pPr>
        <w:ind w:left="3240" w:hanging="360"/>
      </w:pPr>
      <w:rPr>
        <w:rFonts w:ascii="Courier New" w:hAnsi="Courier New" w:cs="Courier New" w:hint="default"/>
      </w:rPr>
    </w:lvl>
    <w:lvl w:ilvl="5" w:tplc="DC6A6AA0" w:tentative="1">
      <w:start w:val="1"/>
      <w:numFmt w:val="bullet"/>
      <w:lvlText w:val=""/>
      <w:lvlJc w:val="left"/>
      <w:pPr>
        <w:ind w:left="3960" w:hanging="360"/>
      </w:pPr>
      <w:rPr>
        <w:rFonts w:ascii="Wingdings" w:hAnsi="Wingdings" w:hint="default"/>
      </w:rPr>
    </w:lvl>
    <w:lvl w:ilvl="6" w:tplc="EBC8EF4C" w:tentative="1">
      <w:start w:val="1"/>
      <w:numFmt w:val="bullet"/>
      <w:lvlText w:val=""/>
      <w:lvlJc w:val="left"/>
      <w:pPr>
        <w:ind w:left="4680" w:hanging="360"/>
      </w:pPr>
      <w:rPr>
        <w:rFonts w:ascii="Symbol" w:hAnsi="Symbol" w:hint="default"/>
      </w:rPr>
    </w:lvl>
    <w:lvl w:ilvl="7" w:tplc="E0A22FBE" w:tentative="1">
      <w:start w:val="1"/>
      <w:numFmt w:val="bullet"/>
      <w:lvlText w:val="o"/>
      <w:lvlJc w:val="left"/>
      <w:pPr>
        <w:ind w:left="5400" w:hanging="360"/>
      </w:pPr>
      <w:rPr>
        <w:rFonts w:ascii="Courier New" w:hAnsi="Courier New" w:cs="Courier New" w:hint="default"/>
      </w:rPr>
    </w:lvl>
    <w:lvl w:ilvl="8" w:tplc="E348C394" w:tentative="1">
      <w:start w:val="1"/>
      <w:numFmt w:val="bullet"/>
      <w:lvlText w:val=""/>
      <w:lvlJc w:val="left"/>
      <w:pPr>
        <w:ind w:left="6120" w:hanging="360"/>
      </w:pPr>
      <w:rPr>
        <w:rFonts w:ascii="Wingdings" w:hAnsi="Wingdings" w:hint="default"/>
      </w:rPr>
    </w:lvl>
  </w:abstractNum>
  <w:num w:numId="1">
    <w:abstractNumId w:val="6"/>
  </w:num>
  <w:num w:numId="2">
    <w:abstractNumId w:val="15"/>
  </w:num>
  <w:num w:numId="3">
    <w:abstractNumId w:val="10"/>
  </w:num>
  <w:num w:numId="4">
    <w:abstractNumId w:val="1"/>
  </w:num>
  <w:num w:numId="5">
    <w:abstractNumId w:val="3"/>
  </w:num>
  <w:num w:numId="6">
    <w:abstractNumId w:val="7"/>
  </w:num>
  <w:num w:numId="7">
    <w:abstractNumId w:val="16"/>
  </w:num>
  <w:num w:numId="8">
    <w:abstractNumId w:val="4"/>
  </w:num>
  <w:num w:numId="9">
    <w:abstractNumId w:val="11"/>
  </w:num>
  <w:num w:numId="10">
    <w:abstractNumId w:val="9"/>
  </w:num>
  <w:num w:numId="11">
    <w:abstractNumId w:val="0"/>
  </w:num>
  <w:num w:numId="12">
    <w:abstractNumId w:val="5"/>
  </w:num>
  <w:num w:numId="13">
    <w:abstractNumId w:val="12"/>
  </w:num>
  <w:num w:numId="14">
    <w:abstractNumId w:val="13"/>
  </w:num>
  <w:num w:numId="15">
    <w:abstractNumId w:val="8"/>
  </w:num>
  <w:num w:numId="16">
    <w:abstractNumId w:val="2"/>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ExNjU0NLK0NDU1MzFW0lEKTi0uzszPAykwrQUAdkx9xywAAAA="/>
  </w:docVars>
  <w:rsids>
    <w:rsidRoot w:val="000C1875"/>
    <w:rsid w:val="000043F2"/>
    <w:rsid w:val="0001185B"/>
    <w:rsid w:val="00020E7B"/>
    <w:rsid w:val="00021513"/>
    <w:rsid w:val="00027D91"/>
    <w:rsid w:val="00031FCF"/>
    <w:rsid w:val="00033A86"/>
    <w:rsid w:val="00041DA8"/>
    <w:rsid w:val="00042D99"/>
    <w:rsid w:val="00046A53"/>
    <w:rsid w:val="0005434C"/>
    <w:rsid w:val="00055F7B"/>
    <w:rsid w:val="00065AC7"/>
    <w:rsid w:val="00066761"/>
    <w:rsid w:val="0007131D"/>
    <w:rsid w:val="00084571"/>
    <w:rsid w:val="000917FF"/>
    <w:rsid w:val="00093E54"/>
    <w:rsid w:val="000954DD"/>
    <w:rsid w:val="000A0F6D"/>
    <w:rsid w:val="000A2956"/>
    <w:rsid w:val="000A3519"/>
    <w:rsid w:val="000A3F01"/>
    <w:rsid w:val="000B1658"/>
    <w:rsid w:val="000B3198"/>
    <w:rsid w:val="000B634E"/>
    <w:rsid w:val="000C1875"/>
    <w:rsid w:val="000C3723"/>
    <w:rsid w:val="000C5889"/>
    <w:rsid w:val="000D30F6"/>
    <w:rsid w:val="000E6311"/>
    <w:rsid w:val="000F1F2A"/>
    <w:rsid w:val="00103DEC"/>
    <w:rsid w:val="00104253"/>
    <w:rsid w:val="00115A64"/>
    <w:rsid w:val="00117501"/>
    <w:rsid w:val="00120FD6"/>
    <w:rsid w:val="0012377E"/>
    <w:rsid w:val="001258E9"/>
    <w:rsid w:val="00133D9A"/>
    <w:rsid w:val="00135CB3"/>
    <w:rsid w:val="001433BD"/>
    <w:rsid w:val="00144D9C"/>
    <w:rsid w:val="00150F4E"/>
    <w:rsid w:val="00157ACE"/>
    <w:rsid w:val="00161F77"/>
    <w:rsid w:val="001719BE"/>
    <w:rsid w:val="0017273E"/>
    <w:rsid w:val="001749A5"/>
    <w:rsid w:val="00175B8F"/>
    <w:rsid w:val="00177D69"/>
    <w:rsid w:val="00181A22"/>
    <w:rsid w:val="001860FF"/>
    <w:rsid w:val="00187340"/>
    <w:rsid w:val="001912EE"/>
    <w:rsid w:val="00192948"/>
    <w:rsid w:val="001959CA"/>
    <w:rsid w:val="001963F2"/>
    <w:rsid w:val="00197D02"/>
    <w:rsid w:val="001A136F"/>
    <w:rsid w:val="001A1EEB"/>
    <w:rsid w:val="001A4A68"/>
    <w:rsid w:val="001B5ADF"/>
    <w:rsid w:val="001C0FA7"/>
    <w:rsid w:val="001C6423"/>
    <w:rsid w:val="001D3DB7"/>
    <w:rsid w:val="001D3EE5"/>
    <w:rsid w:val="001F1AA6"/>
    <w:rsid w:val="001F2CA8"/>
    <w:rsid w:val="00206A85"/>
    <w:rsid w:val="0021498E"/>
    <w:rsid w:val="002423C0"/>
    <w:rsid w:val="00243DC3"/>
    <w:rsid w:val="00251A43"/>
    <w:rsid w:val="00264584"/>
    <w:rsid w:val="00270017"/>
    <w:rsid w:val="00273B53"/>
    <w:rsid w:val="0027529A"/>
    <w:rsid w:val="00276F4D"/>
    <w:rsid w:val="002812C9"/>
    <w:rsid w:val="00284BF8"/>
    <w:rsid w:val="002977F0"/>
    <w:rsid w:val="002A608C"/>
    <w:rsid w:val="002A719D"/>
    <w:rsid w:val="002A7D47"/>
    <w:rsid w:val="002B582D"/>
    <w:rsid w:val="002C1EF0"/>
    <w:rsid w:val="002C3E4B"/>
    <w:rsid w:val="002D4ACD"/>
    <w:rsid w:val="002D58DA"/>
    <w:rsid w:val="002E0265"/>
    <w:rsid w:val="002E1E44"/>
    <w:rsid w:val="002F0098"/>
    <w:rsid w:val="002F4ECB"/>
    <w:rsid w:val="002F63C1"/>
    <w:rsid w:val="00306583"/>
    <w:rsid w:val="003132BC"/>
    <w:rsid w:val="003165ED"/>
    <w:rsid w:val="00317FAB"/>
    <w:rsid w:val="00323393"/>
    <w:rsid w:val="00323FCD"/>
    <w:rsid w:val="0032730C"/>
    <w:rsid w:val="0033301A"/>
    <w:rsid w:val="00340211"/>
    <w:rsid w:val="00340747"/>
    <w:rsid w:val="0034081C"/>
    <w:rsid w:val="00344205"/>
    <w:rsid w:val="00345043"/>
    <w:rsid w:val="0035124B"/>
    <w:rsid w:val="003547F0"/>
    <w:rsid w:val="00354A01"/>
    <w:rsid w:val="00364D18"/>
    <w:rsid w:val="003660F4"/>
    <w:rsid w:val="00367662"/>
    <w:rsid w:val="0037245F"/>
    <w:rsid w:val="00374F37"/>
    <w:rsid w:val="003803FE"/>
    <w:rsid w:val="00381B42"/>
    <w:rsid w:val="00382DF3"/>
    <w:rsid w:val="00384DA4"/>
    <w:rsid w:val="00385440"/>
    <w:rsid w:val="003865B2"/>
    <w:rsid w:val="003904C8"/>
    <w:rsid w:val="00393280"/>
    <w:rsid w:val="003A2A4B"/>
    <w:rsid w:val="003B659B"/>
    <w:rsid w:val="003C3200"/>
    <w:rsid w:val="003D1934"/>
    <w:rsid w:val="003D480F"/>
    <w:rsid w:val="003D5516"/>
    <w:rsid w:val="003D626F"/>
    <w:rsid w:val="003D68BB"/>
    <w:rsid w:val="003E3711"/>
    <w:rsid w:val="003E60BA"/>
    <w:rsid w:val="003F0F9B"/>
    <w:rsid w:val="003F1575"/>
    <w:rsid w:val="003F6476"/>
    <w:rsid w:val="00407A5E"/>
    <w:rsid w:val="004106AF"/>
    <w:rsid w:val="00411545"/>
    <w:rsid w:val="00417CFB"/>
    <w:rsid w:val="00421461"/>
    <w:rsid w:val="004225A5"/>
    <w:rsid w:val="004316A8"/>
    <w:rsid w:val="00432AF5"/>
    <w:rsid w:val="00432E98"/>
    <w:rsid w:val="00435780"/>
    <w:rsid w:val="00441F4A"/>
    <w:rsid w:val="00457DE2"/>
    <w:rsid w:val="0046020A"/>
    <w:rsid w:val="0046118F"/>
    <w:rsid w:val="004660B7"/>
    <w:rsid w:val="0046711E"/>
    <w:rsid w:val="0046733D"/>
    <w:rsid w:val="00470B38"/>
    <w:rsid w:val="00484E6B"/>
    <w:rsid w:val="00496865"/>
    <w:rsid w:val="00497F29"/>
    <w:rsid w:val="004A0F57"/>
    <w:rsid w:val="004A424A"/>
    <w:rsid w:val="004A73F2"/>
    <w:rsid w:val="004B4375"/>
    <w:rsid w:val="004B7EC4"/>
    <w:rsid w:val="004C0B48"/>
    <w:rsid w:val="004C4F06"/>
    <w:rsid w:val="004E2D6C"/>
    <w:rsid w:val="004E2FB8"/>
    <w:rsid w:val="004E349C"/>
    <w:rsid w:val="004F1C54"/>
    <w:rsid w:val="004F62B2"/>
    <w:rsid w:val="005045C5"/>
    <w:rsid w:val="00505929"/>
    <w:rsid w:val="005111A1"/>
    <w:rsid w:val="00517FBD"/>
    <w:rsid w:val="005229FD"/>
    <w:rsid w:val="005233F7"/>
    <w:rsid w:val="005248C9"/>
    <w:rsid w:val="0052549E"/>
    <w:rsid w:val="005260E6"/>
    <w:rsid w:val="00526997"/>
    <w:rsid w:val="00540265"/>
    <w:rsid w:val="005433AB"/>
    <w:rsid w:val="005462AC"/>
    <w:rsid w:val="00552A7F"/>
    <w:rsid w:val="005677B9"/>
    <w:rsid w:val="0057208E"/>
    <w:rsid w:val="00574027"/>
    <w:rsid w:val="00581EEF"/>
    <w:rsid w:val="00582D23"/>
    <w:rsid w:val="00583BD0"/>
    <w:rsid w:val="0059030C"/>
    <w:rsid w:val="005932DD"/>
    <w:rsid w:val="005A15F2"/>
    <w:rsid w:val="005B331E"/>
    <w:rsid w:val="005B4B76"/>
    <w:rsid w:val="005B5CC2"/>
    <w:rsid w:val="005D5426"/>
    <w:rsid w:val="005E3151"/>
    <w:rsid w:val="005E333F"/>
    <w:rsid w:val="005E5B4D"/>
    <w:rsid w:val="005E6383"/>
    <w:rsid w:val="005E7617"/>
    <w:rsid w:val="005F2F33"/>
    <w:rsid w:val="005F6474"/>
    <w:rsid w:val="005F6559"/>
    <w:rsid w:val="00606671"/>
    <w:rsid w:val="006109CA"/>
    <w:rsid w:val="006134FD"/>
    <w:rsid w:val="00614F7A"/>
    <w:rsid w:val="00616354"/>
    <w:rsid w:val="00624E8C"/>
    <w:rsid w:val="00626BBA"/>
    <w:rsid w:val="006332B2"/>
    <w:rsid w:val="00640F6F"/>
    <w:rsid w:val="00642D47"/>
    <w:rsid w:val="00652109"/>
    <w:rsid w:val="006528AA"/>
    <w:rsid w:val="00655886"/>
    <w:rsid w:val="006567DC"/>
    <w:rsid w:val="00670747"/>
    <w:rsid w:val="00671B3B"/>
    <w:rsid w:val="00673B68"/>
    <w:rsid w:val="006809CB"/>
    <w:rsid w:val="006900CD"/>
    <w:rsid w:val="00690791"/>
    <w:rsid w:val="006A4B3D"/>
    <w:rsid w:val="006A65A6"/>
    <w:rsid w:val="006C0C14"/>
    <w:rsid w:val="006C120C"/>
    <w:rsid w:val="006C7E73"/>
    <w:rsid w:val="006D4567"/>
    <w:rsid w:val="006D5F6C"/>
    <w:rsid w:val="006E1E3C"/>
    <w:rsid w:val="006E233F"/>
    <w:rsid w:val="006E30D3"/>
    <w:rsid w:val="006E547A"/>
    <w:rsid w:val="006E6EE6"/>
    <w:rsid w:val="006F3F27"/>
    <w:rsid w:val="006F680C"/>
    <w:rsid w:val="00700D91"/>
    <w:rsid w:val="00701B36"/>
    <w:rsid w:val="00704515"/>
    <w:rsid w:val="007051D4"/>
    <w:rsid w:val="007124F5"/>
    <w:rsid w:val="007134F2"/>
    <w:rsid w:val="007253D3"/>
    <w:rsid w:val="00725B71"/>
    <w:rsid w:val="007328AC"/>
    <w:rsid w:val="007538BE"/>
    <w:rsid w:val="00765D30"/>
    <w:rsid w:val="0077062C"/>
    <w:rsid w:val="00774A00"/>
    <w:rsid w:val="0077612E"/>
    <w:rsid w:val="00780500"/>
    <w:rsid w:val="007833AB"/>
    <w:rsid w:val="00797DB5"/>
    <w:rsid w:val="007B3E37"/>
    <w:rsid w:val="007C11AA"/>
    <w:rsid w:val="007C134D"/>
    <w:rsid w:val="007C1F88"/>
    <w:rsid w:val="007C2E94"/>
    <w:rsid w:val="007C7F78"/>
    <w:rsid w:val="007D3F75"/>
    <w:rsid w:val="007D7D92"/>
    <w:rsid w:val="007F0D28"/>
    <w:rsid w:val="007F3E16"/>
    <w:rsid w:val="007F7708"/>
    <w:rsid w:val="00801AD9"/>
    <w:rsid w:val="00802488"/>
    <w:rsid w:val="00833AFF"/>
    <w:rsid w:val="00836195"/>
    <w:rsid w:val="00841397"/>
    <w:rsid w:val="008442E6"/>
    <w:rsid w:val="008518E0"/>
    <w:rsid w:val="00853EE3"/>
    <w:rsid w:val="008608F8"/>
    <w:rsid w:val="008700A7"/>
    <w:rsid w:val="0087265C"/>
    <w:rsid w:val="00874D12"/>
    <w:rsid w:val="008835D7"/>
    <w:rsid w:val="00883AD8"/>
    <w:rsid w:val="00885177"/>
    <w:rsid w:val="00886F5A"/>
    <w:rsid w:val="0089372F"/>
    <w:rsid w:val="008970D4"/>
    <w:rsid w:val="008A0C61"/>
    <w:rsid w:val="008A107E"/>
    <w:rsid w:val="008A5ABA"/>
    <w:rsid w:val="008A60FE"/>
    <w:rsid w:val="008B1D59"/>
    <w:rsid w:val="008B5035"/>
    <w:rsid w:val="008C0394"/>
    <w:rsid w:val="008C5184"/>
    <w:rsid w:val="008D1E87"/>
    <w:rsid w:val="008D747F"/>
    <w:rsid w:val="008E65CC"/>
    <w:rsid w:val="008E6DCD"/>
    <w:rsid w:val="008E72C8"/>
    <w:rsid w:val="008E7BE3"/>
    <w:rsid w:val="008F1AE7"/>
    <w:rsid w:val="009167DA"/>
    <w:rsid w:val="0091782F"/>
    <w:rsid w:val="00923ADB"/>
    <w:rsid w:val="009307D9"/>
    <w:rsid w:val="00934B15"/>
    <w:rsid w:val="00934DFE"/>
    <w:rsid w:val="009363C6"/>
    <w:rsid w:val="00937620"/>
    <w:rsid w:val="009377ED"/>
    <w:rsid w:val="00940DFC"/>
    <w:rsid w:val="00942834"/>
    <w:rsid w:val="00965DCF"/>
    <w:rsid w:val="009713E4"/>
    <w:rsid w:val="00980AC1"/>
    <w:rsid w:val="0098434F"/>
    <w:rsid w:val="009845F1"/>
    <w:rsid w:val="009853AF"/>
    <w:rsid w:val="00991856"/>
    <w:rsid w:val="00994624"/>
    <w:rsid w:val="009948EE"/>
    <w:rsid w:val="009A04C2"/>
    <w:rsid w:val="009A0A80"/>
    <w:rsid w:val="009A4E24"/>
    <w:rsid w:val="009A5C44"/>
    <w:rsid w:val="009B4981"/>
    <w:rsid w:val="009B4B4A"/>
    <w:rsid w:val="009C0763"/>
    <w:rsid w:val="009D1176"/>
    <w:rsid w:val="009D3426"/>
    <w:rsid w:val="009D38E1"/>
    <w:rsid w:val="009D54B1"/>
    <w:rsid w:val="009D6930"/>
    <w:rsid w:val="009D7E62"/>
    <w:rsid w:val="009E22B8"/>
    <w:rsid w:val="009F142E"/>
    <w:rsid w:val="00A0073C"/>
    <w:rsid w:val="00A13DC3"/>
    <w:rsid w:val="00A15102"/>
    <w:rsid w:val="00A210B3"/>
    <w:rsid w:val="00A33CDA"/>
    <w:rsid w:val="00A36333"/>
    <w:rsid w:val="00A42C05"/>
    <w:rsid w:val="00A46DF5"/>
    <w:rsid w:val="00A5265D"/>
    <w:rsid w:val="00A559A6"/>
    <w:rsid w:val="00A65260"/>
    <w:rsid w:val="00A6552A"/>
    <w:rsid w:val="00A74321"/>
    <w:rsid w:val="00A8276C"/>
    <w:rsid w:val="00A82AA6"/>
    <w:rsid w:val="00A838E4"/>
    <w:rsid w:val="00A843B4"/>
    <w:rsid w:val="00A843D3"/>
    <w:rsid w:val="00A91EA2"/>
    <w:rsid w:val="00A950A1"/>
    <w:rsid w:val="00A95228"/>
    <w:rsid w:val="00AA7FC0"/>
    <w:rsid w:val="00AB3A0A"/>
    <w:rsid w:val="00AB4912"/>
    <w:rsid w:val="00AB7200"/>
    <w:rsid w:val="00AC1B81"/>
    <w:rsid w:val="00AC4326"/>
    <w:rsid w:val="00AC58B8"/>
    <w:rsid w:val="00AC72EA"/>
    <w:rsid w:val="00AD4564"/>
    <w:rsid w:val="00AD5BD0"/>
    <w:rsid w:val="00AE04C6"/>
    <w:rsid w:val="00AE1638"/>
    <w:rsid w:val="00AE70CF"/>
    <w:rsid w:val="00AF6D0C"/>
    <w:rsid w:val="00B0039B"/>
    <w:rsid w:val="00B02196"/>
    <w:rsid w:val="00B20595"/>
    <w:rsid w:val="00B21F90"/>
    <w:rsid w:val="00B25597"/>
    <w:rsid w:val="00B25F45"/>
    <w:rsid w:val="00B4200A"/>
    <w:rsid w:val="00B42633"/>
    <w:rsid w:val="00B4362C"/>
    <w:rsid w:val="00B45A56"/>
    <w:rsid w:val="00B46B3C"/>
    <w:rsid w:val="00B46D01"/>
    <w:rsid w:val="00B51548"/>
    <w:rsid w:val="00B51595"/>
    <w:rsid w:val="00B527B8"/>
    <w:rsid w:val="00B53B0E"/>
    <w:rsid w:val="00B53F2E"/>
    <w:rsid w:val="00B63B0D"/>
    <w:rsid w:val="00B63D88"/>
    <w:rsid w:val="00B7040D"/>
    <w:rsid w:val="00B753DE"/>
    <w:rsid w:val="00B779C0"/>
    <w:rsid w:val="00B81761"/>
    <w:rsid w:val="00B820BF"/>
    <w:rsid w:val="00B83493"/>
    <w:rsid w:val="00B83C84"/>
    <w:rsid w:val="00B84855"/>
    <w:rsid w:val="00B86263"/>
    <w:rsid w:val="00B95C8B"/>
    <w:rsid w:val="00B96F5B"/>
    <w:rsid w:val="00BA5DAF"/>
    <w:rsid w:val="00BB02C8"/>
    <w:rsid w:val="00BB08A6"/>
    <w:rsid w:val="00BB4B21"/>
    <w:rsid w:val="00BC37E4"/>
    <w:rsid w:val="00BD2495"/>
    <w:rsid w:val="00BD6F8D"/>
    <w:rsid w:val="00BE4C59"/>
    <w:rsid w:val="00C02B85"/>
    <w:rsid w:val="00C03818"/>
    <w:rsid w:val="00C06EF5"/>
    <w:rsid w:val="00C11F3F"/>
    <w:rsid w:val="00C13A96"/>
    <w:rsid w:val="00C32DE4"/>
    <w:rsid w:val="00C336BF"/>
    <w:rsid w:val="00C41BC5"/>
    <w:rsid w:val="00C42865"/>
    <w:rsid w:val="00C527F1"/>
    <w:rsid w:val="00C6139E"/>
    <w:rsid w:val="00C6194A"/>
    <w:rsid w:val="00C62630"/>
    <w:rsid w:val="00C70F35"/>
    <w:rsid w:val="00C742F7"/>
    <w:rsid w:val="00C76D3F"/>
    <w:rsid w:val="00C779BC"/>
    <w:rsid w:val="00C863AB"/>
    <w:rsid w:val="00CA18BA"/>
    <w:rsid w:val="00CA5435"/>
    <w:rsid w:val="00CC43CF"/>
    <w:rsid w:val="00CC58E2"/>
    <w:rsid w:val="00CC78DB"/>
    <w:rsid w:val="00CD0069"/>
    <w:rsid w:val="00CD0317"/>
    <w:rsid w:val="00CD0E6B"/>
    <w:rsid w:val="00CE0E9C"/>
    <w:rsid w:val="00CE1EDE"/>
    <w:rsid w:val="00CE5325"/>
    <w:rsid w:val="00CF6624"/>
    <w:rsid w:val="00D039C2"/>
    <w:rsid w:val="00D07BF5"/>
    <w:rsid w:val="00D14868"/>
    <w:rsid w:val="00D201E2"/>
    <w:rsid w:val="00D26B8C"/>
    <w:rsid w:val="00D26E23"/>
    <w:rsid w:val="00D340B5"/>
    <w:rsid w:val="00D41BE5"/>
    <w:rsid w:val="00D43156"/>
    <w:rsid w:val="00D5373D"/>
    <w:rsid w:val="00D5436A"/>
    <w:rsid w:val="00D60E63"/>
    <w:rsid w:val="00D62BE6"/>
    <w:rsid w:val="00D649E3"/>
    <w:rsid w:val="00D66FA7"/>
    <w:rsid w:val="00D711ED"/>
    <w:rsid w:val="00D71633"/>
    <w:rsid w:val="00D7307B"/>
    <w:rsid w:val="00D95F68"/>
    <w:rsid w:val="00D9794C"/>
    <w:rsid w:val="00DA4997"/>
    <w:rsid w:val="00DA5619"/>
    <w:rsid w:val="00DB74F6"/>
    <w:rsid w:val="00DC02F4"/>
    <w:rsid w:val="00DC3E95"/>
    <w:rsid w:val="00DD2C5B"/>
    <w:rsid w:val="00DD3AF5"/>
    <w:rsid w:val="00DD6F6E"/>
    <w:rsid w:val="00DE0D88"/>
    <w:rsid w:val="00DE1FD1"/>
    <w:rsid w:val="00DE34A8"/>
    <w:rsid w:val="00DE352E"/>
    <w:rsid w:val="00DE3EDB"/>
    <w:rsid w:val="00DE4C36"/>
    <w:rsid w:val="00DF0E55"/>
    <w:rsid w:val="00E05659"/>
    <w:rsid w:val="00E14F6C"/>
    <w:rsid w:val="00E201F4"/>
    <w:rsid w:val="00E23F9B"/>
    <w:rsid w:val="00E252DD"/>
    <w:rsid w:val="00E32B1C"/>
    <w:rsid w:val="00E32E61"/>
    <w:rsid w:val="00E35AE2"/>
    <w:rsid w:val="00E471F4"/>
    <w:rsid w:val="00E54AE2"/>
    <w:rsid w:val="00E617FD"/>
    <w:rsid w:val="00E7568E"/>
    <w:rsid w:val="00E80982"/>
    <w:rsid w:val="00E84371"/>
    <w:rsid w:val="00E870A5"/>
    <w:rsid w:val="00E9028E"/>
    <w:rsid w:val="00E92247"/>
    <w:rsid w:val="00E92CD5"/>
    <w:rsid w:val="00EA2206"/>
    <w:rsid w:val="00EB0814"/>
    <w:rsid w:val="00EB1335"/>
    <w:rsid w:val="00EB16E1"/>
    <w:rsid w:val="00EB651B"/>
    <w:rsid w:val="00EC20E4"/>
    <w:rsid w:val="00EC53EF"/>
    <w:rsid w:val="00ED078F"/>
    <w:rsid w:val="00EE298C"/>
    <w:rsid w:val="00EF271D"/>
    <w:rsid w:val="00F00627"/>
    <w:rsid w:val="00F01489"/>
    <w:rsid w:val="00F03028"/>
    <w:rsid w:val="00F058DD"/>
    <w:rsid w:val="00F05A68"/>
    <w:rsid w:val="00F14BDB"/>
    <w:rsid w:val="00F14C77"/>
    <w:rsid w:val="00F15891"/>
    <w:rsid w:val="00F2112C"/>
    <w:rsid w:val="00F21A96"/>
    <w:rsid w:val="00F24BF5"/>
    <w:rsid w:val="00F34668"/>
    <w:rsid w:val="00F42D9F"/>
    <w:rsid w:val="00F571D9"/>
    <w:rsid w:val="00F607AA"/>
    <w:rsid w:val="00F7167D"/>
    <w:rsid w:val="00F722D9"/>
    <w:rsid w:val="00F733A3"/>
    <w:rsid w:val="00F73C8F"/>
    <w:rsid w:val="00F73F80"/>
    <w:rsid w:val="00F75BAC"/>
    <w:rsid w:val="00F84D44"/>
    <w:rsid w:val="00F91198"/>
    <w:rsid w:val="00F9332B"/>
    <w:rsid w:val="00F94FC2"/>
    <w:rsid w:val="00F95064"/>
    <w:rsid w:val="00FA17B4"/>
    <w:rsid w:val="00FA7500"/>
    <w:rsid w:val="00FB5FB0"/>
    <w:rsid w:val="00FB6EEC"/>
    <w:rsid w:val="00FB7AB5"/>
    <w:rsid w:val="00FC1445"/>
    <w:rsid w:val="00FC34B0"/>
    <w:rsid w:val="00FC4537"/>
    <w:rsid w:val="00FC734F"/>
    <w:rsid w:val="00FD1D16"/>
    <w:rsid w:val="00FE7874"/>
    <w:rsid w:val="00FF00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3B52C"/>
  <w15:docId w15:val="{99F48E38-8089-43AE-807C-C76F29C7F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48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BD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C2E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7617"/>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4A00"/>
    <w:pPr>
      <w:ind w:left="720"/>
      <w:contextualSpacing/>
    </w:pPr>
  </w:style>
  <w:style w:type="character" w:customStyle="1" w:styleId="Heading1Char">
    <w:name w:val="Heading 1 Char"/>
    <w:basedOn w:val="DefaultParagraphFont"/>
    <w:link w:val="Heading1"/>
    <w:uiPriority w:val="9"/>
    <w:rsid w:val="00583BD0"/>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583BD0"/>
  </w:style>
  <w:style w:type="paragraph" w:styleId="BalloonText">
    <w:name w:val="Balloon Text"/>
    <w:basedOn w:val="Normal"/>
    <w:link w:val="BalloonTextChar"/>
    <w:uiPriority w:val="99"/>
    <w:semiHidden/>
    <w:unhideWhenUsed/>
    <w:rsid w:val="001963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63F2"/>
    <w:rPr>
      <w:rFonts w:ascii="Tahoma" w:hAnsi="Tahoma" w:cs="Tahoma"/>
      <w:sz w:val="16"/>
      <w:szCs w:val="16"/>
    </w:rPr>
  </w:style>
  <w:style w:type="paragraph" w:styleId="Header">
    <w:name w:val="header"/>
    <w:basedOn w:val="Normal"/>
    <w:link w:val="HeaderChar"/>
    <w:uiPriority w:val="99"/>
    <w:unhideWhenUsed/>
    <w:rsid w:val="005254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549E"/>
  </w:style>
  <w:style w:type="paragraph" w:styleId="Footer">
    <w:name w:val="footer"/>
    <w:basedOn w:val="Normal"/>
    <w:link w:val="FooterChar"/>
    <w:uiPriority w:val="99"/>
    <w:unhideWhenUsed/>
    <w:rsid w:val="005254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549E"/>
  </w:style>
  <w:style w:type="paragraph" w:styleId="Caption">
    <w:name w:val="caption"/>
    <w:basedOn w:val="Normal"/>
    <w:next w:val="Normal"/>
    <w:uiPriority w:val="35"/>
    <w:unhideWhenUsed/>
    <w:qFormat/>
    <w:rsid w:val="002A608C"/>
    <w:pPr>
      <w:spacing w:after="200" w:line="240" w:lineRule="auto"/>
    </w:pPr>
    <w:rPr>
      <w:b/>
      <w:bCs/>
      <w:color w:val="5B9BD5" w:themeColor="accent1"/>
      <w:sz w:val="18"/>
      <w:szCs w:val="18"/>
    </w:rPr>
  </w:style>
  <w:style w:type="character" w:customStyle="1" w:styleId="Heading2Char">
    <w:name w:val="Heading 2 Char"/>
    <w:basedOn w:val="DefaultParagraphFont"/>
    <w:link w:val="Heading2"/>
    <w:uiPriority w:val="9"/>
    <w:rsid w:val="007C2E94"/>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7C2E94"/>
    <w:rPr>
      <w:color w:val="0000FF"/>
      <w:u w:val="single"/>
    </w:rPr>
  </w:style>
  <w:style w:type="table" w:styleId="TableGrid">
    <w:name w:val="Table Grid"/>
    <w:basedOn w:val="TableNormal"/>
    <w:uiPriority w:val="39"/>
    <w:rsid w:val="007C2E94"/>
    <w:pPr>
      <w:spacing w:after="0" w:line="240" w:lineRule="auto"/>
      <w:jc w:val="left"/>
    </w:pPr>
    <w:rPr>
      <w:rFonts w:ascii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C2E94"/>
    <w:pPr>
      <w:spacing w:line="259" w:lineRule="auto"/>
      <w:jc w:val="left"/>
      <w:outlineLvl w:val="9"/>
    </w:pPr>
  </w:style>
  <w:style w:type="paragraph" w:styleId="TOC1">
    <w:name w:val="toc 1"/>
    <w:basedOn w:val="Normal"/>
    <w:next w:val="Normal"/>
    <w:autoRedefine/>
    <w:uiPriority w:val="39"/>
    <w:unhideWhenUsed/>
    <w:rsid w:val="007C2E94"/>
    <w:pPr>
      <w:spacing w:after="100" w:line="259" w:lineRule="auto"/>
      <w:jc w:val="left"/>
    </w:pPr>
    <w:rPr>
      <w:rFonts w:asciiTheme="minorHAnsi" w:hAnsiTheme="minorHAnsi" w:cstheme="minorBidi"/>
      <w:sz w:val="22"/>
      <w:szCs w:val="22"/>
    </w:rPr>
  </w:style>
  <w:style w:type="paragraph" w:styleId="TOC2">
    <w:name w:val="toc 2"/>
    <w:basedOn w:val="Normal"/>
    <w:next w:val="Normal"/>
    <w:autoRedefine/>
    <w:uiPriority w:val="39"/>
    <w:unhideWhenUsed/>
    <w:rsid w:val="007C2E94"/>
    <w:pPr>
      <w:spacing w:after="100" w:line="259" w:lineRule="auto"/>
      <w:ind w:left="220"/>
      <w:jc w:val="left"/>
    </w:pPr>
    <w:rPr>
      <w:rFonts w:asciiTheme="minorHAnsi" w:hAnsiTheme="minorHAnsi" w:cstheme="minorBidi"/>
      <w:sz w:val="22"/>
      <w:szCs w:val="22"/>
    </w:rPr>
  </w:style>
  <w:style w:type="character" w:customStyle="1" w:styleId="Heading3Char">
    <w:name w:val="Heading 3 Char"/>
    <w:basedOn w:val="DefaultParagraphFont"/>
    <w:link w:val="Heading3"/>
    <w:uiPriority w:val="9"/>
    <w:rsid w:val="005E7617"/>
    <w:rPr>
      <w:rFonts w:asciiTheme="majorHAnsi" w:eastAsiaTheme="majorEastAsia" w:hAnsiTheme="majorHAnsi" w:cstheme="majorBidi"/>
      <w:color w:val="1F4D78"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56365">
      <w:bodyDiv w:val="1"/>
      <w:marLeft w:val="0"/>
      <w:marRight w:val="0"/>
      <w:marTop w:val="0"/>
      <w:marBottom w:val="0"/>
      <w:divBdr>
        <w:top w:val="none" w:sz="0" w:space="0" w:color="auto"/>
        <w:left w:val="none" w:sz="0" w:space="0" w:color="auto"/>
        <w:bottom w:val="none" w:sz="0" w:space="0" w:color="auto"/>
        <w:right w:val="none" w:sz="0" w:space="0" w:color="auto"/>
      </w:divBdr>
    </w:div>
    <w:div w:id="119884728">
      <w:bodyDiv w:val="1"/>
      <w:marLeft w:val="0"/>
      <w:marRight w:val="0"/>
      <w:marTop w:val="0"/>
      <w:marBottom w:val="0"/>
      <w:divBdr>
        <w:top w:val="none" w:sz="0" w:space="0" w:color="auto"/>
        <w:left w:val="none" w:sz="0" w:space="0" w:color="auto"/>
        <w:bottom w:val="none" w:sz="0" w:space="0" w:color="auto"/>
        <w:right w:val="none" w:sz="0" w:space="0" w:color="auto"/>
      </w:divBdr>
    </w:div>
    <w:div w:id="167258559">
      <w:bodyDiv w:val="1"/>
      <w:marLeft w:val="0"/>
      <w:marRight w:val="0"/>
      <w:marTop w:val="0"/>
      <w:marBottom w:val="0"/>
      <w:divBdr>
        <w:top w:val="none" w:sz="0" w:space="0" w:color="auto"/>
        <w:left w:val="none" w:sz="0" w:space="0" w:color="auto"/>
        <w:bottom w:val="none" w:sz="0" w:space="0" w:color="auto"/>
        <w:right w:val="none" w:sz="0" w:space="0" w:color="auto"/>
      </w:divBdr>
    </w:div>
    <w:div w:id="214245065">
      <w:bodyDiv w:val="1"/>
      <w:marLeft w:val="0"/>
      <w:marRight w:val="0"/>
      <w:marTop w:val="0"/>
      <w:marBottom w:val="0"/>
      <w:divBdr>
        <w:top w:val="none" w:sz="0" w:space="0" w:color="auto"/>
        <w:left w:val="none" w:sz="0" w:space="0" w:color="auto"/>
        <w:bottom w:val="none" w:sz="0" w:space="0" w:color="auto"/>
        <w:right w:val="none" w:sz="0" w:space="0" w:color="auto"/>
      </w:divBdr>
    </w:div>
    <w:div w:id="232856505">
      <w:bodyDiv w:val="1"/>
      <w:marLeft w:val="0"/>
      <w:marRight w:val="0"/>
      <w:marTop w:val="0"/>
      <w:marBottom w:val="0"/>
      <w:divBdr>
        <w:top w:val="none" w:sz="0" w:space="0" w:color="auto"/>
        <w:left w:val="none" w:sz="0" w:space="0" w:color="auto"/>
        <w:bottom w:val="none" w:sz="0" w:space="0" w:color="auto"/>
        <w:right w:val="none" w:sz="0" w:space="0" w:color="auto"/>
      </w:divBdr>
    </w:div>
    <w:div w:id="313611487">
      <w:bodyDiv w:val="1"/>
      <w:marLeft w:val="0"/>
      <w:marRight w:val="0"/>
      <w:marTop w:val="0"/>
      <w:marBottom w:val="0"/>
      <w:divBdr>
        <w:top w:val="none" w:sz="0" w:space="0" w:color="auto"/>
        <w:left w:val="none" w:sz="0" w:space="0" w:color="auto"/>
        <w:bottom w:val="none" w:sz="0" w:space="0" w:color="auto"/>
        <w:right w:val="none" w:sz="0" w:space="0" w:color="auto"/>
      </w:divBdr>
    </w:div>
    <w:div w:id="336153231">
      <w:bodyDiv w:val="1"/>
      <w:marLeft w:val="0"/>
      <w:marRight w:val="0"/>
      <w:marTop w:val="0"/>
      <w:marBottom w:val="0"/>
      <w:divBdr>
        <w:top w:val="none" w:sz="0" w:space="0" w:color="auto"/>
        <w:left w:val="none" w:sz="0" w:space="0" w:color="auto"/>
        <w:bottom w:val="none" w:sz="0" w:space="0" w:color="auto"/>
        <w:right w:val="none" w:sz="0" w:space="0" w:color="auto"/>
      </w:divBdr>
    </w:div>
    <w:div w:id="369457784">
      <w:bodyDiv w:val="1"/>
      <w:marLeft w:val="0"/>
      <w:marRight w:val="0"/>
      <w:marTop w:val="0"/>
      <w:marBottom w:val="0"/>
      <w:divBdr>
        <w:top w:val="none" w:sz="0" w:space="0" w:color="auto"/>
        <w:left w:val="none" w:sz="0" w:space="0" w:color="auto"/>
        <w:bottom w:val="none" w:sz="0" w:space="0" w:color="auto"/>
        <w:right w:val="none" w:sz="0" w:space="0" w:color="auto"/>
      </w:divBdr>
    </w:div>
    <w:div w:id="633877554">
      <w:bodyDiv w:val="1"/>
      <w:marLeft w:val="0"/>
      <w:marRight w:val="0"/>
      <w:marTop w:val="0"/>
      <w:marBottom w:val="0"/>
      <w:divBdr>
        <w:top w:val="none" w:sz="0" w:space="0" w:color="auto"/>
        <w:left w:val="none" w:sz="0" w:space="0" w:color="auto"/>
        <w:bottom w:val="none" w:sz="0" w:space="0" w:color="auto"/>
        <w:right w:val="none" w:sz="0" w:space="0" w:color="auto"/>
      </w:divBdr>
    </w:div>
    <w:div w:id="729766796">
      <w:bodyDiv w:val="1"/>
      <w:marLeft w:val="0"/>
      <w:marRight w:val="0"/>
      <w:marTop w:val="0"/>
      <w:marBottom w:val="0"/>
      <w:divBdr>
        <w:top w:val="none" w:sz="0" w:space="0" w:color="auto"/>
        <w:left w:val="none" w:sz="0" w:space="0" w:color="auto"/>
        <w:bottom w:val="none" w:sz="0" w:space="0" w:color="auto"/>
        <w:right w:val="none" w:sz="0" w:space="0" w:color="auto"/>
      </w:divBdr>
    </w:div>
    <w:div w:id="804199880">
      <w:bodyDiv w:val="1"/>
      <w:marLeft w:val="0"/>
      <w:marRight w:val="0"/>
      <w:marTop w:val="0"/>
      <w:marBottom w:val="0"/>
      <w:divBdr>
        <w:top w:val="none" w:sz="0" w:space="0" w:color="auto"/>
        <w:left w:val="none" w:sz="0" w:space="0" w:color="auto"/>
        <w:bottom w:val="none" w:sz="0" w:space="0" w:color="auto"/>
        <w:right w:val="none" w:sz="0" w:space="0" w:color="auto"/>
      </w:divBdr>
    </w:div>
    <w:div w:id="828717503">
      <w:bodyDiv w:val="1"/>
      <w:marLeft w:val="0"/>
      <w:marRight w:val="0"/>
      <w:marTop w:val="0"/>
      <w:marBottom w:val="0"/>
      <w:divBdr>
        <w:top w:val="none" w:sz="0" w:space="0" w:color="auto"/>
        <w:left w:val="none" w:sz="0" w:space="0" w:color="auto"/>
        <w:bottom w:val="none" w:sz="0" w:space="0" w:color="auto"/>
        <w:right w:val="none" w:sz="0" w:space="0" w:color="auto"/>
      </w:divBdr>
    </w:div>
    <w:div w:id="856381952">
      <w:bodyDiv w:val="1"/>
      <w:marLeft w:val="0"/>
      <w:marRight w:val="0"/>
      <w:marTop w:val="0"/>
      <w:marBottom w:val="0"/>
      <w:divBdr>
        <w:top w:val="none" w:sz="0" w:space="0" w:color="auto"/>
        <w:left w:val="none" w:sz="0" w:space="0" w:color="auto"/>
        <w:bottom w:val="none" w:sz="0" w:space="0" w:color="auto"/>
        <w:right w:val="none" w:sz="0" w:space="0" w:color="auto"/>
      </w:divBdr>
    </w:div>
    <w:div w:id="949967773">
      <w:bodyDiv w:val="1"/>
      <w:marLeft w:val="0"/>
      <w:marRight w:val="0"/>
      <w:marTop w:val="0"/>
      <w:marBottom w:val="0"/>
      <w:divBdr>
        <w:top w:val="none" w:sz="0" w:space="0" w:color="auto"/>
        <w:left w:val="none" w:sz="0" w:space="0" w:color="auto"/>
        <w:bottom w:val="none" w:sz="0" w:space="0" w:color="auto"/>
        <w:right w:val="none" w:sz="0" w:space="0" w:color="auto"/>
      </w:divBdr>
    </w:div>
    <w:div w:id="991372134">
      <w:bodyDiv w:val="1"/>
      <w:marLeft w:val="0"/>
      <w:marRight w:val="0"/>
      <w:marTop w:val="0"/>
      <w:marBottom w:val="0"/>
      <w:divBdr>
        <w:top w:val="none" w:sz="0" w:space="0" w:color="auto"/>
        <w:left w:val="none" w:sz="0" w:space="0" w:color="auto"/>
        <w:bottom w:val="none" w:sz="0" w:space="0" w:color="auto"/>
        <w:right w:val="none" w:sz="0" w:space="0" w:color="auto"/>
      </w:divBdr>
    </w:div>
    <w:div w:id="1070078727">
      <w:bodyDiv w:val="1"/>
      <w:marLeft w:val="0"/>
      <w:marRight w:val="0"/>
      <w:marTop w:val="0"/>
      <w:marBottom w:val="0"/>
      <w:divBdr>
        <w:top w:val="none" w:sz="0" w:space="0" w:color="auto"/>
        <w:left w:val="none" w:sz="0" w:space="0" w:color="auto"/>
        <w:bottom w:val="none" w:sz="0" w:space="0" w:color="auto"/>
        <w:right w:val="none" w:sz="0" w:space="0" w:color="auto"/>
      </w:divBdr>
    </w:div>
    <w:div w:id="1149976743">
      <w:bodyDiv w:val="1"/>
      <w:marLeft w:val="0"/>
      <w:marRight w:val="0"/>
      <w:marTop w:val="0"/>
      <w:marBottom w:val="0"/>
      <w:divBdr>
        <w:top w:val="none" w:sz="0" w:space="0" w:color="auto"/>
        <w:left w:val="none" w:sz="0" w:space="0" w:color="auto"/>
        <w:bottom w:val="none" w:sz="0" w:space="0" w:color="auto"/>
        <w:right w:val="none" w:sz="0" w:space="0" w:color="auto"/>
      </w:divBdr>
    </w:div>
    <w:div w:id="1175340474">
      <w:bodyDiv w:val="1"/>
      <w:marLeft w:val="0"/>
      <w:marRight w:val="0"/>
      <w:marTop w:val="0"/>
      <w:marBottom w:val="0"/>
      <w:divBdr>
        <w:top w:val="none" w:sz="0" w:space="0" w:color="auto"/>
        <w:left w:val="none" w:sz="0" w:space="0" w:color="auto"/>
        <w:bottom w:val="none" w:sz="0" w:space="0" w:color="auto"/>
        <w:right w:val="none" w:sz="0" w:space="0" w:color="auto"/>
      </w:divBdr>
    </w:div>
    <w:div w:id="1212811020">
      <w:bodyDiv w:val="1"/>
      <w:marLeft w:val="0"/>
      <w:marRight w:val="0"/>
      <w:marTop w:val="0"/>
      <w:marBottom w:val="0"/>
      <w:divBdr>
        <w:top w:val="none" w:sz="0" w:space="0" w:color="auto"/>
        <w:left w:val="none" w:sz="0" w:space="0" w:color="auto"/>
        <w:bottom w:val="none" w:sz="0" w:space="0" w:color="auto"/>
        <w:right w:val="none" w:sz="0" w:space="0" w:color="auto"/>
      </w:divBdr>
    </w:div>
    <w:div w:id="1243833855">
      <w:bodyDiv w:val="1"/>
      <w:marLeft w:val="0"/>
      <w:marRight w:val="0"/>
      <w:marTop w:val="0"/>
      <w:marBottom w:val="0"/>
      <w:divBdr>
        <w:top w:val="none" w:sz="0" w:space="0" w:color="auto"/>
        <w:left w:val="none" w:sz="0" w:space="0" w:color="auto"/>
        <w:bottom w:val="none" w:sz="0" w:space="0" w:color="auto"/>
        <w:right w:val="none" w:sz="0" w:space="0" w:color="auto"/>
      </w:divBdr>
    </w:div>
    <w:div w:id="1264653337">
      <w:bodyDiv w:val="1"/>
      <w:marLeft w:val="0"/>
      <w:marRight w:val="0"/>
      <w:marTop w:val="0"/>
      <w:marBottom w:val="0"/>
      <w:divBdr>
        <w:top w:val="none" w:sz="0" w:space="0" w:color="auto"/>
        <w:left w:val="none" w:sz="0" w:space="0" w:color="auto"/>
        <w:bottom w:val="none" w:sz="0" w:space="0" w:color="auto"/>
        <w:right w:val="none" w:sz="0" w:space="0" w:color="auto"/>
      </w:divBdr>
    </w:div>
    <w:div w:id="1281302534">
      <w:bodyDiv w:val="1"/>
      <w:marLeft w:val="0"/>
      <w:marRight w:val="0"/>
      <w:marTop w:val="0"/>
      <w:marBottom w:val="0"/>
      <w:divBdr>
        <w:top w:val="none" w:sz="0" w:space="0" w:color="auto"/>
        <w:left w:val="none" w:sz="0" w:space="0" w:color="auto"/>
        <w:bottom w:val="none" w:sz="0" w:space="0" w:color="auto"/>
        <w:right w:val="none" w:sz="0" w:space="0" w:color="auto"/>
      </w:divBdr>
    </w:div>
    <w:div w:id="1331131032">
      <w:bodyDiv w:val="1"/>
      <w:marLeft w:val="0"/>
      <w:marRight w:val="0"/>
      <w:marTop w:val="0"/>
      <w:marBottom w:val="0"/>
      <w:divBdr>
        <w:top w:val="none" w:sz="0" w:space="0" w:color="auto"/>
        <w:left w:val="none" w:sz="0" w:space="0" w:color="auto"/>
        <w:bottom w:val="none" w:sz="0" w:space="0" w:color="auto"/>
        <w:right w:val="none" w:sz="0" w:space="0" w:color="auto"/>
      </w:divBdr>
    </w:div>
    <w:div w:id="1367872483">
      <w:bodyDiv w:val="1"/>
      <w:marLeft w:val="0"/>
      <w:marRight w:val="0"/>
      <w:marTop w:val="0"/>
      <w:marBottom w:val="0"/>
      <w:divBdr>
        <w:top w:val="none" w:sz="0" w:space="0" w:color="auto"/>
        <w:left w:val="none" w:sz="0" w:space="0" w:color="auto"/>
        <w:bottom w:val="none" w:sz="0" w:space="0" w:color="auto"/>
        <w:right w:val="none" w:sz="0" w:space="0" w:color="auto"/>
      </w:divBdr>
    </w:div>
    <w:div w:id="1377852547">
      <w:bodyDiv w:val="1"/>
      <w:marLeft w:val="0"/>
      <w:marRight w:val="0"/>
      <w:marTop w:val="0"/>
      <w:marBottom w:val="0"/>
      <w:divBdr>
        <w:top w:val="none" w:sz="0" w:space="0" w:color="auto"/>
        <w:left w:val="none" w:sz="0" w:space="0" w:color="auto"/>
        <w:bottom w:val="none" w:sz="0" w:space="0" w:color="auto"/>
        <w:right w:val="none" w:sz="0" w:space="0" w:color="auto"/>
      </w:divBdr>
    </w:div>
    <w:div w:id="1408529560">
      <w:bodyDiv w:val="1"/>
      <w:marLeft w:val="0"/>
      <w:marRight w:val="0"/>
      <w:marTop w:val="0"/>
      <w:marBottom w:val="0"/>
      <w:divBdr>
        <w:top w:val="none" w:sz="0" w:space="0" w:color="auto"/>
        <w:left w:val="none" w:sz="0" w:space="0" w:color="auto"/>
        <w:bottom w:val="none" w:sz="0" w:space="0" w:color="auto"/>
        <w:right w:val="none" w:sz="0" w:space="0" w:color="auto"/>
      </w:divBdr>
    </w:div>
    <w:div w:id="1445004826">
      <w:bodyDiv w:val="1"/>
      <w:marLeft w:val="0"/>
      <w:marRight w:val="0"/>
      <w:marTop w:val="0"/>
      <w:marBottom w:val="0"/>
      <w:divBdr>
        <w:top w:val="none" w:sz="0" w:space="0" w:color="auto"/>
        <w:left w:val="none" w:sz="0" w:space="0" w:color="auto"/>
        <w:bottom w:val="none" w:sz="0" w:space="0" w:color="auto"/>
        <w:right w:val="none" w:sz="0" w:space="0" w:color="auto"/>
      </w:divBdr>
    </w:div>
    <w:div w:id="1502621168">
      <w:bodyDiv w:val="1"/>
      <w:marLeft w:val="0"/>
      <w:marRight w:val="0"/>
      <w:marTop w:val="0"/>
      <w:marBottom w:val="0"/>
      <w:divBdr>
        <w:top w:val="none" w:sz="0" w:space="0" w:color="auto"/>
        <w:left w:val="none" w:sz="0" w:space="0" w:color="auto"/>
        <w:bottom w:val="none" w:sz="0" w:space="0" w:color="auto"/>
        <w:right w:val="none" w:sz="0" w:space="0" w:color="auto"/>
      </w:divBdr>
    </w:div>
    <w:div w:id="1507938696">
      <w:bodyDiv w:val="1"/>
      <w:marLeft w:val="0"/>
      <w:marRight w:val="0"/>
      <w:marTop w:val="0"/>
      <w:marBottom w:val="0"/>
      <w:divBdr>
        <w:top w:val="none" w:sz="0" w:space="0" w:color="auto"/>
        <w:left w:val="none" w:sz="0" w:space="0" w:color="auto"/>
        <w:bottom w:val="none" w:sz="0" w:space="0" w:color="auto"/>
        <w:right w:val="none" w:sz="0" w:space="0" w:color="auto"/>
      </w:divBdr>
    </w:div>
    <w:div w:id="1539394115">
      <w:bodyDiv w:val="1"/>
      <w:marLeft w:val="0"/>
      <w:marRight w:val="0"/>
      <w:marTop w:val="0"/>
      <w:marBottom w:val="0"/>
      <w:divBdr>
        <w:top w:val="none" w:sz="0" w:space="0" w:color="auto"/>
        <w:left w:val="none" w:sz="0" w:space="0" w:color="auto"/>
        <w:bottom w:val="none" w:sz="0" w:space="0" w:color="auto"/>
        <w:right w:val="none" w:sz="0" w:space="0" w:color="auto"/>
      </w:divBdr>
    </w:div>
    <w:div w:id="1609460131">
      <w:bodyDiv w:val="1"/>
      <w:marLeft w:val="0"/>
      <w:marRight w:val="0"/>
      <w:marTop w:val="0"/>
      <w:marBottom w:val="0"/>
      <w:divBdr>
        <w:top w:val="none" w:sz="0" w:space="0" w:color="auto"/>
        <w:left w:val="none" w:sz="0" w:space="0" w:color="auto"/>
        <w:bottom w:val="none" w:sz="0" w:space="0" w:color="auto"/>
        <w:right w:val="none" w:sz="0" w:space="0" w:color="auto"/>
      </w:divBdr>
    </w:div>
    <w:div w:id="1675761583">
      <w:bodyDiv w:val="1"/>
      <w:marLeft w:val="0"/>
      <w:marRight w:val="0"/>
      <w:marTop w:val="0"/>
      <w:marBottom w:val="0"/>
      <w:divBdr>
        <w:top w:val="none" w:sz="0" w:space="0" w:color="auto"/>
        <w:left w:val="none" w:sz="0" w:space="0" w:color="auto"/>
        <w:bottom w:val="none" w:sz="0" w:space="0" w:color="auto"/>
        <w:right w:val="none" w:sz="0" w:space="0" w:color="auto"/>
      </w:divBdr>
    </w:div>
    <w:div w:id="1694576300">
      <w:bodyDiv w:val="1"/>
      <w:marLeft w:val="0"/>
      <w:marRight w:val="0"/>
      <w:marTop w:val="0"/>
      <w:marBottom w:val="0"/>
      <w:divBdr>
        <w:top w:val="none" w:sz="0" w:space="0" w:color="auto"/>
        <w:left w:val="none" w:sz="0" w:space="0" w:color="auto"/>
        <w:bottom w:val="none" w:sz="0" w:space="0" w:color="auto"/>
        <w:right w:val="none" w:sz="0" w:space="0" w:color="auto"/>
      </w:divBdr>
    </w:div>
    <w:div w:id="1729496742">
      <w:bodyDiv w:val="1"/>
      <w:marLeft w:val="0"/>
      <w:marRight w:val="0"/>
      <w:marTop w:val="0"/>
      <w:marBottom w:val="0"/>
      <w:divBdr>
        <w:top w:val="none" w:sz="0" w:space="0" w:color="auto"/>
        <w:left w:val="none" w:sz="0" w:space="0" w:color="auto"/>
        <w:bottom w:val="none" w:sz="0" w:space="0" w:color="auto"/>
        <w:right w:val="none" w:sz="0" w:space="0" w:color="auto"/>
      </w:divBdr>
    </w:div>
    <w:div w:id="1817063889">
      <w:bodyDiv w:val="1"/>
      <w:marLeft w:val="0"/>
      <w:marRight w:val="0"/>
      <w:marTop w:val="0"/>
      <w:marBottom w:val="0"/>
      <w:divBdr>
        <w:top w:val="none" w:sz="0" w:space="0" w:color="auto"/>
        <w:left w:val="none" w:sz="0" w:space="0" w:color="auto"/>
        <w:bottom w:val="none" w:sz="0" w:space="0" w:color="auto"/>
        <w:right w:val="none" w:sz="0" w:space="0" w:color="auto"/>
      </w:divBdr>
    </w:div>
    <w:div w:id="1862890643">
      <w:bodyDiv w:val="1"/>
      <w:marLeft w:val="0"/>
      <w:marRight w:val="0"/>
      <w:marTop w:val="0"/>
      <w:marBottom w:val="0"/>
      <w:divBdr>
        <w:top w:val="none" w:sz="0" w:space="0" w:color="auto"/>
        <w:left w:val="none" w:sz="0" w:space="0" w:color="auto"/>
        <w:bottom w:val="none" w:sz="0" w:space="0" w:color="auto"/>
        <w:right w:val="none" w:sz="0" w:space="0" w:color="auto"/>
      </w:divBdr>
    </w:div>
    <w:div w:id="1880241417">
      <w:bodyDiv w:val="1"/>
      <w:marLeft w:val="0"/>
      <w:marRight w:val="0"/>
      <w:marTop w:val="0"/>
      <w:marBottom w:val="0"/>
      <w:divBdr>
        <w:top w:val="none" w:sz="0" w:space="0" w:color="auto"/>
        <w:left w:val="none" w:sz="0" w:space="0" w:color="auto"/>
        <w:bottom w:val="none" w:sz="0" w:space="0" w:color="auto"/>
        <w:right w:val="none" w:sz="0" w:space="0" w:color="auto"/>
      </w:divBdr>
    </w:div>
    <w:div w:id="1907452917">
      <w:bodyDiv w:val="1"/>
      <w:marLeft w:val="0"/>
      <w:marRight w:val="0"/>
      <w:marTop w:val="0"/>
      <w:marBottom w:val="0"/>
      <w:divBdr>
        <w:top w:val="none" w:sz="0" w:space="0" w:color="auto"/>
        <w:left w:val="none" w:sz="0" w:space="0" w:color="auto"/>
        <w:bottom w:val="none" w:sz="0" w:space="0" w:color="auto"/>
        <w:right w:val="none" w:sz="0" w:space="0" w:color="auto"/>
      </w:divBdr>
    </w:div>
    <w:div w:id="1934894428">
      <w:bodyDiv w:val="1"/>
      <w:marLeft w:val="0"/>
      <w:marRight w:val="0"/>
      <w:marTop w:val="0"/>
      <w:marBottom w:val="0"/>
      <w:divBdr>
        <w:top w:val="none" w:sz="0" w:space="0" w:color="auto"/>
        <w:left w:val="none" w:sz="0" w:space="0" w:color="auto"/>
        <w:bottom w:val="none" w:sz="0" w:space="0" w:color="auto"/>
        <w:right w:val="none" w:sz="0" w:space="0" w:color="auto"/>
      </w:divBdr>
    </w:div>
    <w:div w:id="1942030177">
      <w:bodyDiv w:val="1"/>
      <w:marLeft w:val="0"/>
      <w:marRight w:val="0"/>
      <w:marTop w:val="0"/>
      <w:marBottom w:val="0"/>
      <w:divBdr>
        <w:top w:val="none" w:sz="0" w:space="0" w:color="auto"/>
        <w:left w:val="none" w:sz="0" w:space="0" w:color="auto"/>
        <w:bottom w:val="none" w:sz="0" w:space="0" w:color="auto"/>
        <w:right w:val="none" w:sz="0" w:space="0" w:color="auto"/>
      </w:divBdr>
    </w:div>
    <w:div w:id="1958369597">
      <w:bodyDiv w:val="1"/>
      <w:marLeft w:val="0"/>
      <w:marRight w:val="0"/>
      <w:marTop w:val="0"/>
      <w:marBottom w:val="0"/>
      <w:divBdr>
        <w:top w:val="none" w:sz="0" w:space="0" w:color="auto"/>
        <w:left w:val="none" w:sz="0" w:space="0" w:color="auto"/>
        <w:bottom w:val="none" w:sz="0" w:space="0" w:color="auto"/>
        <w:right w:val="none" w:sz="0" w:space="0" w:color="auto"/>
      </w:divBdr>
    </w:div>
    <w:div w:id="1989288003">
      <w:bodyDiv w:val="1"/>
      <w:marLeft w:val="0"/>
      <w:marRight w:val="0"/>
      <w:marTop w:val="0"/>
      <w:marBottom w:val="0"/>
      <w:divBdr>
        <w:top w:val="none" w:sz="0" w:space="0" w:color="auto"/>
        <w:left w:val="none" w:sz="0" w:space="0" w:color="auto"/>
        <w:bottom w:val="none" w:sz="0" w:space="0" w:color="auto"/>
        <w:right w:val="none" w:sz="0" w:space="0" w:color="auto"/>
      </w:divBdr>
    </w:div>
    <w:div w:id="1997955890">
      <w:bodyDiv w:val="1"/>
      <w:marLeft w:val="0"/>
      <w:marRight w:val="0"/>
      <w:marTop w:val="0"/>
      <w:marBottom w:val="0"/>
      <w:divBdr>
        <w:top w:val="none" w:sz="0" w:space="0" w:color="auto"/>
        <w:left w:val="none" w:sz="0" w:space="0" w:color="auto"/>
        <w:bottom w:val="none" w:sz="0" w:space="0" w:color="auto"/>
        <w:right w:val="none" w:sz="0" w:space="0" w:color="auto"/>
      </w:divBdr>
    </w:div>
    <w:div w:id="2037541408">
      <w:bodyDiv w:val="1"/>
      <w:marLeft w:val="0"/>
      <w:marRight w:val="0"/>
      <w:marTop w:val="0"/>
      <w:marBottom w:val="0"/>
      <w:divBdr>
        <w:top w:val="none" w:sz="0" w:space="0" w:color="auto"/>
        <w:left w:val="none" w:sz="0" w:space="0" w:color="auto"/>
        <w:bottom w:val="none" w:sz="0" w:space="0" w:color="auto"/>
        <w:right w:val="none" w:sz="0" w:space="0" w:color="auto"/>
      </w:divBdr>
    </w:div>
    <w:div w:id="2068138429">
      <w:bodyDiv w:val="1"/>
      <w:marLeft w:val="0"/>
      <w:marRight w:val="0"/>
      <w:marTop w:val="0"/>
      <w:marBottom w:val="0"/>
      <w:divBdr>
        <w:top w:val="none" w:sz="0" w:space="0" w:color="auto"/>
        <w:left w:val="none" w:sz="0" w:space="0" w:color="auto"/>
        <w:bottom w:val="none" w:sz="0" w:space="0" w:color="auto"/>
        <w:right w:val="none" w:sz="0" w:space="0" w:color="auto"/>
      </w:divBdr>
    </w:div>
    <w:div w:id="2127769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Ioa19</b:Tag>
    <b:SourceType>JournalArticle</b:SourceType>
    <b:Guid>{1BA7F94D-D9CB-434F-B00D-FF4B611AAB89}</b:Guid>
    <b:Author>
      <b:Author>
        <b:NameList>
          <b:Person>
            <b:Last>Palaiologou</b:Last>
            <b:First>Ioanna</b:First>
          </b:Person>
          <b:Person>
            <b:Last>Male</b:Last>
            <b:First>Trevor</b:First>
          </b:Person>
        </b:NameList>
      </b:Author>
    </b:Author>
    <b:Title>Leadership in early childhood education: The case for pedagogical praxis</b:Title>
    <b:JournalName>Contemporary Issues in Early Childhood: SAGE Journals </b:JournalName>
    <b:Year>2019</b:Year>
    <b:Volume>20</b:Volume>
    <b:Issue>1</b:Issue>
    <b:RefOrder>2</b:RefOrder>
  </b:Source>
  <b:Source>
    <b:Tag>Mar191</b:Tag>
    <b:SourceType>JournalArticle</b:SourceType>
    <b:Guid>{A99FA583-89CC-4B57-A290-98C0DE0D79B0}</b:Guid>
    <b:Author>
      <b:Author>
        <b:NameList>
          <b:Person>
            <b:Last>Grant</b:Last>
            <b:First>Marcus</b:First>
          </b:Person>
          <b:Person>
            <b:Last>Thompson</b:Last>
            <b:First>Susan</b:First>
          </b:Person>
        </b:NameList>
      </b:Author>
    </b:Author>
    <b:Title>Reflective Praxis: accelerating knowledge generation through reflecting on our research and practice</b:Title>
    <b:JournalName>Cities &amp; Health</b:JournalName>
    <b:Year>2019</b:Year>
    <b:Pages>91-95</b:Pages>
    <b:Volume>2</b:Volume>
    <b:Issue>2</b:Issue>
    <b:RefOrder>5</b:RefOrder>
  </b:Source>
  <b:Source>
    <b:Tag>Kel19</b:Tag>
    <b:SourceType>JournalArticle</b:SourceType>
    <b:Guid>{357B6CC7-8ABD-4075-BB12-1C03EDA8198C}</b:Guid>
    <b:Author>
      <b:Author>
        <b:NameList>
          <b:Person>
            <b:Last>Matthews</b:Last>
            <b:First>Kelly</b:First>
          </b:Person>
          <b:Person>
            <b:Last>Cook-Sather</b:Last>
            <b:First>Alison</b:First>
          </b:Person>
          <b:Person>
            <b:Last>Acai</b:Last>
            <b:First>Anita</b:First>
          </b:Person>
          <b:Person>
            <b:Last>Dvorakova</b:Last>
            <b:First>Sam</b:First>
            <b:Middle>Lucie</b:Middle>
          </b:Person>
          <b:Person>
            <b:Last>Felten</b:Last>
            <b:First>Peter</b:First>
          </b:Person>
          <b:Person>
            <b:Last>Marquis</b:Last>
            <b:First>Elizabeth</b:First>
          </b:Person>
          <b:Person>
            <b:Last>Mercer-Mapstone</b:Last>
            <b:First>Lucy</b:First>
          </b:Person>
        </b:NameList>
      </b:Author>
    </b:Author>
    <b:Title>Toward theories of partnership praxis: an analysis of interpretive framing in literature on students as partners in teaching and </b:Title>
    <b:JournalName>Higher Education Research &amp; Development</b:JournalName>
    <b:Year>2019</b:Year>
    <b:Pages>280-293</b:Pages>
    <b:Volume>38</b:Volume>
    <b:Issue>2</b:Issue>
    <b:RefOrder>1</b:RefOrder>
  </b:Source>
  <b:Source>
    <b:Tag>Kat19</b:Tag>
    <b:SourceType>JournalArticle</b:SourceType>
    <b:Guid>{A2D1E41E-4D6E-4A8A-AD5A-27250BD125AF}</b:Guid>
    <b:Author>
      <b:Author>
        <b:NameList>
          <b:Person>
            <b:Last>Mahon</b:Last>
            <b:First>Kathleen</b:First>
          </b:Person>
          <b:Person>
            <b:Last>Heikkinen</b:Last>
            <b:First>Hannu</b:First>
            <b:Middle>L. T.</b:Middle>
          </b:Person>
          <b:Person>
            <b:Last>Huttunen</b:Last>
            <b:First>Rauno</b:First>
          </b:Person>
        </b:NameList>
      </b:Author>
    </b:Author>
    <b:Title>Critical educational praxis in university ecosystems: enablers and constraints</b:Title>
    <b:JournalName>Pedagogy, Culture &amp; Society</b:JournalName>
    <b:Year>2019</b:Year>
    <b:Pages>463-480</b:Pages>
    <b:Volume>27</b:Volume>
    <b:Issue>3</b:Issue>
    <b:RefOrder>3</b:RefOrder>
  </b:Source>
  <b:Source>
    <b:Tag>Dev19</b:Tag>
    <b:SourceType>JournalArticle</b:SourceType>
    <b:Guid>{9F2B88C9-5617-49C1-8FEC-8D526B1623C4}</b:Guid>
    <b:Author>
      <b:Author>
        <b:NameList>
          <b:Person>
            <b:Last>Atallah</b:Last>
            <b:First>Devin</b:First>
            <b:Middle>G.</b:Middle>
          </b:Person>
          <b:Person>
            <b:Last>Bacigalupe</b:Last>
            <b:First>Gonzalo</b:First>
          </b:Person>
          <b:Person>
            <b:Last>Repetto</b:Last>
            <b:First>Paula</b:First>
          </b:Person>
        </b:NameList>
      </b:Author>
    </b:Author>
    <b:Title>Centering at the Margins: Critical Community Resilience Praxis</b:Title>
    <b:JournalName>Journal of Humanistic Psychology</b:JournalName>
    <b:Year>2019</b:Year>
    <b:Pages>1-31</b:Pages>
    <b:RefOrder>4</b:RefOrder>
  </b:Source>
  <b:Source>
    <b:Tag>Dor20</b:Tag>
    <b:SourceType>JournalArticle</b:SourceType>
    <b:Guid>{F144A427-9CD6-435E-BC2A-CE026D2E09C4}</b:Guid>
    <b:Author>
      <b:Author>
        <b:NameList>
          <b:Person>
            <b:Last>Santos</b:Last>
            <b:First>Doris</b:First>
          </b:Person>
          <b:Person>
            <b:Last>Soler</b:Last>
            <b:First>Sandra</b:First>
          </b:Person>
        </b:NameList>
      </b:Author>
    </b:Author>
    <b:Title>Pedagogical practice as ‘feeling-thinking’ praxis in higher education: a case study in Colombia</b:Title>
    <b:JournalName>Teaching in Higher Education</b:JournalName>
    <b:Year>2020</b:Year>
    <b:RefOrder>6</b:RefOrder>
  </b:Source>
  <b:Source>
    <b:Tag>Bia16</b:Tag>
    <b:SourceType>JournalArticle</b:SourceType>
    <b:Guid>{E3CC712D-A248-4D04-8031-B78F55BAA927}</b:Guid>
    <b:Author>
      <b:Author>
        <b:NameList>
          <b:Person>
            <b:Last>Biag</b:Last>
            <b:First>M.</b:First>
          </b:Person>
          <b:Person>
            <b:Last>Castrechini</b:Last>
            <b:First>S.</b:First>
          </b:Person>
        </b:NameList>
      </b:Author>
    </b:Author>
    <b:Title>Coordinated strategies to help the whole child: Examining the contributions of full-service community schools</b:Title>
    <b:JournalName>Journal of Education for Students Placed At Risk</b:JournalName>
    <b:Year>2016</b:Year>
    <b:Pages>157–173</b:Pages>
    <b:Volume>21</b:Volume>
    <b:Issue>3</b:Issue>
    <b:RefOrder>7</b:RefOrder>
  </b:Source>
  <b:Source>
    <b:Tag>Jef17</b:Tag>
    <b:SourceType>JournalArticle</b:SourceType>
    <b:Guid>{799499E5-0BDD-4E3C-BB5E-D9323497ED89}</b:Guid>
    <b:Author>
      <b:Author>
        <b:NameList>
          <b:Person>
            <b:Last>Rose</b:Last>
            <b:First>Jeff</b:First>
          </b:Person>
        </b:NameList>
      </b:Author>
    </b:Author>
    <b:Title>Developing and Sequencing Community Engagement and Experiential Education: A Case Study of Urban Geography Teaching and Research</b:Title>
    <b:JournalName>The Professional Geographer</b:JournalName>
    <b:Year>2017</b:Year>
    <b:Pages>1-7</b:Pages>
    <b:RefOrder>8</b:RefOrder>
  </b:Source>
</b:Sources>
</file>

<file path=customXml/itemProps1.xml><?xml version="1.0" encoding="utf-8"?>
<ds:datastoreItem xmlns:ds="http://schemas.openxmlformats.org/officeDocument/2006/customXml" ds:itemID="{803A0D1B-BF9C-419A-B670-D03B4BE9A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2417</Words>
  <Characters>13781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MOE</Company>
  <LinksUpToDate>false</LinksUpToDate>
  <CharactersWithSpaces>16166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Ms. Mutegi</dc:creator>
  <cp:lastModifiedBy>anamaria duman</cp:lastModifiedBy>
  <cp:revision>2</cp:revision>
  <dcterms:created xsi:type="dcterms:W3CDTF">2021-07-22T20:09:00Z</dcterms:created>
  <dcterms:modified xsi:type="dcterms:W3CDTF">2021-07-22T20:09:00Z</dcterms:modified>
</cp:coreProperties>
</file>