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F3A87" w14:textId="77777777"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 xml:space="preserve">Essay and detailed training </w:t>
      </w:r>
    </w:p>
    <w:p w14:paraId="19050923" w14:textId="77777777"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 xml:space="preserve">support materials </w:t>
      </w:r>
    </w:p>
    <w:p w14:paraId="60952D84" w14:textId="77777777" w:rsid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(including digital material).</w:t>
      </w:r>
    </w:p>
    <w:p w14:paraId="5F80064D" w14:textId="77777777" w:rsidR="00E47B5C" w:rsidRPr="00E47B5C" w:rsidRDefault="00E47B5C" w:rsidP="00E47B5C">
      <w:pPr>
        <w:spacing w:line="360" w:lineRule="auto"/>
        <w:jc w:val="center"/>
        <w:rPr>
          <w:rFonts w:ascii="Arial" w:hAnsi="Arial" w:cs="Arial"/>
          <w:b/>
          <w:bCs/>
          <w:sz w:val="32"/>
          <w:szCs w:val="32"/>
        </w:rPr>
      </w:pPr>
    </w:p>
    <w:p w14:paraId="5270A1C7" w14:textId="3200B7BA" w:rsid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 xml:space="preserve"> BMGM6003 – Staff Development Training</w:t>
      </w:r>
    </w:p>
    <w:p w14:paraId="0E502BD9" w14:textId="77777777" w:rsidR="00E47B5C" w:rsidRPr="00E47B5C" w:rsidRDefault="00E47B5C" w:rsidP="00E47B5C">
      <w:pPr>
        <w:spacing w:line="360" w:lineRule="auto"/>
        <w:jc w:val="center"/>
        <w:rPr>
          <w:rFonts w:ascii="Arial" w:hAnsi="Arial" w:cs="Arial"/>
          <w:b/>
          <w:bCs/>
          <w:sz w:val="32"/>
          <w:szCs w:val="32"/>
        </w:rPr>
      </w:pPr>
    </w:p>
    <w:p w14:paraId="6E7ED3DD" w14:textId="55FFFDB7" w:rsid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Lecturer: Antoinette Milne</w:t>
      </w:r>
    </w:p>
    <w:p w14:paraId="310E3450" w14:textId="77777777" w:rsidR="00E47B5C" w:rsidRPr="00E47B5C" w:rsidRDefault="00E47B5C" w:rsidP="00E47B5C">
      <w:pPr>
        <w:spacing w:line="360" w:lineRule="auto"/>
        <w:jc w:val="center"/>
        <w:rPr>
          <w:rFonts w:ascii="Arial" w:hAnsi="Arial" w:cs="Arial"/>
          <w:b/>
          <w:bCs/>
          <w:sz w:val="32"/>
          <w:szCs w:val="32"/>
        </w:rPr>
      </w:pPr>
    </w:p>
    <w:p w14:paraId="000DB632" w14:textId="77777777"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Presented by: Amdadur Rashid Masum</w:t>
      </w:r>
    </w:p>
    <w:p w14:paraId="392776FF" w14:textId="29135689"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Student ID: 2128870</w:t>
      </w:r>
    </w:p>
    <w:p w14:paraId="35323021" w14:textId="0E50D7A4" w:rsidR="00E47B5C" w:rsidRDefault="00E47B5C" w:rsidP="00E47B5C">
      <w:pPr>
        <w:spacing w:line="360" w:lineRule="auto"/>
        <w:jc w:val="center"/>
        <w:rPr>
          <w:rFonts w:ascii="Arial" w:hAnsi="Arial" w:cs="Arial"/>
          <w:sz w:val="24"/>
          <w:szCs w:val="24"/>
        </w:rPr>
      </w:pPr>
      <w:r>
        <w:rPr>
          <w:rFonts w:ascii="Arial" w:hAnsi="Arial" w:cs="Arial"/>
          <w:sz w:val="24"/>
          <w:szCs w:val="24"/>
        </w:rPr>
        <w:t>Word Count: 2109</w:t>
      </w:r>
    </w:p>
    <w:p w14:paraId="2053A4C1" w14:textId="77777777" w:rsidR="00E47B5C" w:rsidRDefault="00E47B5C" w:rsidP="00522CB2">
      <w:pPr>
        <w:spacing w:line="360" w:lineRule="auto"/>
        <w:rPr>
          <w:rFonts w:ascii="Arial" w:hAnsi="Arial" w:cs="Arial"/>
          <w:sz w:val="24"/>
          <w:szCs w:val="24"/>
        </w:rPr>
      </w:pPr>
    </w:p>
    <w:p w14:paraId="253A126B" w14:textId="77777777" w:rsidR="00E47B5C" w:rsidRDefault="00E47B5C" w:rsidP="00522CB2">
      <w:pPr>
        <w:spacing w:line="360" w:lineRule="auto"/>
        <w:rPr>
          <w:rFonts w:ascii="Arial" w:hAnsi="Arial" w:cs="Arial"/>
          <w:sz w:val="24"/>
          <w:szCs w:val="24"/>
        </w:rPr>
      </w:pPr>
    </w:p>
    <w:p w14:paraId="40CA70B4" w14:textId="77777777" w:rsidR="00E47B5C" w:rsidRDefault="00E47B5C" w:rsidP="00522CB2">
      <w:pPr>
        <w:spacing w:line="360" w:lineRule="auto"/>
        <w:rPr>
          <w:rFonts w:ascii="Arial" w:hAnsi="Arial" w:cs="Arial"/>
          <w:sz w:val="24"/>
          <w:szCs w:val="24"/>
        </w:rPr>
      </w:pPr>
    </w:p>
    <w:p w14:paraId="58D29CAA" w14:textId="77777777" w:rsidR="00E47B5C" w:rsidRDefault="00E47B5C" w:rsidP="00522CB2">
      <w:pPr>
        <w:spacing w:line="360" w:lineRule="auto"/>
        <w:rPr>
          <w:rFonts w:ascii="Arial" w:hAnsi="Arial" w:cs="Arial"/>
          <w:sz w:val="24"/>
          <w:szCs w:val="24"/>
        </w:rPr>
      </w:pPr>
    </w:p>
    <w:p w14:paraId="4ADE34BB" w14:textId="77777777" w:rsidR="00E47B5C" w:rsidRDefault="00E47B5C" w:rsidP="00522CB2">
      <w:pPr>
        <w:spacing w:line="360" w:lineRule="auto"/>
        <w:rPr>
          <w:rFonts w:ascii="Arial" w:hAnsi="Arial" w:cs="Arial"/>
          <w:sz w:val="24"/>
          <w:szCs w:val="24"/>
        </w:rPr>
      </w:pPr>
    </w:p>
    <w:p w14:paraId="2BFB08F7" w14:textId="77777777" w:rsidR="00E47B5C" w:rsidRDefault="00E47B5C" w:rsidP="00522CB2">
      <w:pPr>
        <w:spacing w:line="360" w:lineRule="auto"/>
        <w:rPr>
          <w:rFonts w:ascii="Arial" w:hAnsi="Arial" w:cs="Arial"/>
          <w:sz w:val="24"/>
          <w:szCs w:val="24"/>
        </w:rPr>
      </w:pPr>
    </w:p>
    <w:p w14:paraId="3426F0B8" w14:textId="77777777" w:rsidR="00E47B5C" w:rsidRDefault="00E47B5C" w:rsidP="00522CB2">
      <w:pPr>
        <w:spacing w:line="360" w:lineRule="auto"/>
        <w:rPr>
          <w:rFonts w:ascii="Arial" w:hAnsi="Arial" w:cs="Arial"/>
          <w:sz w:val="24"/>
          <w:szCs w:val="24"/>
        </w:rPr>
      </w:pPr>
    </w:p>
    <w:p w14:paraId="370320E4" w14:textId="77777777" w:rsidR="00E47B5C" w:rsidRDefault="00E47B5C" w:rsidP="00522CB2">
      <w:pPr>
        <w:spacing w:line="360" w:lineRule="auto"/>
        <w:rPr>
          <w:rFonts w:ascii="Arial" w:hAnsi="Arial" w:cs="Arial"/>
          <w:sz w:val="24"/>
          <w:szCs w:val="24"/>
        </w:rPr>
      </w:pPr>
    </w:p>
    <w:p w14:paraId="537A21BA" w14:textId="77777777" w:rsidR="00E47B5C" w:rsidRDefault="00E47B5C" w:rsidP="00522CB2">
      <w:pPr>
        <w:spacing w:line="360" w:lineRule="auto"/>
        <w:rPr>
          <w:rFonts w:ascii="Arial" w:hAnsi="Arial" w:cs="Arial"/>
          <w:sz w:val="24"/>
          <w:szCs w:val="24"/>
        </w:rPr>
      </w:pPr>
    </w:p>
    <w:p w14:paraId="59B85F24" w14:textId="77777777" w:rsidR="00E47B5C" w:rsidRDefault="00E47B5C" w:rsidP="00522CB2">
      <w:pPr>
        <w:spacing w:line="360" w:lineRule="auto"/>
        <w:rPr>
          <w:rFonts w:ascii="Arial" w:hAnsi="Arial" w:cs="Arial"/>
          <w:sz w:val="24"/>
          <w:szCs w:val="24"/>
        </w:rPr>
      </w:pPr>
    </w:p>
    <w:p w14:paraId="0C15E1DC" w14:textId="77777777" w:rsidR="00E47B5C" w:rsidRDefault="00E47B5C" w:rsidP="00522CB2">
      <w:pPr>
        <w:spacing w:line="360" w:lineRule="auto"/>
        <w:rPr>
          <w:rFonts w:ascii="Arial" w:hAnsi="Arial" w:cs="Arial"/>
          <w:sz w:val="24"/>
          <w:szCs w:val="24"/>
        </w:rPr>
      </w:pPr>
    </w:p>
    <w:p w14:paraId="549974BC" w14:textId="10C4A9DC"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lastRenderedPageBreak/>
        <w:t>Introduction</w:t>
      </w:r>
    </w:p>
    <w:p w14:paraId="1E2030F5" w14:textId="3BA01756"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This </w:t>
      </w:r>
      <w:r w:rsidR="000E608B">
        <w:rPr>
          <w:rFonts w:ascii="Arial" w:hAnsi="Arial" w:cs="Arial"/>
          <w:sz w:val="24"/>
          <w:szCs w:val="24"/>
        </w:rPr>
        <w:t>essay</w:t>
      </w:r>
      <w:r w:rsidRPr="00522CB2">
        <w:rPr>
          <w:rFonts w:ascii="Arial" w:hAnsi="Arial" w:cs="Arial"/>
          <w:sz w:val="24"/>
          <w:szCs w:val="24"/>
        </w:rPr>
        <w:t xml:space="preserve"> provides an academic evaluation and justification of the Food Safety and Hygiene training session delivered for staff at Cinnamon Kitchen. The purpose of the training was to improve employee understanding of food hygiene practices, allergen awareness, temperature control, personal hygiene standards, and legal compliance within restaurant operations. Food safety is a critical issue in the hospitality industry because poor hygiene standards can lead to foodborne illness, legal penalties, financial loss, and serious reputational damage for organisations.</w:t>
      </w:r>
    </w:p>
    <w:p w14:paraId="5402E69E" w14:textId="77777777" w:rsidR="00522CB2" w:rsidRPr="00522CB2" w:rsidRDefault="00522CB2" w:rsidP="00522CB2">
      <w:pPr>
        <w:spacing w:line="360" w:lineRule="auto"/>
        <w:rPr>
          <w:rFonts w:ascii="Arial" w:hAnsi="Arial" w:cs="Arial"/>
          <w:sz w:val="24"/>
          <w:szCs w:val="24"/>
        </w:rPr>
      </w:pPr>
    </w:p>
    <w:p w14:paraId="0E561D6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According to the Food Standards Agency (FSA) (2022), approximately 2.4 million people in the United Kingdom experience foodborne illness each year due to contaminated food. Similarly, the World Health Organization (WHO) (2024) identifies food safety as a major global public health concern, particularly in food service environments where improper food handling can increase risks of contamination. For restaurants such as Cinnamon Kitchen, maintaining high standards of food hygiene is therefore essential for protecting customers and ensuring compliance with the Food Safety Act 1990 (GOV.UK, 2026).</w:t>
      </w:r>
    </w:p>
    <w:p w14:paraId="18B2E8BD" w14:textId="77777777" w:rsidR="00522CB2" w:rsidRPr="00522CB2" w:rsidRDefault="00522CB2" w:rsidP="00522CB2">
      <w:pPr>
        <w:spacing w:line="360" w:lineRule="auto"/>
        <w:rPr>
          <w:rFonts w:ascii="Arial" w:hAnsi="Arial" w:cs="Arial"/>
          <w:sz w:val="24"/>
          <w:szCs w:val="24"/>
        </w:rPr>
      </w:pPr>
    </w:p>
    <w:p w14:paraId="229758D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session focused on key operational areas including safe food handling, allergen management, temperature control, cleaning procedures, and hazard reporting. Supporting materials included a PowerPoint presentation, real-life case studies, a staff quiz, an action plan, and evaluation methods. This report critically analyses the reasons for selecting these training methods and materials by applying academic theories of learning, staff development, training evaluation, and performance management. Particular attention is given to training needs analysis, inclusivity, learning styles, and the measurement of employee performance improvement.</w:t>
      </w:r>
    </w:p>
    <w:p w14:paraId="6FDD1D94" w14:textId="77777777" w:rsidR="00E47B5C" w:rsidRDefault="00E47B5C" w:rsidP="00522CB2">
      <w:pPr>
        <w:spacing w:line="360" w:lineRule="auto"/>
        <w:rPr>
          <w:rFonts w:ascii="Arial" w:hAnsi="Arial" w:cs="Arial"/>
          <w:sz w:val="24"/>
          <w:szCs w:val="24"/>
        </w:rPr>
      </w:pPr>
    </w:p>
    <w:p w14:paraId="2F5B0B70" w14:textId="77777777" w:rsidR="00E47B5C" w:rsidRDefault="00522CB2" w:rsidP="00522CB2">
      <w:pPr>
        <w:spacing w:line="360" w:lineRule="auto"/>
        <w:rPr>
          <w:rFonts w:ascii="Arial" w:hAnsi="Arial" w:cs="Arial"/>
          <w:b/>
          <w:bCs/>
          <w:sz w:val="24"/>
          <w:szCs w:val="24"/>
        </w:rPr>
      </w:pPr>
      <w:r w:rsidRPr="00E47B5C">
        <w:rPr>
          <w:rFonts w:ascii="Arial" w:hAnsi="Arial" w:cs="Arial"/>
          <w:b/>
          <w:bCs/>
          <w:sz w:val="24"/>
          <w:szCs w:val="24"/>
        </w:rPr>
        <w:t>Training Needs Analysis</w:t>
      </w:r>
    </w:p>
    <w:p w14:paraId="10037C0B" w14:textId="307FBBF9" w:rsidR="00522CB2" w:rsidRPr="00E47B5C" w:rsidRDefault="00522CB2" w:rsidP="00522CB2">
      <w:pPr>
        <w:spacing w:line="360" w:lineRule="auto"/>
        <w:rPr>
          <w:rFonts w:ascii="Arial" w:hAnsi="Arial" w:cs="Arial"/>
          <w:b/>
          <w:bCs/>
          <w:sz w:val="24"/>
          <w:szCs w:val="24"/>
        </w:rPr>
      </w:pPr>
      <w:r w:rsidRPr="00522CB2">
        <w:rPr>
          <w:rFonts w:ascii="Arial" w:hAnsi="Arial" w:cs="Arial"/>
          <w:sz w:val="24"/>
          <w:szCs w:val="24"/>
        </w:rPr>
        <w:lastRenderedPageBreak/>
        <w:t>Training needs analysis is the process of identifying gaps between current employee performance and the required organisational standards (Armstrong and Taylor, 2023). In the context of Cinnamon Kitchen, food safety training was necessary because restaurant staff are directly responsible for food preparation, hygiene standards, and allergen communication. Any failure in these areas could result in customer illness, legal prosecution, and damage to business reputation.</w:t>
      </w:r>
    </w:p>
    <w:p w14:paraId="70BA5F06" w14:textId="77777777" w:rsidR="00522CB2" w:rsidRPr="00522CB2" w:rsidRDefault="00522CB2" w:rsidP="00522CB2">
      <w:pPr>
        <w:spacing w:line="360" w:lineRule="auto"/>
        <w:rPr>
          <w:rFonts w:ascii="Arial" w:hAnsi="Arial" w:cs="Arial"/>
          <w:sz w:val="24"/>
          <w:szCs w:val="24"/>
        </w:rPr>
      </w:pPr>
    </w:p>
    <w:p w14:paraId="38DC6FC0" w14:textId="70D9FFC5"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One of the major reasons for the training was the increasing concern around allergen management and food contamination. The Food Standards Agency (2025a) states that even small traces of allergenic ingredients can cause severe or fatal allergic reactions. Staff must therefore understand allergen labelling, cross-contact prevention, and how to provide accurate allergen information to customers (see Appendix , Figure 3). Real-life cases presented during the training demonstrated the serious consequences of poor allergen control (see Appendix , Figure 4). For example, Leigh Day (2025) reported the death of a 12-year-old girl following a severe allergic reaction caused by cross-contamination in a milkshake blender. This case clearly highlights the importance of strict allergen management procedures.</w:t>
      </w:r>
    </w:p>
    <w:p w14:paraId="7BB7FB47" w14:textId="77777777" w:rsidR="00522CB2" w:rsidRPr="00522CB2" w:rsidRDefault="00522CB2" w:rsidP="00522CB2">
      <w:pPr>
        <w:spacing w:line="360" w:lineRule="auto"/>
        <w:rPr>
          <w:rFonts w:ascii="Arial" w:hAnsi="Arial" w:cs="Arial"/>
          <w:sz w:val="24"/>
          <w:szCs w:val="24"/>
        </w:rPr>
      </w:pPr>
    </w:p>
    <w:p w14:paraId="5C2FCD8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 addition, poor temperature control and hygiene practices remain major causes of foodborne illness. The FSA (2025b) identifies the temperature danger zone between 5°C and 63°C as the range where harmful bacteria multiply rapidly (see Appendix A, Figure 2). Staff must therefore understand correct storage temperatures, cooking temperatures, and hot holding procedures to prevent contamination.</w:t>
      </w:r>
    </w:p>
    <w:p w14:paraId="30EC7BE7" w14:textId="77777777" w:rsidR="00522CB2" w:rsidRPr="00522CB2" w:rsidRDefault="00522CB2" w:rsidP="00522CB2">
      <w:pPr>
        <w:spacing w:line="360" w:lineRule="auto"/>
        <w:rPr>
          <w:rFonts w:ascii="Arial" w:hAnsi="Arial" w:cs="Arial"/>
          <w:sz w:val="24"/>
          <w:szCs w:val="24"/>
        </w:rPr>
      </w:pPr>
    </w:p>
    <w:p w14:paraId="7B5A07C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Cinnamon Kitchen also aims to maintain strong food hygiene ratings and professional standards. The FSA (2023) confirms that strong hygiene systems support customer confidence and legal compliance. Training was therefore required not only to improve individual employee knowledge but also to strengthen organisational performance and support long-term operational standards.</w:t>
      </w:r>
    </w:p>
    <w:p w14:paraId="47EA878F" w14:textId="77777777" w:rsidR="00522CB2" w:rsidRPr="00522CB2" w:rsidRDefault="00522CB2" w:rsidP="00522CB2">
      <w:pPr>
        <w:spacing w:line="360" w:lineRule="auto"/>
        <w:rPr>
          <w:rFonts w:ascii="Arial" w:hAnsi="Arial" w:cs="Arial"/>
          <w:sz w:val="24"/>
          <w:szCs w:val="24"/>
        </w:rPr>
      </w:pPr>
    </w:p>
    <w:p w14:paraId="0B5F606E"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lastRenderedPageBreak/>
        <w:t>Training Approach and Delivery Method</w:t>
      </w:r>
    </w:p>
    <w:p w14:paraId="65030984" w14:textId="77777777" w:rsidR="00522CB2" w:rsidRPr="00522CB2" w:rsidRDefault="00522CB2" w:rsidP="00522CB2">
      <w:pPr>
        <w:spacing w:line="360" w:lineRule="auto"/>
        <w:rPr>
          <w:rFonts w:ascii="Arial" w:hAnsi="Arial" w:cs="Arial"/>
          <w:sz w:val="24"/>
          <w:szCs w:val="24"/>
        </w:rPr>
      </w:pPr>
    </w:p>
    <w:p w14:paraId="4090F794"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session was delivered using a structured PowerPoint presentation supported by real-life case studies, staff discussion, practical workplace examples, a quiz, and an action plan. This blended approach was selected because effective staff development requires both knowledge transfer and behavioural change.</w:t>
      </w:r>
    </w:p>
    <w:p w14:paraId="1476AE74" w14:textId="77777777" w:rsidR="00522CB2" w:rsidRPr="00522CB2" w:rsidRDefault="00522CB2" w:rsidP="00522CB2">
      <w:pPr>
        <w:spacing w:line="360" w:lineRule="auto"/>
        <w:rPr>
          <w:rFonts w:ascii="Arial" w:hAnsi="Arial" w:cs="Arial"/>
          <w:sz w:val="24"/>
          <w:szCs w:val="24"/>
        </w:rPr>
      </w:pPr>
    </w:p>
    <w:p w14:paraId="280F48C5" w14:textId="1625E68F"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PowerPoint slides were used to provide clear visual structure and simplify complex information such as temperature control rules, colour-coded chopping boards, and legal food safety requirements. Beardwell and Thompson (2017) explain that structured workplace training improves understanding when information is presented clearly and linked to job responsibilities. The agenda and learning objectives also ensured that staff understood the purpose of the session from the beginning (see Appendix, Figure 1).</w:t>
      </w:r>
    </w:p>
    <w:p w14:paraId="6D6782FB" w14:textId="77777777" w:rsidR="00522CB2" w:rsidRPr="00522CB2" w:rsidRDefault="00522CB2" w:rsidP="00522CB2">
      <w:pPr>
        <w:spacing w:line="360" w:lineRule="auto"/>
        <w:rPr>
          <w:rFonts w:ascii="Arial" w:hAnsi="Arial" w:cs="Arial"/>
          <w:sz w:val="24"/>
          <w:szCs w:val="24"/>
        </w:rPr>
      </w:pPr>
    </w:p>
    <w:p w14:paraId="3718DA1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Real-life case studies were included to increase engagement and demonstrate the practical consequences of food safety failures. For example, the Swansea restaurant allergen prosecution and the fatal allergic reaction case helped staff understand that poor hygiene practices can have severe legal and human consequences (Swansea Bay News, 2025; Miller, 2025). Kolb (1984) argues that experiential learning is more effective when learners connect theory with real workplace experiences. The case studies therefore supported reflective learning and improved relevance.</w:t>
      </w:r>
    </w:p>
    <w:p w14:paraId="4F733E0E" w14:textId="77777777" w:rsidR="00522CB2" w:rsidRPr="00522CB2" w:rsidRDefault="00522CB2" w:rsidP="00522CB2">
      <w:pPr>
        <w:spacing w:line="360" w:lineRule="auto"/>
        <w:rPr>
          <w:rFonts w:ascii="Arial" w:hAnsi="Arial" w:cs="Arial"/>
          <w:sz w:val="24"/>
          <w:szCs w:val="24"/>
        </w:rPr>
      </w:pPr>
    </w:p>
    <w:p w14:paraId="1320848B" w14:textId="7ED94E7D"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action plan encouraged employees to apply learning directly within their daily responsibilities (see Appendix, Figure 7). Actions such as monitoring food temperatures, completing cleaning schedules, and reporting hazards created clear behavioural expectations. Armstrong and Taylor (2023) suggest that training is most effective when linked to measurable workplace performance.</w:t>
      </w:r>
    </w:p>
    <w:p w14:paraId="618979B9" w14:textId="77777777" w:rsidR="00522CB2" w:rsidRPr="00522CB2" w:rsidRDefault="00522CB2" w:rsidP="00522CB2">
      <w:pPr>
        <w:spacing w:line="360" w:lineRule="auto"/>
        <w:rPr>
          <w:rFonts w:ascii="Arial" w:hAnsi="Arial" w:cs="Arial"/>
          <w:sz w:val="24"/>
          <w:szCs w:val="24"/>
        </w:rPr>
      </w:pPr>
    </w:p>
    <w:p w14:paraId="720F9502" w14:textId="4217CBBF"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A post-training quiz was included to assess knowledge retention and understanding. Kirkpatrick and Kirkpatrick (2006) identify learning assessment as Level 2 of their Four-Level Evaluation Model, where organisations measure whether employees have gained the intended knowledge and skills. The quiz therefore provided immediate evidence of learning outcomes and helped identify any remaining knowledge gaps (see Appendix, Figure 5).</w:t>
      </w:r>
    </w:p>
    <w:p w14:paraId="5AD44FA8" w14:textId="77777777" w:rsidR="00522CB2" w:rsidRPr="00522CB2" w:rsidRDefault="00522CB2" w:rsidP="00522CB2">
      <w:pPr>
        <w:spacing w:line="360" w:lineRule="auto"/>
        <w:rPr>
          <w:rFonts w:ascii="Arial" w:hAnsi="Arial" w:cs="Arial"/>
          <w:sz w:val="24"/>
          <w:szCs w:val="24"/>
        </w:rPr>
      </w:pPr>
    </w:p>
    <w:p w14:paraId="1E00C97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This combination of teaching methods improved engagement, relevance, and practical application, making the training more effective than relying on presentation slides alone.</w:t>
      </w:r>
    </w:p>
    <w:p w14:paraId="1F3D56C9" w14:textId="77777777" w:rsidR="00522CB2" w:rsidRPr="00522CB2" w:rsidRDefault="00522CB2" w:rsidP="00522CB2">
      <w:pPr>
        <w:spacing w:line="360" w:lineRule="auto"/>
        <w:rPr>
          <w:rFonts w:ascii="Arial" w:hAnsi="Arial" w:cs="Arial"/>
          <w:sz w:val="24"/>
          <w:szCs w:val="24"/>
        </w:rPr>
      </w:pPr>
    </w:p>
    <w:p w14:paraId="0F37293A"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Inclusivity and Learning Styles</w:t>
      </w:r>
    </w:p>
    <w:p w14:paraId="52353F21" w14:textId="77777777" w:rsidR="00522CB2" w:rsidRPr="00522CB2" w:rsidRDefault="00522CB2" w:rsidP="00522CB2">
      <w:pPr>
        <w:spacing w:line="360" w:lineRule="auto"/>
        <w:rPr>
          <w:rFonts w:ascii="Arial" w:hAnsi="Arial" w:cs="Arial"/>
          <w:sz w:val="24"/>
          <w:szCs w:val="24"/>
        </w:rPr>
      </w:pPr>
    </w:p>
    <w:p w14:paraId="5FC3C382"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Inclusive training is essential because employees learn in different ways and effective staff development should accommodate individual learning preferences. Honey and Mumford (1986) suggest that learners can respond differently depending on whether they prefer visual, auditory, reflective, or practical learning methods. Similarly, Kolb (1984) explains that learning is strengthened when individuals experience, reflect, conceptualise, and apply knowledge.</w:t>
      </w:r>
    </w:p>
    <w:p w14:paraId="743028FE" w14:textId="77777777" w:rsidR="00522CB2" w:rsidRPr="00522CB2" w:rsidRDefault="00522CB2" w:rsidP="00522CB2">
      <w:pPr>
        <w:spacing w:line="360" w:lineRule="auto"/>
        <w:rPr>
          <w:rFonts w:ascii="Arial" w:hAnsi="Arial" w:cs="Arial"/>
          <w:sz w:val="24"/>
          <w:szCs w:val="24"/>
        </w:rPr>
      </w:pPr>
    </w:p>
    <w:p w14:paraId="76A17F2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materials were designed to support multiple learning styles. Visual learners benefited from PowerPoint slides, temperature charts, colour-coded chopping boards, and examples of hygiene equipment such as probes and sanitising chemicals. Visual presentation helps simplify information and improves memory retention when employees can connect theory to clear images and workplace tools.</w:t>
      </w:r>
    </w:p>
    <w:p w14:paraId="2C97BDC8" w14:textId="77777777" w:rsidR="00522CB2" w:rsidRPr="00522CB2" w:rsidRDefault="00522CB2" w:rsidP="00522CB2">
      <w:pPr>
        <w:spacing w:line="360" w:lineRule="auto"/>
        <w:rPr>
          <w:rFonts w:ascii="Arial" w:hAnsi="Arial" w:cs="Arial"/>
          <w:sz w:val="24"/>
          <w:szCs w:val="24"/>
        </w:rPr>
      </w:pPr>
    </w:p>
    <w:p w14:paraId="54586790"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Auditory learners were supported through verbal explanation, trainer-led discussion, and group engagement during the session. Discussions around allergen risks and food safety failures encouraged active participation and allowed staff to ask questions relevant to their daily work environment.</w:t>
      </w:r>
    </w:p>
    <w:p w14:paraId="5E89EB35" w14:textId="77777777" w:rsidR="00522CB2" w:rsidRPr="00522CB2" w:rsidRDefault="00522CB2" w:rsidP="00522CB2">
      <w:pPr>
        <w:spacing w:line="360" w:lineRule="auto"/>
        <w:rPr>
          <w:rFonts w:ascii="Arial" w:hAnsi="Arial" w:cs="Arial"/>
          <w:sz w:val="24"/>
          <w:szCs w:val="24"/>
        </w:rPr>
      </w:pPr>
    </w:p>
    <w:p w14:paraId="6C113FAB"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Reading and writing learners were supported through written learning objectives, structured agenda, quiz questions, and food safety procedures. The written quiz encouraged reflection and reinforced knowledge retention after the presentation.</w:t>
      </w:r>
    </w:p>
    <w:p w14:paraId="6CC48724" w14:textId="77777777" w:rsidR="00522CB2" w:rsidRPr="00522CB2" w:rsidRDefault="00522CB2" w:rsidP="00522CB2">
      <w:pPr>
        <w:spacing w:line="360" w:lineRule="auto"/>
        <w:rPr>
          <w:rFonts w:ascii="Arial" w:hAnsi="Arial" w:cs="Arial"/>
          <w:sz w:val="24"/>
          <w:szCs w:val="24"/>
        </w:rPr>
      </w:pPr>
    </w:p>
    <w:p w14:paraId="4A81726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Kinaesthetic learners benefited from practical workplace examples such as temperature monitoring, cleaning schedules, use of colour-coded equipment, and hazard reporting. These activities connected training content to real kitchen responsibilities and supported behavioural application.</w:t>
      </w:r>
    </w:p>
    <w:p w14:paraId="630DC848" w14:textId="77777777" w:rsidR="00522CB2" w:rsidRPr="00522CB2" w:rsidRDefault="00522CB2" w:rsidP="00522CB2">
      <w:pPr>
        <w:spacing w:line="360" w:lineRule="auto"/>
        <w:rPr>
          <w:rFonts w:ascii="Arial" w:hAnsi="Arial" w:cs="Arial"/>
          <w:sz w:val="24"/>
          <w:szCs w:val="24"/>
        </w:rPr>
      </w:pPr>
    </w:p>
    <w:p w14:paraId="22C9523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Inclusivity was also supported by using simple language, relevant restaurant examples, and realistic workplace scenarios. This reduced barriers for employees with different educational backgrounds and levels of experience. According to Armstrong and Taylor (2023), effective training should be accessible, relevant, and directly linked to employee responsibilities.</w:t>
      </w:r>
    </w:p>
    <w:p w14:paraId="2063DC94" w14:textId="77777777" w:rsidR="00522CB2" w:rsidRPr="00522CB2" w:rsidRDefault="00522CB2" w:rsidP="00522CB2">
      <w:pPr>
        <w:spacing w:line="360" w:lineRule="auto"/>
        <w:rPr>
          <w:rFonts w:ascii="Arial" w:hAnsi="Arial" w:cs="Arial"/>
          <w:sz w:val="24"/>
          <w:szCs w:val="24"/>
        </w:rPr>
      </w:pPr>
    </w:p>
    <w:p w14:paraId="3211D004"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use of mixed teaching methods therefore improved engagement and ensured that all staff members had equal opportunities to understand and apply the training content.</w:t>
      </w:r>
    </w:p>
    <w:p w14:paraId="7065F068" w14:textId="77777777" w:rsidR="00522CB2" w:rsidRPr="00522CB2" w:rsidRDefault="00522CB2" w:rsidP="00522CB2">
      <w:pPr>
        <w:spacing w:line="360" w:lineRule="auto"/>
        <w:rPr>
          <w:rFonts w:ascii="Arial" w:hAnsi="Arial" w:cs="Arial"/>
          <w:sz w:val="24"/>
          <w:szCs w:val="24"/>
        </w:rPr>
      </w:pPr>
    </w:p>
    <w:p w14:paraId="11C4C683"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Staff Performance Analysis and Training Evaluation</w:t>
      </w:r>
    </w:p>
    <w:p w14:paraId="45004577" w14:textId="77777777" w:rsidR="00522CB2" w:rsidRPr="00522CB2" w:rsidRDefault="00522CB2" w:rsidP="00522CB2">
      <w:pPr>
        <w:spacing w:line="360" w:lineRule="auto"/>
        <w:rPr>
          <w:rFonts w:ascii="Arial" w:hAnsi="Arial" w:cs="Arial"/>
          <w:sz w:val="24"/>
          <w:szCs w:val="24"/>
        </w:rPr>
      </w:pPr>
    </w:p>
    <w:p w14:paraId="3675B0B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Training effectiveness must be measured to determine whether staff performance improves after learning interventions. Performance analysis helps organisations identify whether training has successfully changed employee behaviour and contributed to business outcomes.</w:t>
      </w:r>
    </w:p>
    <w:p w14:paraId="5C08FEB9" w14:textId="77777777" w:rsidR="00522CB2" w:rsidRPr="00522CB2" w:rsidRDefault="00522CB2" w:rsidP="00522CB2">
      <w:pPr>
        <w:spacing w:line="360" w:lineRule="auto"/>
        <w:rPr>
          <w:rFonts w:ascii="Arial" w:hAnsi="Arial" w:cs="Arial"/>
          <w:sz w:val="24"/>
          <w:szCs w:val="24"/>
        </w:rPr>
      </w:pPr>
    </w:p>
    <w:p w14:paraId="6020D96B" w14:textId="0E13DEF1"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primary evaluation method used in this training was based on Kirkpatrick and Kirkpatrick’s (2006) Four-Level Model: reaction, learning, behaviour, and results (see </w:t>
      </w:r>
      <w:r w:rsidRPr="00522CB2">
        <w:rPr>
          <w:rFonts w:ascii="Arial" w:hAnsi="Arial" w:cs="Arial"/>
          <w:sz w:val="24"/>
          <w:szCs w:val="24"/>
        </w:rPr>
        <w:lastRenderedPageBreak/>
        <w:t>Appendix, Figure 6). At Level 1, staff feedback was collected to understand how participants responded to the training session. Positive engagement indicates whether employees found the content useful and relevant.</w:t>
      </w:r>
    </w:p>
    <w:p w14:paraId="6741D262" w14:textId="77777777" w:rsidR="00522CB2" w:rsidRPr="00522CB2" w:rsidRDefault="00522CB2" w:rsidP="00522CB2">
      <w:pPr>
        <w:spacing w:line="360" w:lineRule="auto"/>
        <w:rPr>
          <w:rFonts w:ascii="Arial" w:hAnsi="Arial" w:cs="Arial"/>
          <w:sz w:val="24"/>
          <w:szCs w:val="24"/>
        </w:rPr>
      </w:pPr>
    </w:p>
    <w:p w14:paraId="6330E4B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At Level 2, learning was measured through the food safety quiz. Questions focused on temperature danger zones, handwashing, cross-contamination, and cleaning procedures. This assessed whether employees retained key knowledge and understood the training objectives.</w:t>
      </w:r>
    </w:p>
    <w:p w14:paraId="65C469D9" w14:textId="77777777" w:rsidR="00522CB2" w:rsidRPr="00522CB2" w:rsidRDefault="00522CB2" w:rsidP="00522CB2">
      <w:pPr>
        <w:spacing w:line="360" w:lineRule="auto"/>
        <w:rPr>
          <w:rFonts w:ascii="Arial" w:hAnsi="Arial" w:cs="Arial"/>
          <w:sz w:val="24"/>
          <w:szCs w:val="24"/>
        </w:rPr>
      </w:pPr>
    </w:p>
    <w:p w14:paraId="3B1D8A5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At Level 3, behaviour change can be measured through workplace observation. Managers can monitor whether employees apply safe food handling practices, complete cleaning schedules, use colour-coded boards correctly, and maintain hygiene standards during daily operations. Honey and Mumford (1986) suggest that practical behaviour change is the strongest indicator of successful workplace learning.</w:t>
      </w:r>
    </w:p>
    <w:p w14:paraId="775103A5" w14:textId="77777777" w:rsidR="00522CB2" w:rsidRPr="00522CB2" w:rsidRDefault="00522CB2" w:rsidP="00522CB2">
      <w:pPr>
        <w:spacing w:line="360" w:lineRule="auto"/>
        <w:rPr>
          <w:rFonts w:ascii="Arial" w:hAnsi="Arial" w:cs="Arial"/>
          <w:sz w:val="24"/>
          <w:szCs w:val="24"/>
        </w:rPr>
      </w:pPr>
    </w:p>
    <w:p w14:paraId="7A05BB30"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At Level 4, organisational results can be measured through food safety KPIs, hygiene inspection outcomes, temperature logs, and customer satisfaction. Djekic and Smigic (2025) explain that food safety performance indicators help organisations evaluate whether food safety management systems are operating effectively. Reduced hygiene risks, improved compliance records, and stronger inspection results would demonstrate successful training outcomes.</w:t>
      </w:r>
    </w:p>
    <w:p w14:paraId="48EB1028" w14:textId="77777777" w:rsidR="00522CB2" w:rsidRPr="00522CB2" w:rsidRDefault="00522CB2" w:rsidP="00522CB2">
      <w:pPr>
        <w:spacing w:line="360" w:lineRule="auto"/>
        <w:rPr>
          <w:rFonts w:ascii="Arial" w:hAnsi="Arial" w:cs="Arial"/>
          <w:sz w:val="24"/>
          <w:szCs w:val="24"/>
        </w:rPr>
      </w:pPr>
    </w:p>
    <w:p w14:paraId="7CD7A1C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Documentation such as cleaning records and temperature logs also provides measurable evidence of compliance and continuous improvement. These records support management decisions and help maintain legal accountability under the Food Safety Act 1990 (GOV.UK, 2026).</w:t>
      </w:r>
    </w:p>
    <w:p w14:paraId="77662190" w14:textId="77777777" w:rsidR="00522CB2" w:rsidRPr="00522CB2" w:rsidRDefault="00522CB2" w:rsidP="00522CB2">
      <w:pPr>
        <w:spacing w:line="360" w:lineRule="auto"/>
        <w:rPr>
          <w:rFonts w:ascii="Arial" w:hAnsi="Arial" w:cs="Arial"/>
          <w:sz w:val="24"/>
          <w:szCs w:val="24"/>
        </w:rPr>
      </w:pPr>
    </w:p>
    <w:p w14:paraId="24227C3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The use of multiple evaluation methods ensures that training effectiveness is measured beyond simple attendance. This strengthens organisational learning and supports long-term staff performance improvement.</w:t>
      </w:r>
    </w:p>
    <w:p w14:paraId="5A04EB6D" w14:textId="77777777" w:rsidR="00522CB2" w:rsidRPr="00522CB2" w:rsidRDefault="00522CB2" w:rsidP="00522CB2">
      <w:pPr>
        <w:spacing w:line="360" w:lineRule="auto"/>
        <w:rPr>
          <w:rFonts w:ascii="Arial" w:hAnsi="Arial" w:cs="Arial"/>
          <w:sz w:val="24"/>
          <w:szCs w:val="24"/>
        </w:rPr>
      </w:pPr>
    </w:p>
    <w:p w14:paraId="09C8A871"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Digital Training Support Materials</w:t>
      </w:r>
    </w:p>
    <w:p w14:paraId="71F2A37B" w14:textId="77777777" w:rsidR="00522CB2" w:rsidRPr="00522CB2" w:rsidRDefault="00522CB2" w:rsidP="00522CB2">
      <w:pPr>
        <w:spacing w:line="360" w:lineRule="auto"/>
        <w:rPr>
          <w:rFonts w:ascii="Arial" w:hAnsi="Arial" w:cs="Arial"/>
          <w:sz w:val="24"/>
          <w:szCs w:val="24"/>
        </w:rPr>
      </w:pPr>
    </w:p>
    <w:p w14:paraId="04769AE0"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Digital training support materials were included to strengthen employee engagement, improve knowledge retention, and provide measurable evidence of learning. One of the most effective digital materials used in the training session was the food safety quiz, which was designed to assess staff understanding immediately after the presentation. The quiz included questions on temperature danger zones, cross-contamination, handwashing procedures, cleaning and disinfection, and allergen awareness.</w:t>
      </w:r>
    </w:p>
    <w:p w14:paraId="55203A26" w14:textId="77777777" w:rsidR="00522CB2" w:rsidRPr="00522CB2" w:rsidRDefault="00522CB2" w:rsidP="00522CB2">
      <w:pPr>
        <w:spacing w:line="360" w:lineRule="auto"/>
        <w:rPr>
          <w:rFonts w:ascii="Arial" w:hAnsi="Arial" w:cs="Arial"/>
          <w:sz w:val="24"/>
          <w:szCs w:val="24"/>
        </w:rPr>
      </w:pPr>
    </w:p>
    <w:p w14:paraId="5063952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use of a digital quiz supports active learning because employees are required to apply knowledge rather than passively receive information. According to Kirkpatrick and Kirkpatrick (2006), post-training assessment is essential for measuring Level 2 learning, which focuses on whether participants have acquired the intended knowledge and skills. The quiz therefore provided immediate evidence of staff understanding and highlighted any areas where further clarification was needed.</w:t>
      </w:r>
    </w:p>
    <w:p w14:paraId="175EC33B" w14:textId="77777777" w:rsidR="00522CB2" w:rsidRPr="00522CB2" w:rsidRDefault="00522CB2" w:rsidP="00522CB2">
      <w:pPr>
        <w:spacing w:line="360" w:lineRule="auto"/>
        <w:rPr>
          <w:rFonts w:ascii="Arial" w:hAnsi="Arial" w:cs="Arial"/>
          <w:sz w:val="24"/>
          <w:szCs w:val="24"/>
        </w:rPr>
      </w:pPr>
    </w:p>
    <w:p w14:paraId="297466C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 addition, online food safety quiz resources such as those provided by High Speed Training (O’Regan, 2024) were used as a benchmark for question design and supported professional industry standards. Digital quizzes are particularly effective because they are user-friendly, quick to complete, and easy for management to review and record for compliance purposes.</w:t>
      </w:r>
    </w:p>
    <w:p w14:paraId="7197D0E8" w14:textId="77777777" w:rsidR="00522CB2" w:rsidRPr="00522CB2" w:rsidRDefault="00522CB2" w:rsidP="00522CB2">
      <w:pPr>
        <w:spacing w:line="360" w:lineRule="auto"/>
        <w:rPr>
          <w:rFonts w:ascii="Arial" w:hAnsi="Arial" w:cs="Arial"/>
          <w:sz w:val="24"/>
          <w:szCs w:val="24"/>
        </w:rPr>
      </w:pPr>
    </w:p>
    <w:p w14:paraId="683654B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PowerPoint presentation itself also functioned as digital learning material by visually presenting food safety procedures, legal responsibilities, temperature controls, and allergen risks. Visual digital content improves engagement, particularly </w:t>
      </w:r>
      <w:r w:rsidRPr="00522CB2">
        <w:rPr>
          <w:rFonts w:ascii="Arial" w:hAnsi="Arial" w:cs="Arial"/>
          <w:sz w:val="24"/>
          <w:szCs w:val="24"/>
        </w:rPr>
        <w:lastRenderedPageBreak/>
        <w:t>for visual learners, and supports better memory retention compared to verbal instruction alone (Honey and Mumford, 1986).</w:t>
      </w:r>
    </w:p>
    <w:p w14:paraId="075C8A7C" w14:textId="77777777" w:rsidR="00522CB2" w:rsidRPr="00522CB2" w:rsidRDefault="00522CB2" w:rsidP="00522CB2">
      <w:pPr>
        <w:spacing w:line="360" w:lineRule="auto"/>
        <w:rPr>
          <w:rFonts w:ascii="Arial" w:hAnsi="Arial" w:cs="Arial"/>
          <w:sz w:val="24"/>
          <w:szCs w:val="24"/>
        </w:rPr>
      </w:pPr>
    </w:p>
    <w:p w14:paraId="04396BA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Real-life case studies presented digitally through slides also strengthened understanding by connecting theory with real workplace consequences. For example, allergen prosecution cases and food safety failures demonstrated the legal and human impact of poor hygiene practices.</w:t>
      </w:r>
    </w:p>
    <w:p w14:paraId="29E3866A" w14:textId="77777777" w:rsidR="00522CB2" w:rsidRPr="00522CB2" w:rsidRDefault="00522CB2" w:rsidP="00522CB2">
      <w:pPr>
        <w:spacing w:line="360" w:lineRule="auto"/>
        <w:rPr>
          <w:rFonts w:ascii="Arial" w:hAnsi="Arial" w:cs="Arial"/>
          <w:sz w:val="24"/>
          <w:szCs w:val="24"/>
        </w:rPr>
      </w:pPr>
    </w:p>
    <w:p w14:paraId="18A8527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These digital materials improved accessibility, supported different learning styles, and strengthened the professionalism of the training session. They also provided evidence-based support for continuous staff development and future refresher training.</w:t>
      </w:r>
    </w:p>
    <w:p w14:paraId="0C6FB343" w14:textId="77777777" w:rsidR="00522CB2" w:rsidRPr="00522CB2" w:rsidRDefault="00522CB2" w:rsidP="00522CB2">
      <w:pPr>
        <w:spacing w:line="360" w:lineRule="auto"/>
        <w:rPr>
          <w:rFonts w:ascii="Arial" w:hAnsi="Arial" w:cs="Arial"/>
          <w:sz w:val="24"/>
          <w:szCs w:val="24"/>
        </w:rPr>
      </w:pPr>
    </w:p>
    <w:p w14:paraId="343CCEA2"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Training Pack Evidence</w:t>
      </w:r>
    </w:p>
    <w:p w14:paraId="1BCFE6A9" w14:textId="77777777" w:rsidR="00522CB2" w:rsidRPr="00522CB2" w:rsidRDefault="00522CB2" w:rsidP="00522CB2">
      <w:pPr>
        <w:spacing w:line="360" w:lineRule="auto"/>
        <w:rPr>
          <w:rFonts w:ascii="Arial" w:hAnsi="Arial" w:cs="Arial"/>
          <w:sz w:val="24"/>
          <w:szCs w:val="24"/>
        </w:rPr>
      </w:pPr>
    </w:p>
    <w:p w14:paraId="11D091A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pack formed an important part of the overall learning process and provided evidence of structured staff development. The materials included the agenda, PowerPoint presentation, learning objectives, real-life case studies, hygiene equipment examples, action plan, quiz, and training evaluation framework.</w:t>
      </w:r>
    </w:p>
    <w:p w14:paraId="09706640" w14:textId="77777777" w:rsidR="00522CB2" w:rsidRPr="00522CB2" w:rsidRDefault="00522CB2" w:rsidP="00522CB2">
      <w:pPr>
        <w:spacing w:line="360" w:lineRule="auto"/>
        <w:rPr>
          <w:rFonts w:ascii="Arial" w:hAnsi="Arial" w:cs="Arial"/>
          <w:sz w:val="24"/>
          <w:szCs w:val="24"/>
        </w:rPr>
      </w:pPr>
    </w:p>
    <w:p w14:paraId="380F49A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agenda created a clear structure and helped employees understand the flow of the session. Learning objectives ensured that expected outcomes were communicated from the start, supporting employee focus and motivation. Kirkpatrick and Kirkpatrick (2006) emphasise that clearly defined objectives improve training evaluation because learning outcomes can be measured more accurately.</w:t>
      </w:r>
    </w:p>
    <w:p w14:paraId="3D89E33D" w14:textId="77777777" w:rsidR="00522CB2" w:rsidRPr="00522CB2" w:rsidRDefault="00522CB2" w:rsidP="00522CB2">
      <w:pPr>
        <w:spacing w:line="360" w:lineRule="auto"/>
        <w:rPr>
          <w:rFonts w:ascii="Arial" w:hAnsi="Arial" w:cs="Arial"/>
          <w:sz w:val="24"/>
          <w:szCs w:val="24"/>
        </w:rPr>
      </w:pPr>
    </w:p>
    <w:p w14:paraId="6DDF64E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PowerPoint presentation supported knowledge delivery through visual explanation of food safety risks, temperature control, allergen awareness, and legal </w:t>
      </w:r>
      <w:r w:rsidRPr="00522CB2">
        <w:rPr>
          <w:rFonts w:ascii="Arial" w:hAnsi="Arial" w:cs="Arial"/>
          <w:sz w:val="24"/>
          <w:szCs w:val="24"/>
        </w:rPr>
        <w:lastRenderedPageBreak/>
        <w:t>compliance. Real-life case studies increased engagement and demonstrated the practical importance of maintaining food safety standards.</w:t>
      </w:r>
    </w:p>
    <w:p w14:paraId="2E2E4E7A" w14:textId="77777777" w:rsidR="00522CB2" w:rsidRPr="00522CB2" w:rsidRDefault="00522CB2" w:rsidP="00522CB2">
      <w:pPr>
        <w:spacing w:line="360" w:lineRule="auto"/>
        <w:rPr>
          <w:rFonts w:ascii="Arial" w:hAnsi="Arial" w:cs="Arial"/>
          <w:sz w:val="24"/>
          <w:szCs w:val="24"/>
        </w:rPr>
      </w:pPr>
    </w:p>
    <w:p w14:paraId="41857B7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quiz provided formal assessment of employee understanding, while the action plan translated learning into workplace responsibilities. Employees were encouraged to follow handwashing procedures, complete cleaning schedules, monitor temperatures, and report hazards immediately.</w:t>
      </w:r>
    </w:p>
    <w:p w14:paraId="38DE08E0" w14:textId="77777777" w:rsidR="00522CB2" w:rsidRPr="00522CB2" w:rsidRDefault="00522CB2" w:rsidP="00522CB2">
      <w:pPr>
        <w:spacing w:line="360" w:lineRule="auto"/>
        <w:rPr>
          <w:rFonts w:ascii="Arial" w:hAnsi="Arial" w:cs="Arial"/>
          <w:sz w:val="24"/>
          <w:szCs w:val="24"/>
        </w:rPr>
      </w:pPr>
    </w:p>
    <w:p w14:paraId="39075D4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These materials created a user-friendly and engaging learning experience while supporting both compliance and continuous improvement. Including the training pack as evidence strengthens the academic justification of the training session and demonstrates professional preparation.</w:t>
      </w:r>
    </w:p>
    <w:p w14:paraId="6A916552" w14:textId="77777777" w:rsidR="00522CB2" w:rsidRPr="00522CB2" w:rsidRDefault="00522CB2" w:rsidP="00522CB2">
      <w:pPr>
        <w:spacing w:line="360" w:lineRule="auto"/>
        <w:rPr>
          <w:rFonts w:ascii="Arial" w:hAnsi="Arial" w:cs="Arial"/>
          <w:sz w:val="24"/>
          <w:szCs w:val="24"/>
        </w:rPr>
      </w:pPr>
    </w:p>
    <w:p w14:paraId="66E8EB67"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Conclusion</w:t>
      </w:r>
    </w:p>
    <w:p w14:paraId="109BCED9" w14:textId="77777777" w:rsidR="00522CB2" w:rsidRPr="00522CB2" w:rsidRDefault="00522CB2" w:rsidP="00522CB2">
      <w:pPr>
        <w:spacing w:line="360" w:lineRule="auto"/>
        <w:rPr>
          <w:rFonts w:ascii="Arial" w:hAnsi="Arial" w:cs="Arial"/>
          <w:sz w:val="24"/>
          <w:szCs w:val="24"/>
        </w:rPr>
      </w:pPr>
    </w:p>
    <w:p w14:paraId="445B1B0C"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This report has critically evaluated the Food Safety and Hygiene training delivered at Cinnamon Kitchen and provided academic justification for the training methods and materials used. Food safety training was necessary due to legal requirements, customer protection, allergen risks, and the need to maintain high hygiene standards within restaurant operations.</w:t>
      </w:r>
    </w:p>
    <w:p w14:paraId="76296862" w14:textId="77777777" w:rsidR="00522CB2" w:rsidRPr="00522CB2" w:rsidRDefault="00522CB2" w:rsidP="00522CB2">
      <w:pPr>
        <w:spacing w:line="360" w:lineRule="auto"/>
        <w:rPr>
          <w:rFonts w:ascii="Arial" w:hAnsi="Arial" w:cs="Arial"/>
          <w:sz w:val="24"/>
          <w:szCs w:val="24"/>
        </w:rPr>
      </w:pPr>
    </w:p>
    <w:p w14:paraId="2D966D5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approach combined presentation slides, case studies, discussion, practical examples, quizzes, and action planning to improve both knowledge and workplace behaviour. Academic theories from Kolb (1984), Honey and Mumford (1986), and Kirkpatrick and Kirkpatrick (2006) support the use of mixed learning methods and structured evaluation.</w:t>
      </w:r>
    </w:p>
    <w:p w14:paraId="7EEC7DAF" w14:textId="77777777" w:rsidR="00522CB2" w:rsidRPr="00522CB2" w:rsidRDefault="00522CB2" w:rsidP="00522CB2">
      <w:pPr>
        <w:spacing w:line="360" w:lineRule="auto"/>
        <w:rPr>
          <w:rFonts w:ascii="Arial" w:hAnsi="Arial" w:cs="Arial"/>
          <w:sz w:val="24"/>
          <w:szCs w:val="24"/>
        </w:rPr>
      </w:pPr>
    </w:p>
    <w:p w14:paraId="519EAACB"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Inclusivity was achieved by addressing multiple learning styles and ensuring that training materials were accessible, practical, and relevant to all employees. Staff </w:t>
      </w:r>
      <w:r w:rsidRPr="00522CB2">
        <w:rPr>
          <w:rFonts w:ascii="Arial" w:hAnsi="Arial" w:cs="Arial"/>
          <w:sz w:val="24"/>
          <w:szCs w:val="24"/>
        </w:rPr>
        <w:lastRenderedPageBreak/>
        <w:t>performance analysis was strengthened through quizzes, workplace observation, hygiene documentation, and KPI monitoring.</w:t>
      </w:r>
    </w:p>
    <w:p w14:paraId="4F0B1047" w14:textId="77777777" w:rsidR="00522CB2" w:rsidRPr="00522CB2" w:rsidRDefault="00522CB2" w:rsidP="00522CB2">
      <w:pPr>
        <w:spacing w:line="360" w:lineRule="auto"/>
        <w:rPr>
          <w:rFonts w:ascii="Arial" w:hAnsi="Arial" w:cs="Arial"/>
          <w:sz w:val="24"/>
          <w:szCs w:val="24"/>
        </w:rPr>
      </w:pPr>
    </w:p>
    <w:p w14:paraId="657ED61F" w14:textId="767C4829" w:rsidR="00152C3A" w:rsidRDefault="00522CB2" w:rsidP="00522CB2">
      <w:pPr>
        <w:spacing w:line="360" w:lineRule="auto"/>
        <w:rPr>
          <w:rFonts w:ascii="Arial" w:hAnsi="Arial" w:cs="Arial"/>
          <w:sz w:val="24"/>
          <w:szCs w:val="24"/>
        </w:rPr>
      </w:pPr>
      <w:r w:rsidRPr="00522CB2">
        <w:rPr>
          <w:rFonts w:ascii="Arial" w:hAnsi="Arial" w:cs="Arial"/>
          <w:sz w:val="24"/>
          <w:szCs w:val="24"/>
        </w:rPr>
        <w:t>Overall, the training session provided a strong foundation for improving food safety compliance, employee performance, and customer protection at Cinnamon Kitchen. Effective training is not only a legal and operational requirement but also a strategic investment in long-term business success.</w:t>
      </w:r>
    </w:p>
    <w:p w14:paraId="4687E920" w14:textId="77777777" w:rsidR="00522CB2" w:rsidRDefault="00522CB2" w:rsidP="00522CB2">
      <w:pPr>
        <w:spacing w:line="360" w:lineRule="auto"/>
        <w:rPr>
          <w:rFonts w:ascii="Arial" w:hAnsi="Arial" w:cs="Arial"/>
          <w:sz w:val="24"/>
          <w:szCs w:val="24"/>
        </w:rPr>
      </w:pPr>
    </w:p>
    <w:p w14:paraId="14B10055" w14:textId="77777777" w:rsidR="00E47B5C" w:rsidRDefault="00E47B5C" w:rsidP="00522CB2">
      <w:pPr>
        <w:spacing w:line="360" w:lineRule="auto"/>
        <w:rPr>
          <w:rFonts w:ascii="Arial" w:hAnsi="Arial" w:cs="Arial"/>
          <w:b/>
          <w:bCs/>
          <w:sz w:val="24"/>
          <w:szCs w:val="24"/>
        </w:rPr>
      </w:pPr>
    </w:p>
    <w:p w14:paraId="2558CB96" w14:textId="77777777" w:rsidR="00E47B5C" w:rsidRDefault="00E47B5C" w:rsidP="00522CB2">
      <w:pPr>
        <w:spacing w:line="360" w:lineRule="auto"/>
        <w:rPr>
          <w:rFonts w:ascii="Arial" w:hAnsi="Arial" w:cs="Arial"/>
          <w:b/>
          <w:bCs/>
          <w:sz w:val="24"/>
          <w:szCs w:val="24"/>
        </w:rPr>
      </w:pPr>
    </w:p>
    <w:p w14:paraId="0928EAA2" w14:textId="77777777" w:rsidR="00E47B5C" w:rsidRDefault="00E47B5C" w:rsidP="00522CB2">
      <w:pPr>
        <w:spacing w:line="360" w:lineRule="auto"/>
        <w:rPr>
          <w:rFonts w:ascii="Arial" w:hAnsi="Arial" w:cs="Arial"/>
          <w:b/>
          <w:bCs/>
          <w:sz w:val="24"/>
          <w:szCs w:val="24"/>
        </w:rPr>
      </w:pPr>
    </w:p>
    <w:p w14:paraId="7362F335" w14:textId="77777777" w:rsidR="00E47B5C" w:rsidRDefault="00E47B5C" w:rsidP="00522CB2">
      <w:pPr>
        <w:spacing w:line="360" w:lineRule="auto"/>
        <w:rPr>
          <w:rFonts w:ascii="Arial" w:hAnsi="Arial" w:cs="Arial"/>
          <w:b/>
          <w:bCs/>
          <w:sz w:val="24"/>
          <w:szCs w:val="24"/>
        </w:rPr>
      </w:pPr>
    </w:p>
    <w:p w14:paraId="7E44C405" w14:textId="77777777" w:rsidR="00E47B5C" w:rsidRDefault="00E47B5C" w:rsidP="00522CB2">
      <w:pPr>
        <w:spacing w:line="360" w:lineRule="auto"/>
        <w:rPr>
          <w:rFonts w:ascii="Arial" w:hAnsi="Arial" w:cs="Arial"/>
          <w:b/>
          <w:bCs/>
          <w:sz w:val="24"/>
          <w:szCs w:val="24"/>
        </w:rPr>
      </w:pPr>
    </w:p>
    <w:p w14:paraId="1F384A64" w14:textId="77777777" w:rsidR="00E47B5C" w:rsidRDefault="00E47B5C" w:rsidP="00522CB2">
      <w:pPr>
        <w:spacing w:line="360" w:lineRule="auto"/>
        <w:rPr>
          <w:rFonts w:ascii="Arial" w:hAnsi="Arial" w:cs="Arial"/>
          <w:b/>
          <w:bCs/>
          <w:sz w:val="24"/>
          <w:szCs w:val="24"/>
        </w:rPr>
      </w:pPr>
    </w:p>
    <w:p w14:paraId="5810FD1E" w14:textId="77777777" w:rsidR="00E47B5C" w:rsidRDefault="00E47B5C" w:rsidP="00522CB2">
      <w:pPr>
        <w:spacing w:line="360" w:lineRule="auto"/>
        <w:rPr>
          <w:rFonts w:ascii="Arial" w:hAnsi="Arial" w:cs="Arial"/>
          <w:b/>
          <w:bCs/>
          <w:sz w:val="24"/>
          <w:szCs w:val="24"/>
        </w:rPr>
      </w:pPr>
    </w:p>
    <w:p w14:paraId="7A79F53B" w14:textId="77777777" w:rsidR="00E47B5C" w:rsidRDefault="00E47B5C" w:rsidP="00522CB2">
      <w:pPr>
        <w:spacing w:line="360" w:lineRule="auto"/>
        <w:rPr>
          <w:rFonts w:ascii="Arial" w:hAnsi="Arial" w:cs="Arial"/>
          <w:b/>
          <w:bCs/>
          <w:sz w:val="24"/>
          <w:szCs w:val="24"/>
        </w:rPr>
      </w:pPr>
    </w:p>
    <w:p w14:paraId="2AEF0196" w14:textId="77777777" w:rsidR="00E47B5C" w:rsidRDefault="00E47B5C" w:rsidP="00522CB2">
      <w:pPr>
        <w:spacing w:line="360" w:lineRule="auto"/>
        <w:rPr>
          <w:rFonts w:ascii="Arial" w:hAnsi="Arial" w:cs="Arial"/>
          <w:b/>
          <w:bCs/>
          <w:sz w:val="24"/>
          <w:szCs w:val="24"/>
        </w:rPr>
      </w:pPr>
    </w:p>
    <w:p w14:paraId="1C088FDC" w14:textId="77777777" w:rsidR="00E47B5C" w:rsidRDefault="00E47B5C" w:rsidP="00522CB2">
      <w:pPr>
        <w:spacing w:line="360" w:lineRule="auto"/>
        <w:rPr>
          <w:rFonts w:ascii="Arial" w:hAnsi="Arial" w:cs="Arial"/>
          <w:b/>
          <w:bCs/>
          <w:sz w:val="24"/>
          <w:szCs w:val="24"/>
        </w:rPr>
      </w:pPr>
    </w:p>
    <w:p w14:paraId="4688EA6D" w14:textId="77777777" w:rsidR="00E47B5C" w:rsidRDefault="00E47B5C" w:rsidP="00522CB2">
      <w:pPr>
        <w:spacing w:line="360" w:lineRule="auto"/>
        <w:rPr>
          <w:rFonts w:ascii="Arial" w:hAnsi="Arial" w:cs="Arial"/>
          <w:b/>
          <w:bCs/>
          <w:sz w:val="24"/>
          <w:szCs w:val="24"/>
        </w:rPr>
      </w:pPr>
    </w:p>
    <w:p w14:paraId="56358462" w14:textId="77777777" w:rsidR="00E47B5C" w:rsidRDefault="00E47B5C" w:rsidP="00522CB2">
      <w:pPr>
        <w:spacing w:line="360" w:lineRule="auto"/>
        <w:rPr>
          <w:rFonts w:ascii="Arial" w:hAnsi="Arial" w:cs="Arial"/>
          <w:b/>
          <w:bCs/>
          <w:sz w:val="24"/>
          <w:szCs w:val="24"/>
        </w:rPr>
      </w:pPr>
    </w:p>
    <w:p w14:paraId="3BE6E774" w14:textId="77777777" w:rsidR="00E47B5C" w:rsidRDefault="00E47B5C" w:rsidP="00522CB2">
      <w:pPr>
        <w:spacing w:line="360" w:lineRule="auto"/>
        <w:rPr>
          <w:rFonts w:ascii="Arial" w:hAnsi="Arial" w:cs="Arial"/>
          <w:b/>
          <w:bCs/>
          <w:sz w:val="24"/>
          <w:szCs w:val="24"/>
        </w:rPr>
      </w:pPr>
    </w:p>
    <w:p w14:paraId="4905FC8A" w14:textId="77777777" w:rsidR="00E47B5C" w:rsidRDefault="00E47B5C" w:rsidP="00522CB2">
      <w:pPr>
        <w:spacing w:line="360" w:lineRule="auto"/>
        <w:rPr>
          <w:rFonts w:ascii="Arial" w:hAnsi="Arial" w:cs="Arial"/>
          <w:b/>
          <w:bCs/>
          <w:sz w:val="24"/>
          <w:szCs w:val="24"/>
        </w:rPr>
      </w:pPr>
    </w:p>
    <w:p w14:paraId="36EC54D3" w14:textId="77777777" w:rsidR="00E47B5C" w:rsidRDefault="00E47B5C" w:rsidP="00522CB2">
      <w:pPr>
        <w:spacing w:line="360" w:lineRule="auto"/>
        <w:rPr>
          <w:rFonts w:ascii="Arial" w:hAnsi="Arial" w:cs="Arial"/>
          <w:b/>
          <w:bCs/>
          <w:sz w:val="24"/>
          <w:szCs w:val="24"/>
        </w:rPr>
      </w:pPr>
    </w:p>
    <w:p w14:paraId="5A5E574C" w14:textId="77777777" w:rsidR="00E47B5C" w:rsidRDefault="00E47B5C" w:rsidP="00522CB2">
      <w:pPr>
        <w:spacing w:line="360" w:lineRule="auto"/>
        <w:rPr>
          <w:rFonts w:ascii="Arial" w:hAnsi="Arial" w:cs="Arial"/>
          <w:b/>
          <w:bCs/>
          <w:sz w:val="24"/>
          <w:szCs w:val="24"/>
        </w:rPr>
      </w:pPr>
    </w:p>
    <w:p w14:paraId="108C56D7" w14:textId="77777777" w:rsidR="00E47B5C" w:rsidRDefault="00E47B5C" w:rsidP="00522CB2">
      <w:pPr>
        <w:spacing w:line="360" w:lineRule="auto"/>
        <w:rPr>
          <w:rFonts w:ascii="Arial" w:hAnsi="Arial" w:cs="Arial"/>
          <w:b/>
          <w:bCs/>
          <w:sz w:val="24"/>
          <w:szCs w:val="24"/>
        </w:rPr>
      </w:pPr>
    </w:p>
    <w:p w14:paraId="4910C233" w14:textId="72EC23E2" w:rsidR="00522CB2" w:rsidRPr="00522CB2" w:rsidRDefault="00522CB2" w:rsidP="00522CB2">
      <w:pPr>
        <w:spacing w:line="360" w:lineRule="auto"/>
        <w:rPr>
          <w:rFonts w:ascii="Arial" w:hAnsi="Arial" w:cs="Arial"/>
          <w:b/>
          <w:bCs/>
          <w:sz w:val="24"/>
          <w:szCs w:val="24"/>
        </w:rPr>
      </w:pPr>
      <w:r w:rsidRPr="00522CB2">
        <w:rPr>
          <w:rFonts w:ascii="Arial" w:hAnsi="Arial" w:cs="Arial"/>
          <w:b/>
          <w:bCs/>
          <w:sz w:val="24"/>
          <w:szCs w:val="24"/>
        </w:rPr>
        <w:lastRenderedPageBreak/>
        <w:t>Reference list</w:t>
      </w:r>
    </w:p>
    <w:p w14:paraId="22F6FDE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abc Food Law (2025). </w:t>
      </w:r>
      <w:r w:rsidRPr="00522CB2">
        <w:rPr>
          <w:rFonts w:ascii="Arial" w:hAnsi="Arial" w:cs="Arial"/>
          <w:i/>
          <w:iCs/>
          <w:sz w:val="24"/>
          <w:szCs w:val="24"/>
        </w:rPr>
        <w:t>News | ABC Food Safety</w:t>
      </w:r>
      <w:r w:rsidRPr="00522CB2">
        <w:rPr>
          <w:rFonts w:ascii="Arial" w:hAnsi="Arial" w:cs="Arial"/>
          <w:sz w:val="24"/>
          <w:szCs w:val="24"/>
        </w:rPr>
        <w:t>. [online] Abcfoodlaw.co.uk. Available at: https://www.abcfoodlaw.co.uk/news/three-restaurants-fined-after-serving-unsafe-meals-to-allergy-sufferers/?utm_source=chatgpt.com [Accessed 7 Mar. 2026].</w:t>
      </w:r>
    </w:p>
    <w:p w14:paraId="7877B63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Armstrong, M. and Taylor, S. (2023). </w:t>
      </w:r>
      <w:r w:rsidRPr="00522CB2">
        <w:rPr>
          <w:rFonts w:ascii="Arial" w:hAnsi="Arial" w:cs="Arial"/>
          <w:i/>
          <w:iCs/>
          <w:sz w:val="24"/>
          <w:szCs w:val="24"/>
        </w:rPr>
        <w:t>Armstrong’s Handbook of Human Resource Management Practice</w:t>
      </w:r>
      <w:r w:rsidRPr="00522CB2">
        <w:rPr>
          <w:rFonts w:ascii="Arial" w:hAnsi="Arial" w:cs="Arial"/>
          <w:sz w:val="24"/>
          <w:szCs w:val="24"/>
        </w:rPr>
        <w:t>. 16th ed. Kogan Page.</w:t>
      </w:r>
    </w:p>
    <w:p w14:paraId="2397909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Beardwell, J. and Thompson, A. (2017). </w:t>
      </w:r>
      <w:r w:rsidRPr="00522CB2">
        <w:rPr>
          <w:rFonts w:ascii="Arial" w:hAnsi="Arial" w:cs="Arial"/>
          <w:i/>
          <w:iCs/>
          <w:sz w:val="24"/>
          <w:szCs w:val="24"/>
        </w:rPr>
        <w:t>Human Resource Management : a Contemporary approach.</w:t>
      </w:r>
      <w:r w:rsidRPr="00522CB2">
        <w:rPr>
          <w:rFonts w:ascii="Arial" w:hAnsi="Arial" w:cs="Arial"/>
          <w:sz w:val="24"/>
          <w:szCs w:val="24"/>
        </w:rPr>
        <w:t xml:space="preserve"> 8th ed. Harlow, England: Pearson.</w:t>
      </w:r>
    </w:p>
    <w:p w14:paraId="0892B48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Cinnamon Kitchen Ltd (2025). </w:t>
      </w:r>
      <w:r w:rsidRPr="00522CB2">
        <w:rPr>
          <w:rFonts w:ascii="Arial" w:hAnsi="Arial" w:cs="Arial"/>
          <w:i/>
          <w:iCs/>
          <w:sz w:val="24"/>
          <w:szCs w:val="24"/>
        </w:rPr>
        <w:t>Cinnamon Kitchen Indian Restaurant Aberavon Sea Front – Exquisite Indian Cuisine with Stunning Sea Views</w:t>
      </w:r>
      <w:r w:rsidRPr="00522CB2">
        <w:rPr>
          <w:rFonts w:ascii="Arial" w:hAnsi="Arial" w:cs="Arial"/>
          <w:sz w:val="24"/>
          <w:szCs w:val="24"/>
        </w:rPr>
        <w:t>. [online] Cinnamonkitchenpt.co.uk. Available at: https://cinnamonkitchenpt.co.uk/ [Accessed 1 Mar. 2026].</w:t>
      </w:r>
    </w:p>
    <w:p w14:paraId="7F24069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Djekic, I. and Smigic, N. (2025). Revisiting Key Performance Indicators That Evaluate Food Safety Management Systems: a Short Review. </w:t>
      </w:r>
      <w:r w:rsidRPr="00522CB2">
        <w:rPr>
          <w:rFonts w:ascii="Arial" w:hAnsi="Arial" w:cs="Arial"/>
          <w:i/>
          <w:iCs/>
          <w:sz w:val="24"/>
          <w:szCs w:val="24"/>
        </w:rPr>
        <w:t>Foods</w:t>
      </w:r>
      <w:r w:rsidRPr="00522CB2">
        <w:rPr>
          <w:rFonts w:ascii="Arial" w:hAnsi="Arial" w:cs="Arial"/>
          <w:sz w:val="24"/>
          <w:szCs w:val="24"/>
        </w:rPr>
        <w:t>, [online] 14(21), p.3742. doi:https://doi.org/10.3390/foods14213742.</w:t>
      </w:r>
    </w:p>
    <w:p w14:paraId="241EACF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 (FSA) (2025). </w:t>
      </w:r>
      <w:r w:rsidRPr="00522CB2">
        <w:rPr>
          <w:rFonts w:ascii="Arial" w:hAnsi="Arial" w:cs="Arial"/>
          <w:i/>
          <w:iCs/>
          <w:sz w:val="24"/>
          <w:szCs w:val="24"/>
        </w:rPr>
        <w:t>Allergen Guidance for Food Businesses</w:t>
      </w:r>
      <w:r w:rsidRPr="00522CB2">
        <w:rPr>
          <w:rFonts w:ascii="Arial" w:hAnsi="Arial" w:cs="Arial"/>
          <w:sz w:val="24"/>
          <w:szCs w:val="24"/>
        </w:rPr>
        <w:t>. [online] Food Standards Agency. Available at: https://www.food.gov.uk/business-guidance/allergen-guidance-for-food-businesses [Accessed 13 Mar. 2026].</w:t>
      </w:r>
    </w:p>
    <w:p w14:paraId="47DF8522"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Agency(FSA) (2017). </w:t>
      </w:r>
      <w:r w:rsidRPr="00522CB2">
        <w:rPr>
          <w:rFonts w:ascii="Arial" w:hAnsi="Arial" w:cs="Arial"/>
          <w:i/>
          <w:iCs/>
          <w:sz w:val="24"/>
          <w:szCs w:val="24"/>
        </w:rPr>
        <w:t>Hazard Analysis and Critical Control Point (HACCP)</w:t>
      </w:r>
      <w:r w:rsidRPr="00522CB2">
        <w:rPr>
          <w:rFonts w:ascii="Arial" w:hAnsi="Arial" w:cs="Arial"/>
          <w:sz w:val="24"/>
          <w:szCs w:val="24"/>
        </w:rPr>
        <w:t>. [online] Food Standards Agency. Available at: https://www.food.gov.uk/business-guidance/hazard-analysis-and-critical-control-point-haccp [Accessed 9 Mar. 2026].</w:t>
      </w:r>
    </w:p>
    <w:p w14:paraId="650342A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Agency(FSA) (2022). </w:t>
      </w:r>
      <w:r w:rsidRPr="00522CB2">
        <w:rPr>
          <w:rFonts w:ascii="Arial" w:hAnsi="Arial" w:cs="Arial"/>
          <w:i/>
          <w:iCs/>
          <w:sz w:val="24"/>
          <w:szCs w:val="24"/>
        </w:rPr>
        <w:t>FSA Research Suggests New Higher Estimates for the Role of Food in UK Illness</w:t>
      </w:r>
      <w:r w:rsidRPr="00522CB2">
        <w:rPr>
          <w:rFonts w:ascii="Arial" w:hAnsi="Arial" w:cs="Arial"/>
          <w:sz w:val="24"/>
          <w:szCs w:val="24"/>
        </w:rPr>
        <w:t>. [online] Food Standards Agency. Available at: https://www.food.gov.uk/news-alerts/news/fsa-research-suggests-new-higher-estimates-for-the-role-of-food-in-uk-illness [Accessed 12 Mar. 2026].</w:t>
      </w:r>
    </w:p>
    <w:p w14:paraId="4921616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Agency(FSA) (2023). </w:t>
      </w:r>
      <w:r w:rsidRPr="00522CB2">
        <w:rPr>
          <w:rFonts w:ascii="Arial" w:hAnsi="Arial" w:cs="Arial"/>
          <w:i/>
          <w:iCs/>
          <w:sz w:val="24"/>
          <w:szCs w:val="24"/>
        </w:rPr>
        <w:t>Cinnamon Kitchen | Rating Business Details | Food Hygiene Ratings</w:t>
      </w:r>
      <w:r w:rsidRPr="00522CB2">
        <w:rPr>
          <w:rFonts w:ascii="Arial" w:hAnsi="Arial" w:cs="Arial"/>
          <w:sz w:val="24"/>
          <w:szCs w:val="24"/>
        </w:rPr>
        <w:t>. [online] ratings.food.gov.uk. Available at: https://ratings.food.gov.uk/business/576604 [Accessed 11 Mar. 2026].</w:t>
      </w:r>
    </w:p>
    <w:p w14:paraId="20A1961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 xml:space="preserve">Food Standards Agency(FSA) (2025). </w:t>
      </w:r>
      <w:r w:rsidRPr="00522CB2">
        <w:rPr>
          <w:rFonts w:ascii="Arial" w:hAnsi="Arial" w:cs="Arial"/>
          <w:i/>
          <w:iCs/>
          <w:sz w:val="24"/>
          <w:szCs w:val="24"/>
        </w:rPr>
        <w:t>Safer food, Better Business (SFBB)</w:t>
      </w:r>
      <w:r w:rsidRPr="00522CB2">
        <w:rPr>
          <w:rFonts w:ascii="Arial" w:hAnsi="Arial" w:cs="Arial"/>
          <w:sz w:val="24"/>
          <w:szCs w:val="24"/>
        </w:rPr>
        <w:t>. [online] Food Standards Agency. Available at: https://www.food.gov.uk/business-guidance/safer-food-better-business-sfbb [Accessed 13 Mar. 2026].</w:t>
      </w:r>
    </w:p>
    <w:p w14:paraId="7208A22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GOV.UK (2026). </w:t>
      </w:r>
      <w:r w:rsidRPr="00522CB2">
        <w:rPr>
          <w:rFonts w:ascii="Arial" w:hAnsi="Arial" w:cs="Arial"/>
          <w:i/>
          <w:iCs/>
          <w:sz w:val="24"/>
          <w:szCs w:val="24"/>
        </w:rPr>
        <w:t>Food Safety Act 1990</w:t>
      </w:r>
      <w:r w:rsidRPr="00522CB2">
        <w:rPr>
          <w:rFonts w:ascii="Arial" w:hAnsi="Arial" w:cs="Arial"/>
          <w:sz w:val="24"/>
          <w:szCs w:val="24"/>
        </w:rPr>
        <w:t>. [online] Legislation.gov.uk. Available at: https://www.legislation.gov.uk/ukpga/1990/16/contents [Accessed 13 Mar. 2026].</w:t>
      </w:r>
    </w:p>
    <w:p w14:paraId="5040FD1E"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Honey, P. and Mumford, A. (1986). </w:t>
      </w:r>
      <w:r w:rsidRPr="00522CB2">
        <w:rPr>
          <w:rFonts w:ascii="Arial" w:hAnsi="Arial" w:cs="Arial"/>
          <w:i/>
          <w:iCs/>
          <w:sz w:val="24"/>
          <w:szCs w:val="24"/>
        </w:rPr>
        <w:t>The Manual of Learning Styles</w:t>
      </w:r>
      <w:r w:rsidRPr="00522CB2">
        <w:rPr>
          <w:rFonts w:ascii="Arial" w:hAnsi="Arial" w:cs="Arial"/>
          <w:sz w:val="24"/>
          <w:szCs w:val="24"/>
        </w:rPr>
        <w:t>. Maidenhead, Angleterre, Ardingly House.</w:t>
      </w:r>
    </w:p>
    <w:p w14:paraId="683B510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Kirkpatrick, D.L. and Kirkpatrick, J.D. (2006). </w:t>
      </w:r>
      <w:r w:rsidRPr="00522CB2">
        <w:rPr>
          <w:rFonts w:ascii="Arial" w:hAnsi="Arial" w:cs="Arial"/>
          <w:i/>
          <w:iCs/>
          <w:sz w:val="24"/>
          <w:szCs w:val="24"/>
        </w:rPr>
        <w:t>Evaluating Training Programs: the Four Levels</w:t>
      </w:r>
      <w:r w:rsidRPr="00522CB2">
        <w:rPr>
          <w:rFonts w:ascii="Arial" w:hAnsi="Arial" w:cs="Arial"/>
          <w:sz w:val="24"/>
          <w:szCs w:val="24"/>
        </w:rPr>
        <w:t>. San Francisco, Ca: Berrett-Koehler.</w:t>
      </w:r>
    </w:p>
    <w:p w14:paraId="46A026F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Kolb, D.A. (1984). </w:t>
      </w:r>
      <w:r w:rsidRPr="00522CB2">
        <w:rPr>
          <w:rFonts w:ascii="Arial" w:hAnsi="Arial" w:cs="Arial"/>
          <w:i/>
          <w:iCs/>
          <w:sz w:val="24"/>
          <w:szCs w:val="24"/>
        </w:rPr>
        <w:t>Experiential Learning: Experience as the Source of Learning and Development</w:t>
      </w:r>
      <w:r w:rsidRPr="00522CB2">
        <w:rPr>
          <w:rFonts w:ascii="Arial" w:hAnsi="Arial" w:cs="Arial"/>
          <w:sz w:val="24"/>
          <w:szCs w:val="24"/>
        </w:rPr>
        <w:t>. Upper Saddle River, New Jersey: Pearson Education Inc.</w:t>
      </w:r>
    </w:p>
    <w:p w14:paraId="090314F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LEIGHDAY (2025). </w:t>
      </w:r>
      <w:r w:rsidRPr="00522CB2">
        <w:rPr>
          <w:rFonts w:ascii="Arial" w:hAnsi="Arial" w:cs="Arial"/>
          <w:i/>
          <w:iCs/>
          <w:sz w:val="24"/>
          <w:szCs w:val="24"/>
        </w:rPr>
        <w:t>Family of Girl Who Died after Allergic Reaction Welcome Fine</w:t>
      </w:r>
      <w:r w:rsidRPr="00522CB2">
        <w:rPr>
          <w:rFonts w:ascii="Arial" w:hAnsi="Arial" w:cs="Arial"/>
          <w:sz w:val="24"/>
          <w:szCs w:val="24"/>
        </w:rPr>
        <w:t>. [online] Leigh Day. Available at: https://www.leighday.co.uk/news/press-releases/2025-news/family-of-12-year-old-girl-from-london-who-died-after-severe-allergic-reaction-to-a-milkshake-containing-nuts-welcome-fine-and-community-order-for-cafe-operator/ [Accessed 10 Mar. 2026].</w:t>
      </w:r>
    </w:p>
    <w:p w14:paraId="564815A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Miller, V. (2025). </w:t>
      </w:r>
      <w:r w:rsidRPr="00522CB2">
        <w:rPr>
          <w:rFonts w:ascii="Arial" w:hAnsi="Arial" w:cs="Arial"/>
          <w:i/>
          <w:iCs/>
          <w:sz w:val="24"/>
          <w:szCs w:val="24"/>
        </w:rPr>
        <w:t>London Café Fined following Death of Girl from Allergic Reaction</w:t>
      </w:r>
      <w:r w:rsidRPr="00522CB2">
        <w:rPr>
          <w:rFonts w:ascii="Arial" w:hAnsi="Arial" w:cs="Arial"/>
          <w:sz w:val="24"/>
          <w:szCs w:val="24"/>
        </w:rPr>
        <w:t>. [online] The Caterer. Available at: https://www.thecaterer.com/news/london-cafe-fined-following-death-of-girl-from-allergic-reaction?utm_source=chatgpt.com [Accessed 10 Mar. 2026].</w:t>
      </w:r>
    </w:p>
    <w:p w14:paraId="2673A44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Nurhayati Khairatun, Siti, Abu, Z., Mutalib, A. and Ungku, F. (2021). </w:t>
      </w:r>
      <w:r w:rsidRPr="00522CB2">
        <w:rPr>
          <w:rFonts w:ascii="Arial" w:hAnsi="Arial" w:cs="Arial"/>
          <w:i/>
          <w:iCs/>
          <w:sz w:val="24"/>
          <w:szCs w:val="24"/>
        </w:rPr>
        <w:t>Food Safety Practices in the Restaurant Industry</w:t>
      </w:r>
      <w:r w:rsidRPr="00522CB2">
        <w:rPr>
          <w:rFonts w:ascii="Arial" w:hAnsi="Arial" w:cs="Arial"/>
          <w:sz w:val="24"/>
          <w:szCs w:val="24"/>
        </w:rPr>
        <w:t>. IGI Global.</w:t>
      </w:r>
    </w:p>
    <w:p w14:paraId="3D71EDE4"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O’Regan, V. (2024). </w:t>
      </w:r>
      <w:r w:rsidRPr="00522CB2">
        <w:rPr>
          <w:rFonts w:ascii="Arial" w:hAnsi="Arial" w:cs="Arial"/>
          <w:i/>
          <w:iCs/>
          <w:sz w:val="24"/>
          <w:szCs w:val="24"/>
        </w:rPr>
        <w:t>Test Yourself on Christmas Food Safety</w:t>
      </w:r>
      <w:r w:rsidRPr="00522CB2">
        <w:rPr>
          <w:rFonts w:ascii="Arial" w:hAnsi="Arial" w:cs="Arial"/>
          <w:sz w:val="24"/>
          <w:szCs w:val="24"/>
        </w:rPr>
        <w:t>. [online] The Hub | High Speed Training. Available at: https://www.highspeedtraining.co.uk/hub/food-safety-awareness-quiz/ [Accessed 8 Mar. 2026].</w:t>
      </w:r>
    </w:p>
    <w:p w14:paraId="56C0233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Swansea Bay News (2025). </w:t>
      </w:r>
      <w:r w:rsidRPr="00522CB2">
        <w:rPr>
          <w:rFonts w:ascii="Arial" w:hAnsi="Arial" w:cs="Arial"/>
          <w:i/>
          <w:iCs/>
          <w:sz w:val="24"/>
          <w:szCs w:val="24"/>
        </w:rPr>
        <w:t>Swansea Restaurants Fined after Serving Unsafe Meals to Allergy Sufferers</w:t>
      </w:r>
      <w:r w:rsidRPr="00522CB2">
        <w:rPr>
          <w:rFonts w:ascii="Arial" w:hAnsi="Arial" w:cs="Arial"/>
          <w:sz w:val="24"/>
          <w:szCs w:val="24"/>
        </w:rPr>
        <w:t>. [online] Swansea Bay News. Available at: https://swanseabaynews.com/swansea-restaurants-fined-after-serving-unsafe-meals-to-allergy-sufferers/ [Accessed 9 Mar. 2026].</w:t>
      </w:r>
    </w:p>
    <w:p w14:paraId="2413B13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 xml:space="preserve">WHO (2024). </w:t>
      </w:r>
      <w:r w:rsidRPr="00522CB2">
        <w:rPr>
          <w:rFonts w:ascii="Arial" w:hAnsi="Arial" w:cs="Arial"/>
          <w:i/>
          <w:iCs/>
          <w:sz w:val="24"/>
          <w:szCs w:val="24"/>
        </w:rPr>
        <w:t>Food Safety</w:t>
      </w:r>
      <w:r w:rsidRPr="00522CB2">
        <w:rPr>
          <w:rFonts w:ascii="Arial" w:hAnsi="Arial" w:cs="Arial"/>
          <w:sz w:val="24"/>
          <w:szCs w:val="24"/>
        </w:rPr>
        <w:t>. [online] Who.int. Available at: https://www.who.int/news-room/fact-sheets/detail/food-safety [Accessed 8 Mar. 2026].</w:t>
      </w:r>
    </w:p>
    <w:p w14:paraId="1EB4DDE9" w14:textId="77777777" w:rsidR="00522CB2" w:rsidRDefault="00522CB2" w:rsidP="00522CB2">
      <w:pPr>
        <w:spacing w:line="360" w:lineRule="auto"/>
        <w:rPr>
          <w:rFonts w:ascii="Arial" w:hAnsi="Arial" w:cs="Arial"/>
          <w:sz w:val="24"/>
          <w:szCs w:val="24"/>
        </w:rPr>
      </w:pPr>
    </w:p>
    <w:p w14:paraId="202DCACC" w14:textId="77777777" w:rsidR="00E47B5C" w:rsidRDefault="00E47B5C" w:rsidP="001E2F54">
      <w:pPr>
        <w:spacing w:line="360" w:lineRule="auto"/>
        <w:rPr>
          <w:rFonts w:ascii="Arial" w:hAnsi="Arial" w:cs="Arial"/>
          <w:b/>
          <w:bCs/>
          <w:sz w:val="24"/>
          <w:szCs w:val="24"/>
        </w:rPr>
      </w:pPr>
    </w:p>
    <w:p w14:paraId="3208EACE" w14:textId="77777777" w:rsidR="00E47B5C" w:rsidRDefault="00E47B5C" w:rsidP="001E2F54">
      <w:pPr>
        <w:spacing w:line="360" w:lineRule="auto"/>
        <w:rPr>
          <w:rFonts w:ascii="Arial" w:hAnsi="Arial" w:cs="Arial"/>
          <w:b/>
          <w:bCs/>
          <w:sz w:val="24"/>
          <w:szCs w:val="24"/>
        </w:rPr>
      </w:pPr>
    </w:p>
    <w:p w14:paraId="6BA7DCE1" w14:textId="17C9C14A" w:rsidR="001E2F54" w:rsidRPr="00E47B5C" w:rsidRDefault="001E2F54" w:rsidP="001E2F54">
      <w:pPr>
        <w:spacing w:line="360" w:lineRule="auto"/>
        <w:rPr>
          <w:rFonts w:ascii="Arial" w:hAnsi="Arial" w:cs="Arial"/>
          <w:b/>
          <w:bCs/>
          <w:sz w:val="24"/>
          <w:szCs w:val="24"/>
        </w:rPr>
      </w:pPr>
      <w:r w:rsidRPr="00E47B5C">
        <w:rPr>
          <w:rFonts w:ascii="Arial" w:hAnsi="Arial" w:cs="Arial"/>
          <w:b/>
          <w:bCs/>
          <w:sz w:val="24"/>
          <w:szCs w:val="24"/>
        </w:rPr>
        <w:t>Appendices</w:t>
      </w:r>
    </w:p>
    <w:p w14:paraId="32B2F0E0" w14:textId="1E37C453"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Appendix : Training Presentation Evidence</w:t>
      </w:r>
    </w:p>
    <w:p w14:paraId="15CFA2A3"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1: Learning Objectives Slide</w:t>
      </w:r>
    </w:p>
    <w:p w14:paraId="5B9DA7FF" w14:textId="12C9A472" w:rsidR="001E2F54" w:rsidRPr="001E2F54" w:rsidRDefault="001E2F54" w:rsidP="001E2F54">
      <w:pPr>
        <w:spacing w:line="360" w:lineRule="auto"/>
        <w:rPr>
          <w:rFonts w:ascii="Arial" w:hAnsi="Arial" w:cs="Arial"/>
          <w:sz w:val="24"/>
          <w:szCs w:val="24"/>
        </w:rPr>
      </w:pPr>
      <w:r>
        <w:rPr>
          <w:noProof/>
        </w:rPr>
        <w:drawing>
          <wp:inline distT="0" distB="0" distL="0" distR="0" wp14:anchorId="42274DAF" wp14:editId="615C4397">
            <wp:extent cx="5731510" cy="3128010"/>
            <wp:effectExtent l="0" t="0" r="2540" b="0"/>
            <wp:docPr id="467505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28010"/>
                    </a:xfrm>
                    <a:prstGeom prst="rect">
                      <a:avLst/>
                    </a:prstGeom>
                    <a:noFill/>
                    <a:ln>
                      <a:noFill/>
                    </a:ln>
                  </pic:spPr>
                </pic:pic>
              </a:graphicData>
            </a:graphic>
          </wp:inline>
        </w:drawing>
      </w:r>
    </w:p>
    <w:p w14:paraId="6BEC2714" w14:textId="77777777" w:rsidR="00E47B5C" w:rsidRDefault="00E47B5C" w:rsidP="001E2F54">
      <w:pPr>
        <w:spacing w:line="360" w:lineRule="auto"/>
        <w:rPr>
          <w:rFonts w:ascii="Arial" w:hAnsi="Arial" w:cs="Arial"/>
          <w:sz w:val="24"/>
          <w:szCs w:val="24"/>
        </w:rPr>
      </w:pPr>
    </w:p>
    <w:p w14:paraId="7915E7ED" w14:textId="77777777" w:rsidR="00E47B5C" w:rsidRDefault="00E47B5C" w:rsidP="001E2F54">
      <w:pPr>
        <w:spacing w:line="360" w:lineRule="auto"/>
        <w:rPr>
          <w:rFonts w:ascii="Arial" w:hAnsi="Arial" w:cs="Arial"/>
          <w:sz w:val="24"/>
          <w:szCs w:val="24"/>
        </w:rPr>
      </w:pPr>
    </w:p>
    <w:p w14:paraId="47BFBB44" w14:textId="77777777" w:rsidR="00E47B5C" w:rsidRDefault="00E47B5C" w:rsidP="001E2F54">
      <w:pPr>
        <w:spacing w:line="360" w:lineRule="auto"/>
        <w:rPr>
          <w:rFonts w:ascii="Arial" w:hAnsi="Arial" w:cs="Arial"/>
          <w:sz w:val="24"/>
          <w:szCs w:val="24"/>
        </w:rPr>
      </w:pPr>
    </w:p>
    <w:p w14:paraId="4655B281" w14:textId="77777777" w:rsidR="00E47B5C" w:rsidRDefault="00E47B5C" w:rsidP="001E2F54">
      <w:pPr>
        <w:spacing w:line="360" w:lineRule="auto"/>
        <w:rPr>
          <w:rFonts w:ascii="Arial" w:hAnsi="Arial" w:cs="Arial"/>
          <w:sz w:val="24"/>
          <w:szCs w:val="24"/>
        </w:rPr>
      </w:pPr>
    </w:p>
    <w:p w14:paraId="072BB0E7" w14:textId="77777777" w:rsidR="00E47B5C" w:rsidRDefault="00E47B5C" w:rsidP="001E2F54">
      <w:pPr>
        <w:spacing w:line="360" w:lineRule="auto"/>
        <w:rPr>
          <w:rFonts w:ascii="Arial" w:hAnsi="Arial" w:cs="Arial"/>
          <w:sz w:val="24"/>
          <w:szCs w:val="24"/>
        </w:rPr>
      </w:pPr>
    </w:p>
    <w:p w14:paraId="3655916C" w14:textId="77777777" w:rsidR="00E47B5C" w:rsidRDefault="00E47B5C" w:rsidP="001E2F54">
      <w:pPr>
        <w:spacing w:line="360" w:lineRule="auto"/>
        <w:rPr>
          <w:rFonts w:ascii="Arial" w:hAnsi="Arial" w:cs="Arial"/>
          <w:sz w:val="24"/>
          <w:szCs w:val="24"/>
        </w:rPr>
      </w:pPr>
    </w:p>
    <w:p w14:paraId="450BCCA8" w14:textId="77777777" w:rsidR="00E47B5C" w:rsidRDefault="00E47B5C" w:rsidP="001E2F54">
      <w:pPr>
        <w:spacing w:line="360" w:lineRule="auto"/>
        <w:rPr>
          <w:rFonts w:ascii="Arial" w:hAnsi="Arial" w:cs="Arial"/>
          <w:sz w:val="24"/>
          <w:szCs w:val="24"/>
        </w:rPr>
      </w:pPr>
    </w:p>
    <w:p w14:paraId="3C853966" w14:textId="77777777" w:rsidR="00E47B5C" w:rsidRDefault="00E47B5C" w:rsidP="001E2F54">
      <w:pPr>
        <w:spacing w:line="360" w:lineRule="auto"/>
        <w:rPr>
          <w:rFonts w:ascii="Arial" w:hAnsi="Arial" w:cs="Arial"/>
          <w:sz w:val="24"/>
          <w:szCs w:val="24"/>
        </w:rPr>
      </w:pPr>
    </w:p>
    <w:p w14:paraId="4A42D999" w14:textId="70B7214B"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Figure 2: Temperature Control Slide</w:t>
      </w:r>
    </w:p>
    <w:p w14:paraId="3809F98E" w14:textId="7E2F9D5B" w:rsidR="001E2F54" w:rsidRPr="001E2F54" w:rsidRDefault="00DC74D5" w:rsidP="001E2F54">
      <w:pPr>
        <w:spacing w:line="360" w:lineRule="auto"/>
        <w:rPr>
          <w:rFonts w:ascii="Arial" w:hAnsi="Arial" w:cs="Arial"/>
          <w:sz w:val="24"/>
          <w:szCs w:val="24"/>
        </w:rPr>
      </w:pPr>
      <w:r>
        <w:rPr>
          <w:noProof/>
        </w:rPr>
        <w:drawing>
          <wp:inline distT="0" distB="0" distL="0" distR="0" wp14:anchorId="0FBC8821" wp14:editId="1383A21A">
            <wp:extent cx="5731510" cy="3119755"/>
            <wp:effectExtent l="0" t="0" r="2540" b="4445"/>
            <wp:docPr id="12484680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19755"/>
                    </a:xfrm>
                    <a:prstGeom prst="rect">
                      <a:avLst/>
                    </a:prstGeom>
                    <a:noFill/>
                    <a:ln>
                      <a:noFill/>
                    </a:ln>
                  </pic:spPr>
                </pic:pic>
              </a:graphicData>
            </a:graphic>
          </wp:inline>
        </w:drawing>
      </w:r>
    </w:p>
    <w:p w14:paraId="71B77E85"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This figure supports the discussion of bacterial growth prevention and temperature monitoring.</w:t>
      </w:r>
    </w:p>
    <w:p w14:paraId="06F92C4E" w14:textId="77777777" w:rsidR="009D3CBA" w:rsidRDefault="009D3CBA" w:rsidP="001E2F54">
      <w:pPr>
        <w:spacing w:line="360" w:lineRule="auto"/>
        <w:rPr>
          <w:rFonts w:ascii="Arial" w:hAnsi="Arial" w:cs="Arial"/>
          <w:sz w:val="24"/>
          <w:szCs w:val="24"/>
        </w:rPr>
      </w:pPr>
    </w:p>
    <w:p w14:paraId="1B9D2E69" w14:textId="321912F6"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3: Allergen Awareness Slide</w:t>
      </w:r>
    </w:p>
    <w:p w14:paraId="664F3888" w14:textId="6C0EEB43" w:rsidR="001E2F54" w:rsidRPr="001E2F54" w:rsidRDefault="00DC74D5" w:rsidP="001E2F54">
      <w:pPr>
        <w:spacing w:line="360" w:lineRule="auto"/>
        <w:rPr>
          <w:rFonts w:ascii="Arial" w:hAnsi="Arial" w:cs="Arial"/>
          <w:sz w:val="24"/>
          <w:szCs w:val="24"/>
        </w:rPr>
      </w:pPr>
      <w:r>
        <w:rPr>
          <w:noProof/>
        </w:rPr>
        <w:drawing>
          <wp:inline distT="0" distB="0" distL="0" distR="0" wp14:anchorId="52005D7D" wp14:editId="1469233A">
            <wp:extent cx="5731510" cy="3153410"/>
            <wp:effectExtent l="0" t="0" r="2540" b="8890"/>
            <wp:docPr id="396438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53410"/>
                    </a:xfrm>
                    <a:prstGeom prst="rect">
                      <a:avLst/>
                    </a:prstGeom>
                    <a:noFill/>
                    <a:ln>
                      <a:noFill/>
                    </a:ln>
                  </pic:spPr>
                </pic:pic>
              </a:graphicData>
            </a:graphic>
          </wp:inline>
        </w:drawing>
      </w:r>
    </w:p>
    <w:p w14:paraId="566AA87F" w14:textId="77777777" w:rsidR="009D3CBA" w:rsidRDefault="009D3CBA" w:rsidP="001E2F54">
      <w:pPr>
        <w:spacing w:line="360" w:lineRule="auto"/>
        <w:rPr>
          <w:rFonts w:ascii="Arial" w:hAnsi="Arial" w:cs="Arial"/>
          <w:sz w:val="24"/>
          <w:szCs w:val="24"/>
        </w:rPr>
      </w:pPr>
    </w:p>
    <w:p w14:paraId="0838B45E" w14:textId="615C27EA"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Figure 4: Real-Life Case Study Slides</w:t>
      </w:r>
    </w:p>
    <w:p w14:paraId="026C3067" w14:textId="77777777" w:rsidR="001E2F54" w:rsidRPr="001E2F54" w:rsidRDefault="001E2F54" w:rsidP="001E2F54">
      <w:pPr>
        <w:spacing w:line="360" w:lineRule="auto"/>
        <w:rPr>
          <w:rFonts w:ascii="Arial" w:hAnsi="Arial" w:cs="Arial"/>
          <w:sz w:val="24"/>
          <w:szCs w:val="24"/>
        </w:rPr>
      </w:pPr>
    </w:p>
    <w:p w14:paraId="7AD6CE38" w14:textId="57B3BDC3" w:rsidR="001E2F54" w:rsidRPr="001E2F54" w:rsidRDefault="009D3CBA" w:rsidP="001E2F54">
      <w:pPr>
        <w:spacing w:line="360" w:lineRule="auto"/>
        <w:rPr>
          <w:rFonts w:ascii="Arial" w:hAnsi="Arial" w:cs="Arial"/>
          <w:sz w:val="24"/>
          <w:szCs w:val="24"/>
        </w:rPr>
      </w:pPr>
      <w:r>
        <w:rPr>
          <w:noProof/>
        </w:rPr>
        <w:drawing>
          <wp:inline distT="0" distB="0" distL="0" distR="0" wp14:anchorId="27F963BA" wp14:editId="235122F6">
            <wp:extent cx="5731510" cy="3163570"/>
            <wp:effectExtent l="0" t="0" r="2540" b="0"/>
            <wp:docPr id="7525622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63570"/>
                    </a:xfrm>
                    <a:prstGeom prst="rect">
                      <a:avLst/>
                    </a:prstGeom>
                    <a:noFill/>
                    <a:ln>
                      <a:noFill/>
                    </a:ln>
                  </pic:spPr>
                </pic:pic>
              </a:graphicData>
            </a:graphic>
          </wp:inline>
        </w:drawing>
      </w:r>
    </w:p>
    <w:p w14:paraId="1DB22B4D"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These figures support experiential learning by showing the real legal and human consequences of poor food safety practices.</w:t>
      </w:r>
    </w:p>
    <w:p w14:paraId="5733E8E3" w14:textId="77777777" w:rsidR="001E2F54" w:rsidRPr="001E2F54" w:rsidRDefault="001E2F54" w:rsidP="001E2F54">
      <w:pPr>
        <w:spacing w:line="360" w:lineRule="auto"/>
        <w:rPr>
          <w:rFonts w:ascii="Arial" w:hAnsi="Arial" w:cs="Arial"/>
          <w:sz w:val="24"/>
          <w:szCs w:val="24"/>
        </w:rPr>
      </w:pPr>
    </w:p>
    <w:p w14:paraId="7D7A23FA"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5: Quiz Slide</w:t>
      </w:r>
    </w:p>
    <w:p w14:paraId="5983B871" w14:textId="74B109A9" w:rsidR="001E2F54" w:rsidRPr="001E2F54" w:rsidRDefault="009D3CBA" w:rsidP="001E2F54">
      <w:pPr>
        <w:spacing w:line="360" w:lineRule="auto"/>
        <w:rPr>
          <w:rFonts w:ascii="Arial" w:hAnsi="Arial" w:cs="Arial"/>
          <w:sz w:val="24"/>
          <w:szCs w:val="24"/>
        </w:rPr>
      </w:pPr>
      <w:r>
        <w:rPr>
          <w:noProof/>
        </w:rPr>
        <w:drawing>
          <wp:inline distT="0" distB="0" distL="0" distR="0" wp14:anchorId="334657DD" wp14:editId="7E36D91A">
            <wp:extent cx="5731510" cy="3110230"/>
            <wp:effectExtent l="0" t="0" r="2540" b="0"/>
            <wp:docPr id="11468500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10230"/>
                    </a:xfrm>
                    <a:prstGeom prst="rect">
                      <a:avLst/>
                    </a:prstGeom>
                    <a:noFill/>
                    <a:ln>
                      <a:noFill/>
                    </a:ln>
                  </pic:spPr>
                </pic:pic>
              </a:graphicData>
            </a:graphic>
          </wp:inline>
        </w:drawing>
      </w:r>
    </w:p>
    <w:p w14:paraId="2D47B619"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This figure provides evidence of the digital quiz used for immediate learning assessment.</w:t>
      </w:r>
    </w:p>
    <w:p w14:paraId="332197E7" w14:textId="77777777" w:rsidR="001E2F54" w:rsidRPr="001E2F54" w:rsidRDefault="001E2F54" w:rsidP="001E2F54">
      <w:pPr>
        <w:spacing w:line="360" w:lineRule="auto"/>
        <w:rPr>
          <w:rFonts w:ascii="Arial" w:hAnsi="Arial" w:cs="Arial"/>
          <w:sz w:val="24"/>
          <w:szCs w:val="24"/>
        </w:rPr>
      </w:pPr>
    </w:p>
    <w:p w14:paraId="2ACD42F3"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6: Training Evaluation Slide</w:t>
      </w:r>
    </w:p>
    <w:p w14:paraId="1BCAE55A" w14:textId="7327C8E0" w:rsidR="001E2F54" w:rsidRPr="001E2F54" w:rsidRDefault="00024947" w:rsidP="001E2F54">
      <w:pPr>
        <w:spacing w:line="360" w:lineRule="auto"/>
        <w:rPr>
          <w:rFonts w:ascii="Arial" w:hAnsi="Arial" w:cs="Arial"/>
          <w:sz w:val="24"/>
          <w:szCs w:val="24"/>
        </w:rPr>
      </w:pPr>
      <w:r>
        <w:rPr>
          <w:noProof/>
        </w:rPr>
        <w:drawing>
          <wp:inline distT="0" distB="0" distL="0" distR="0" wp14:anchorId="76E97B35" wp14:editId="3677F42C">
            <wp:extent cx="5731510" cy="3097530"/>
            <wp:effectExtent l="0" t="0" r="2540" b="7620"/>
            <wp:docPr id="11657632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97530"/>
                    </a:xfrm>
                    <a:prstGeom prst="rect">
                      <a:avLst/>
                    </a:prstGeom>
                    <a:noFill/>
                    <a:ln>
                      <a:noFill/>
                    </a:ln>
                  </pic:spPr>
                </pic:pic>
              </a:graphicData>
            </a:graphic>
          </wp:inline>
        </w:drawing>
      </w:r>
    </w:p>
    <w:p w14:paraId="51CD5C9A"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This figure supports the discussion of staff performance measurement and Kirkpatrick’s evaluation model.</w:t>
      </w:r>
    </w:p>
    <w:p w14:paraId="4E664E8B" w14:textId="77777777" w:rsidR="001E2F54" w:rsidRPr="001E2F54" w:rsidRDefault="001E2F54" w:rsidP="001E2F54">
      <w:pPr>
        <w:spacing w:line="360" w:lineRule="auto"/>
        <w:rPr>
          <w:rFonts w:ascii="Arial" w:hAnsi="Arial" w:cs="Arial"/>
          <w:sz w:val="24"/>
          <w:szCs w:val="24"/>
        </w:rPr>
      </w:pPr>
    </w:p>
    <w:p w14:paraId="098C6D92" w14:textId="77777777" w:rsidR="00E47B5C" w:rsidRDefault="00E47B5C" w:rsidP="001E2F54">
      <w:pPr>
        <w:spacing w:line="360" w:lineRule="auto"/>
        <w:rPr>
          <w:rFonts w:ascii="Arial" w:hAnsi="Arial" w:cs="Arial"/>
          <w:sz w:val="24"/>
          <w:szCs w:val="24"/>
        </w:rPr>
      </w:pPr>
    </w:p>
    <w:p w14:paraId="19FDD4A0" w14:textId="77777777" w:rsidR="00E47B5C" w:rsidRDefault="00E47B5C" w:rsidP="001E2F54">
      <w:pPr>
        <w:spacing w:line="360" w:lineRule="auto"/>
        <w:rPr>
          <w:rFonts w:ascii="Arial" w:hAnsi="Arial" w:cs="Arial"/>
          <w:sz w:val="24"/>
          <w:szCs w:val="24"/>
        </w:rPr>
      </w:pPr>
    </w:p>
    <w:p w14:paraId="635BADF6" w14:textId="77777777" w:rsidR="00E47B5C" w:rsidRDefault="00E47B5C" w:rsidP="001E2F54">
      <w:pPr>
        <w:spacing w:line="360" w:lineRule="auto"/>
        <w:rPr>
          <w:rFonts w:ascii="Arial" w:hAnsi="Arial" w:cs="Arial"/>
          <w:sz w:val="24"/>
          <w:szCs w:val="24"/>
        </w:rPr>
      </w:pPr>
    </w:p>
    <w:p w14:paraId="22B44AE9" w14:textId="77777777" w:rsidR="00E47B5C" w:rsidRDefault="00E47B5C" w:rsidP="001E2F54">
      <w:pPr>
        <w:spacing w:line="360" w:lineRule="auto"/>
        <w:rPr>
          <w:rFonts w:ascii="Arial" w:hAnsi="Arial" w:cs="Arial"/>
          <w:sz w:val="24"/>
          <w:szCs w:val="24"/>
        </w:rPr>
      </w:pPr>
    </w:p>
    <w:p w14:paraId="1EE4E136" w14:textId="77777777" w:rsidR="00E47B5C" w:rsidRDefault="00E47B5C" w:rsidP="001E2F54">
      <w:pPr>
        <w:spacing w:line="360" w:lineRule="auto"/>
        <w:rPr>
          <w:rFonts w:ascii="Arial" w:hAnsi="Arial" w:cs="Arial"/>
          <w:sz w:val="24"/>
          <w:szCs w:val="24"/>
        </w:rPr>
      </w:pPr>
    </w:p>
    <w:p w14:paraId="22415604" w14:textId="77777777" w:rsidR="00E47B5C" w:rsidRDefault="00E47B5C" w:rsidP="001E2F54">
      <w:pPr>
        <w:spacing w:line="360" w:lineRule="auto"/>
        <w:rPr>
          <w:rFonts w:ascii="Arial" w:hAnsi="Arial" w:cs="Arial"/>
          <w:sz w:val="24"/>
          <w:szCs w:val="24"/>
        </w:rPr>
      </w:pPr>
    </w:p>
    <w:p w14:paraId="3411DE64" w14:textId="77777777" w:rsidR="00E47B5C" w:rsidRDefault="00E47B5C" w:rsidP="001E2F54">
      <w:pPr>
        <w:spacing w:line="360" w:lineRule="auto"/>
        <w:rPr>
          <w:rFonts w:ascii="Arial" w:hAnsi="Arial" w:cs="Arial"/>
          <w:sz w:val="24"/>
          <w:szCs w:val="24"/>
        </w:rPr>
      </w:pPr>
    </w:p>
    <w:p w14:paraId="4C0C41D8" w14:textId="77777777" w:rsidR="00E47B5C" w:rsidRDefault="00E47B5C" w:rsidP="001E2F54">
      <w:pPr>
        <w:spacing w:line="360" w:lineRule="auto"/>
        <w:rPr>
          <w:rFonts w:ascii="Arial" w:hAnsi="Arial" w:cs="Arial"/>
          <w:sz w:val="24"/>
          <w:szCs w:val="24"/>
        </w:rPr>
      </w:pPr>
    </w:p>
    <w:p w14:paraId="7063D586" w14:textId="77777777" w:rsidR="00E47B5C" w:rsidRDefault="00E47B5C" w:rsidP="001E2F54">
      <w:pPr>
        <w:spacing w:line="360" w:lineRule="auto"/>
        <w:rPr>
          <w:rFonts w:ascii="Arial" w:hAnsi="Arial" w:cs="Arial"/>
          <w:sz w:val="24"/>
          <w:szCs w:val="24"/>
        </w:rPr>
      </w:pPr>
    </w:p>
    <w:p w14:paraId="45E01917" w14:textId="0D46CE45" w:rsid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Figure 7: Action Plan Slide</w:t>
      </w:r>
    </w:p>
    <w:p w14:paraId="6060DA03" w14:textId="5D97725C" w:rsidR="00E47B5C" w:rsidRDefault="00E47B5C" w:rsidP="001E2F54">
      <w:pPr>
        <w:spacing w:line="360" w:lineRule="auto"/>
        <w:rPr>
          <w:rFonts w:ascii="Arial" w:hAnsi="Arial" w:cs="Arial"/>
          <w:sz w:val="24"/>
          <w:szCs w:val="24"/>
        </w:rPr>
      </w:pPr>
      <w:r>
        <w:rPr>
          <w:noProof/>
        </w:rPr>
        <w:drawing>
          <wp:inline distT="0" distB="0" distL="0" distR="0" wp14:anchorId="12A032C0" wp14:editId="4A020280">
            <wp:extent cx="5731510" cy="3147060"/>
            <wp:effectExtent l="0" t="0" r="2540" b="0"/>
            <wp:docPr id="4498780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47060"/>
                    </a:xfrm>
                    <a:prstGeom prst="rect">
                      <a:avLst/>
                    </a:prstGeom>
                    <a:noFill/>
                    <a:ln>
                      <a:noFill/>
                    </a:ln>
                  </pic:spPr>
                </pic:pic>
              </a:graphicData>
            </a:graphic>
          </wp:inline>
        </w:drawing>
      </w:r>
    </w:p>
    <w:p w14:paraId="2D80783B" w14:textId="672EBB06" w:rsidR="00E47B5C" w:rsidRPr="001E2F54" w:rsidRDefault="00E47B5C" w:rsidP="001E2F54">
      <w:pPr>
        <w:spacing w:line="360" w:lineRule="auto"/>
        <w:rPr>
          <w:rFonts w:ascii="Arial" w:hAnsi="Arial" w:cs="Arial"/>
          <w:sz w:val="24"/>
          <w:szCs w:val="24"/>
        </w:rPr>
      </w:pPr>
      <w:r>
        <w:rPr>
          <w:noProof/>
        </w:rPr>
        <w:drawing>
          <wp:inline distT="0" distB="0" distL="0" distR="0" wp14:anchorId="2A0ED446" wp14:editId="517D5209">
            <wp:extent cx="5731510" cy="3006090"/>
            <wp:effectExtent l="0" t="0" r="2540" b="3810"/>
            <wp:docPr id="18788567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06090"/>
                    </a:xfrm>
                    <a:prstGeom prst="rect">
                      <a:avLst/>
                    </a:prstGeom>
                    <a:noFill/>
                    <a:ln>
                      <a:noFill/>
                    </a:ln>
                  </pic:spPr>
                </pic:pic>
              </a:graphicData>
            </a:graphic>
          </wp:inline>
        </w:drawing>
      </w:r>
    </w:p>
    <w:p w14:paraId="5F9D2E29" w14:textId="77777777" w:rsidR="001E2F54" w:rsidRPr="001E2F54" w:rsidRDefault="001E2F54" w:rsidP="001E2F54">
      <w:pPr>
        <w:spacing w:line="360" w:lineRule="auto"/>
        <w:rPr>
          <w:rFonts w:ascii="Arial" w:hAnsi="Arial" w:cs="Arial"/>
          <w:sz w:val="24"/>
          <w:szCs w:val="24"/>
        </w:rPr>
      </w:pPr>
    </w:p>
    <w:p w14:paraId="2C00B496"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This figure shows how learning was transferred into practical workplace responsibilities.</w:t>
      </w:r>
    </w:p>
    <w:p w14:paraId="5956DC6C" w14:textId="77777777" w:rsidR="00E47B5C" w:rsidRDefault="00E47B5C" w:rsidP="00E47B5C">
      <w:pPr>
        <w:spacing w:line="360" w:lineRule="auto"/>
        <w:rPr>
          <w:rFonts w:ascii="Arial" w:hAnsi="Arial" w:cs="Arial"/>
          <w:b/>
          <w:bCs/>
          <w:sz w:val="24"/>
          <w:szCs w:val="24"/>
        </w:rPr>
      </w:pPr>
    </w:p>
    <w:p w14:paraId="2FC1325B" w14:textId="77777777" w:rsidR="00E47B5C" w:rsidRDefault="00E47B5C" w:rsidP="00E47B5C">
      <w:pPr>
        <w:spacing w:line="360" w:lineRule="auto"/>
        <w:rPr>
          <w:rFonts w:ascii="Arial" w:hAnsi="Arial" w:cs="Arial"/>
          <w:b/>
          <w:bCs/>
          <w:sz w:val="24"/>
          <w:szCs w:val="24"/>
        </w:rPr>
      </w:pPr>
    </w:p>
    <w:p w14:paraId="510FD461" w14:textId="77777777" w:rsidR="00E47B5C" w:rsidRDefault="00E47B5C" w:rsidP="00E47B5C">
      <w:pPr>
        <w:spacing w:line="360" w:lineRule="auto"/>
        <w:rPr>
          <w:rFonts w:ascii="Arial" w:hAnsi="Arial" w:cs="Arial"/>
          <w:b/>
          <w:bCs/>
          <w:sz w:val="24"/>
          <w:szCs w:val="24"/>
        </w:rPr>
      </w:pPr>
    </w:p>
    <w:p w14:paraId="4D2C995E" w14:textId="21B5A88C" w:rsidR="00E47B5C" w:rsidRPr="00E47B5C" w:rsidRDefault="00E47B5C" w:rsidP="00E47B5C">
      <w:pPr>
        <w:spacing w:line="360" w:lineRule="auto"/>
        <w:rPr>
          <w:rFonts w:ascii="Arial" w:hAnsi="Arial" w:cs="Arial"/>
          <w:b/>
          <w:bCs/>
          <w:sz w:val="24"/>
          <w:szCs w:val="24"/>
        </w:rPr>
      </w:pPr>
      <w:r w:rsidRPr="00E47B5C">
        <w:rPr>
          <w:rFonts w:ascii="Arial" w:hAnsi="Arial" w:cs="Arial"/>
          <w:b/>
          <w:bCs/>
          <w:sz w:val="24"/>
          <w:szCs w:val="24"/>
        </w:rPr>
        <w:lastRenderedPageBreak/>
        <w:t>Declaration of Generative AI Use</w:t>
      </w:r>
    </w:p>
    <w:p w14:paraId="430488BC" w14:textId="77777777" w:rsidR="00E47B5C" w:rsidRPr="00E47B5C" w:rsidRDefault="00E47B5C" w:rsidP="00E47B5C">
      <w:pPr>
        <w:spacing w:line="360" w:lineRule="auto"/>
        <w:rPr>
          <w:rFonts w:ascii="Arial" w:hAnsi="Arial" w:cs="Arial"/>
          <w:sz w:val="24"/>
          <w:szCs w:val="24"/>
        </w:rPr>
      </w:pPr>
      <w:r w:rsidRPr="00E47B5C">
        <w:rPr>
          <w:rFonts w:ascii="Arial" w:hAnsi="Arial" w:cs="Arial"/>
          <w:sz w:val="24"/>
          <w:szCs w:val="24"/>
        </w:rPr>
        <w:t>I confirm that the use of Generative AI in this assessment has been conducted in accordance with the permitted parameters specified by the lecturer.</w:t>
      </w:r>
    </w:p>
    <w:p w14:paraId="1FFE691E" w14:textId="77777777" w:rsidR="00E47B5C" w:rsidRPr="00E47B5C" w:rsidRDefault="00E47B5C" w:rsidP="00E47B5C">
      <w:pPr>
        <w:spacing w:line="360" w:lineRule="auto"/>
        <w:rPr>
          <w:rFonts w:ascii="Arial" w:hAnsi="Arial" w:cs="Arial"/>
          <w:sz w:val="24"/>
          <w:szCs w:val="24"/>
        </w:rPr>
      </w:pPr>
      <w:r w:rsidRPr="00E47B5C">
        <w:rPr>
          <w:rFonts w:ascii="Arial" w:hAnsi="Arial" w:cs="Arial"/>
          <w:b/>
          <w:bCs/>
          <w:sz w:val="24"/>
          <w:szCs w:val="24"/>
        </w:rPr>
        <w:t>Authorised Uses:</w:t>
      </w:r>
    </w:p>
    <w:p w14:paraId="7E136F0C" w14:textId="77777777" w:rsidR="00E47B5C" w:rsidRPr="00E47B5C" w:rsidRDefault="00E47B5C" w:rsidP="00E47B5C">
      <w:pPr>
        <w:numPr>
          <w:ilvl w:val="0"/>
          <w:numId w:val="9"/>
        </w:numPr>
        <w:spacing w:line="360" w:lineRule="auto"/>
        <w:rPr>
          <w:rFonts w:ascii="Arial" w:hAnsi="Arial" w:cs="Arial"/>
          <w:sz w:val="24"/>
          <w:szCs w:val="24"/>
        </w:rPr>
      </w:pPr>
      <w:r w:rsidRPr="00E47B5C">
        <w:rPr>
          <w:rFonts w:ascii="Arial" w:hAnsi="Arial" w:cs="Arial"/>
          <w:b/>
          <w:bCs/>
          <w:sz w:val="24"/>
          <w:szCs w:val="24"/>
        </w:rPr>
        <w:t>Research and Data Analysis</w:t>
      </w:r>
      <w:r w:rsidRPr="00E47B5C">
        <w:rPr>
          <w:rFonts w:ascii="Arial" w:hAnsi="Arial" w:cs="Arial"/>
          <w:sz w:val="24"/>
          <w:szCs w:val="24"/>
        </w:rPr>
        <w:t>: Generative AI was utilised to support research activities and the analysis of relevant data.</w:t>
      </w:r>
    </w:p>
    <w:p w14:paraId="4A9826AE" w14:textId="77777777" w:rsidR="00E47B5C" w:rsidRPr="00E47B5C" w:rsidRDefault="00E47B5C" w:rsidP="00E47B5C">
      <w:pPr>
        <w:numPr>
          <w:ilvl w:val="0"/>
          <w:numId w:val="9"/>
        </w:numPr>
        <w:spacing w:line="360" w:lineRule="auto"/>
        <w:rPr>
          <w:rFonts w:ascii="Arial" w:hAnsi="Arial" w:cs="Arial"/>
          <w:sz w:val="24"/>
          <w:szCs w:val="24"/>
        </w:rPr>
      </w:pPr>
      <w:r w:rsidRPr="00E47B5C">
        <w:rPr>
          <w:rFonts w:ascii="Arial" w:hAnsi="Arial" w:cs="Arial"/>
          <w:b/>
          <w:bCs/>
          <w:sz w:val="24"/>
          <w:szCs w:val="24"/>
        </w:rPr>
        <w:t>Structuring</w:t>
      </w:r>
      <w:r w:rsidRPr="00E47B5C">
        <w:rPr>
          <w:rFonts w:ascii="Arial" w:hAnsi="Arial" w:cs="Arial"/>
          <w:sz w:val="24"/>
          <w:szCs w:val="24"/>
        </w:rPr>
        <w:t>: Generative AI assisted in the structural development of this submission, including the creation of a draft argument structure and the identification of appropriate headings and sections.</w:t>
      </w:r>
    </w:p>
    <w:p w14:paraId="4A10BCD9" w14:textId="77777777" w:rsidR="00E47B5C" w:rsidRPr="00E47B5C" w:rsidRDefault="00E47B5C" w:rsidP="00E47B5C">
      <w:pPr>
        <w:numPr>
          <w:ilvl w:val="0"/>
          <w:numId w:val="9"/>
        </w:numPr>
        <w:spacing w:line="360" w:lineRule="auto"/>
        <w:rPr>
          <w:rFonts w:ascii="Arial" w:hAnsi="Arial" w:cs="Arial"/>
          <w:sz w:val="24"/>
          <w:szCs w:val="24"/>
        </w:rPr>
      </w:pPr>
      <w:r w:rsidRPr="00E47B5C">
        <w:rPr>
          <w:rFonts w:ascii="Arial" w:hAnsi="Arial" w:cs="Arial"/>
          <w:b/>
          <w:bCs/>
          <w:sz w:val="24"/>
          <w:szCs w:val="24"/>
        </w:rPr>
        <w:t>Proofreading and Editing</w:t>
      </w:r>
      <w:r w:rsidRPr="00E47B5C">
        <w:rPr>
          <w:rFonts w:ascii="Arial" w:hAnsi="Arial" w:cs="Arial"/>
          <w:sz w:val="24"/>
          <w:szCs w:val="24"/>
        </w:rPr>
        <w:t>: Generative AI was used to check original text for grammatical and syntactical errors and to provide suggestions for rephrasing.</w:t>
      </w:r>
    </w:p>
    <w:p w14:paraId="7F29B04A" w14:textId="77777777" w:rsidR="00E47B5C" w:rsidRPr="00E47B5C" w:rsidRDefault="00E47B5C" w:rsidP="00E47B5C">
      <w:pPr>
        <w:spacing w:line="360" w:lineRule="auto"/>
        <w:rPr>
          <w:rFonts w:ascii="Arial" w:hAnsi="Arial" w:cs="Arial"/>
          <w:sz w:val="24"/>
          <w:szCs w:val="24"/>
        </w:rPr>
      </w:pPr>
      <w:r w:rsidRPr="00E47B5C">
        <w:rPr>
          <w:rFonts w:ascii="Arial" w:hAnsi="Arial" w:cs="Arial"/>
          <w:b/>
          <w:bCs/>
          <w:sz w:val="24"/>
          <w:szCs w:val="24"/>
        </w:rPr>
        <w:t>Prohibited Uses:</w:t>
      </w:r>
    </w:p>
    <w:p w14:paraId="7D5CF074" w14:textId="77777777" w:rsidR="00E47B5C" w:rsidRPr="00E47B5C" w:rsidRDefault="00E47B5C" w:rsidP="00E47B5C">
      <w:pPr>
        <w:numPr>
          <w:ilvl w:val="0"/>
          <w:numId w:val="10"/>
        </w:numPr>
        <w:spacing w:line="360" w:lineRule="auto"/>
        <w:rPr>
          <w:rFonts w:ascii="Arial" w:hAnsi="Arial" w:cs="Arial"/>
          <w:sz w:val="24"/>
          <w:szCs w:val="24"/>
        </w:rPr>
      </w:pPr>
      <w:r w:rsidRPr="00E47B5C">
        <w:rPr>
          <w:rFonts w:ascii="Arial" w:hAnsi="Arial" w:cs="Arial"/>
          <w:b/>
          <w:bCs/>
          <w:sz w:val="24"/>
          <w:szCs w:val="24"/>
        </w:rPr>
        <w:t>Text Generation</w:t>
      </w:r>
      <w:r w:rsidRPr="00E47B5C">
        <w:rPr>
          <w:rFonts w:ascii="Arial" w:hAnsi="Arial" w:cs="Arial"/>
          <w:sz w:val="24"/>
          <w:szCs w:val="24"/>
        </w:rPr>
        <w:t>: I declare that no text created by Generative AI has been submitted as my own work for this assessment.</w:t>
      </w:r>
    </w:p>
    <w:p w14:paraId="71818FCB" w14:textId="77777777" w:rsidR="00E47B5C" w:rsidRPr="00E47B5C" w:rsidRDefault="00E47B5C" w:rsidP="00E47B5C">
      <w:pPr>
        <w:numPr>
          <w:ilvl w:val="0"/>
          <w:numId w:val="10"/>
        </w:numPr>
        <w:spacing w:line="360" w:lineRule="auto"/>
        <w:rPr>
          <w:rFonts w:ascii="Arial" w:hAnsi="Arial" w:cs="Arial"/>
          <w:sz w:val="24"/>
          <w:szCs w:val="24"/>
        </w:rPr>
      </w:pPr>
      <w:r w:rsidRPr="00E47B5C">
        <w:rPr>
          <w:rFonts w:ascii="Arial" w:hAnsi="Arial" w:cs="Arial"/>
          <w:b/>
          <w:bCs/>
          <w:sz w:val="24"/>
          <w:szCs w:val="24"/>
        </w:rPr>
        <w:t>Creative Materials</w:t>
      </w:r>
      <w:r w:rsidRPr="00E47B5C">
        <w:rPr>
          <w:rFonts w:ascii="Arial" w:hAnsi="Arial" w:cs="Arial"/>
          <w:sz w:val="24"/>
          <w:szCs w:val="24"/>
        </w:rPr>
        <w:t>: No creative materials, such as images, were produced using Generative AI for this submission.</w:t>
      </w:r>
    </w:p>
    <w:p w14:paraId="1276501E" w14:textId="77777777" w:rsidR="00E47B5C" w:rsidRPr="00E47B5C" w:rsidRDefault="00E47B5C" w:rsidP="00E47B5C">
      <w:pPr>
        <w:numPr>
          <w:ilvl w:val="0"/>
          <w:numId w:val="10"/>
        </w:numPr>
        <w:spacing w:line="360" w:lineRule="auto"/>
        <w:rPr>
          <w:rFonts w:ascii="Arial" w:hAnsi="Arial" w:cs="Arial"/>
          <w:sz w:val="24"/>
          <w:szCs w:val="24"/>
        </w:rPr>
      </w:pPr>
      <w:r w:rsidRPr="00E47B5C">
        <w:rPr>
          <w:rFonts w:ascii="Arial" w:hAnsi="Arial" w:cs="Arial"/>
          <w:b/>
          <w:bCs/>
          <w:sz w:val="24"/>
          <w:szCs w:val="24"/>
        </w:rPr>
        <w:t>Programming</w:t>
      </w:r>
      <w:r w:rsidRPr="00E47B5C">
        <w:rPr>
          <w:rFonts w:ascii="Arial" w:hAnsi="Arial" w:cs="Arial"/>
          <w:sz w:val="24"/>
          <w:szCs w:val="24"/>
        </w:rPr>
        <w:t>: Generative AI was not employed to create or verify any code within this assessment.</w:t>
      </w:r>
    </w:p>
    <w:p w14:paraId="5FEC3BA1" w14:textId="77777777" w:rsidR="00E47B5C" w:rsidRPr="00E47B5C" w:rsidRDefault="00E47B5C" w:rsidP="00E47B5C">
      <w:pPr>
        <w:spacing w:line="360" w:lineRule="auto"/>
        <w:rPr>
          <w:rFonts w:ascii="Arial" w:hAnsi="Arial" w:cs="Arial"/>
          <w:sz w:val="24"/>
          <w:szCs w:val="24"/>
        </w:rPr>
      </w:pPr>
      <w:r w:rsidRPr="00E47B5C">
        <w:rPr>
          <w:rFonts w:ascii="Arial" w:hAnsi="Arial" w:cs="Arial"/>
          <w:b/>
          <w:bCs/>
          <w:sz w:val="24"/>
          <w:szCs w:val="24"/>
        </w:rPr>
        <w:t>Statement of Authenticity:</w:t>
      </w:r>
      <w:r w:rsidRPr="00E47B5C">
        <w:rPr>
          <w:rFonts w:ascii="Arial" w:hAnsi="Arial" w:cs="Arial"/>
          <w:sz w:val="24"/>
          <w:szCs w:val="24"/>
        </w:rPr>
        <w:t xml:space="preserve"> Except for the specific supportive uses outlined above (Research, Structure, and Proofreading), I declare that this assessment is my own work and that I am the primary author of all submitted content.</w:t>
      </w:r>
    </w:p>
    <w:p w14:paraId="321CA23B" w14:textId="77777777" w:rsidR="001E2F54" w:rsidRPr="001E2F54" w:rsidRDefault="001E2F54" w:rsidP="001E2F54">
      <w:pPr>
        <w:spacing w:line="360" w:lineRule="auto"/>
        <w:rPr>
          <w:rFonts w:ascii="Arial" w:hAnsi="Arial" w:cs="Arial"/>
          <w:sz w:val="24"/>
          <w:szCs w:val="24"/>
        </w:rPr>
      </w:pPr>
    </w:p>
    <w:p w14:paraId="7FBF02DD" w14:textId="77777777" w:rsidR="001E2F54" w:rsidRPr="001E2F54" w:rsidRDefault="001E2F54" w:rsidP="001E2F54">
      <w:pPr>
        <w:spacing w:line="360" w:lineRule="auto"/>
        <w:rPr>
          <w:rFonts w:ascii="Arial" w:hAnsi="Arial" w:cs="Arial"/>
          <w:sz w:val="24"/>
          <w:szCs w:val="24"/>
        </w:rPr>
      </w:pPr>
    </w:p>
    <w:p w14:paraId="609F2B8A" w14:textId="77777777" w:rsidR="00522CB2" w:rsidRPr="007B5030" w:rsidRDefault="00522CB2" w:rsidP="00522CB2">
      <w:pPr>
        <w:spacing w:line="360" w:lineRule="auto"/>
        <w:rPr>
          <w:rFonts w:ascii="Arial" w:hAnsi="Arial" w:cs="Arial"/>
          <w:sz w:val="24"/>
          <w:szCs w:val="24"/>
        </w:rPr>
      </w:pPr>
    </w:p>
    <w:sectPr w:rsidR="00522CB2" w:rsidRPr="007B5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D16D1"/>
    <w:multiLevelType w:val="multilevel"/>
    <w:tmpl w:val="EB2C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9F0823"/>
    <w:multiLevelType w:val="multilevel"/>
    <w:tmpl w:val="B38E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B7B19"/>
    <w:multiLevelType w:val="multilevel"/>
    <w:tmpl w:val="A59C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4F5A49"/>
    <w:multiLevelType w:val="multilevel"/>
    <w:tmpl w:val="C81C6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66FDA"/>
    <w:multiLevelType w:val="multilevel"/>
    <w:tmpl w:val="8AE26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7E716F"/>
    <w:multiLevelType w:val="multilevel"/>
    <w:tmpl w:val="FAA8A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0C162F"/>
    <w:multiLevelType w:val="multilevel"/>
    <w:tmpl w:val="81865B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5C248B"/>
    <w:multiLevelType w:val="multilevel"/>
    <w:tmpl w:val="4BFED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5417EF"/>
    <w:multiLevelType w:val="multilevel"/>
    <w:tmpl w:val="E68A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1008BE"/>
    <w:multiLevelType w:val="multilevel"/>
    <w:tmpl w:val="3F4E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867620">
    <w:abstractNumId w:val="1"/>
  </w:num>
  <w:num w:numId="2" w16cid:durableId="1966154051">
    <w:abstractNumId w:val="9"/>
  </w:num>
  <w:num w:numId="3" w16cid:durableId="2100440072">
    <w:abstractNumId w:val="4"/>
  </w:num>
  <w:num w:numId="4" w16cid:durableId="1210922816">
    <w:abstractNumId w:val="7"/>
  </w:num>
  <w:num w:numId="5" w16cid:durableId="60301373">
    <w:abstractNumId w:val="5"/>
  </w:num>
  <w:num w:numId="6" w16cid:durableId="1269387077">
    <w:abstractNumId w:val="8"/>
  </w:num>
  <w:num w:numId="7" w16cid:durableId="1690910200">
    <w:abstractNumId w:val="6"/>
  </w:num>
  <w:num w:numId="8" w16cid:durableId="1045642387">
    <w:abstractNumId w:val="0"/>
  </w:num>
  <w:num w:numId="9" w16cid:durableId="1273173710">
    <w:abstractNumId w:val="3"/>
  </w:num>
  <w:num w:numId="10" w16cid:durableId="1372193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030"/>
    <w:rsid w:val="00024947"/>
    <w:rsid w:val="00092014"/>
    <w:rsid w:val="000E608B"/>
    <w:rsid w:val="00152C3A"/>
    <w:rsid w:val="001E2F54"/>
    <w:rsid w:val="00522CB2"/>
    <w:rsid w:val="00746102"/>
    <w:rsid w:val="007641AE"/>
    <w:rsid w:val="007B5030"/>
    <w:rsid w:val="00855879"/>
    <w:rsid w:val="00861BC7"/>
    <w:rsid w:val="009D3CBA"/>
    <w:rsid w:val="00B63612"/>
    <w:rsid w:val="00DC74D5"/>
    <w:rsid w:val="00E47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964E8"/>
  <w15:chartTrackingRefBased/>
  <w15:docId w15:val="{B0BE2181-013E-4C57-ADBC-DE4A3E60F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0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B50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50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50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50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50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0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0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0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0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B50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B50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50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50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50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0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0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030"/>
    <w:rPr>
      <w:rFonts w:eastAsiaTheme="majorEastAsia" w:cstheme="majorBidi"/>
      <w:color w:val="272727" w:themeColor="text1" w:themeTint="D8"/>
    </w:rPr>
  </w:style>
  <w:style w:type="paragraph" w:styleId="Title">
    <w:name w:val="Title"/>
    <w:basedOn w:val="Normal"/>
    <w:next w:val="Normal"/>
    <w:link w:val="TitleChar"/>
    <w:uiPriority w:val="10"/>
    <w:qFormat/>
    <w:rsid w:val="007B50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0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0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0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030"/>
    <w:pPr>
      <w:spacing w:before="160"/>
      <w:jc w:val="center"/>
    </w:pPr>
    <w:rPr>
      <w:i/>
      <w:iCs/>
      <w:color w:val="404040" w:themeColor="text1" w:themeTint="BF"/>
    </w:rPr>
  </w:style>
  <w:style w:type="character" w:customStyle="1" w:styleId="QuoteChar">
    <w:name w:val="Quote Char"/>
    <w:basedOn w:val="DefaultParagraphFont"/>
    <w:link w:val="Quote"/>
    <w:uiPriority w:val="29"/>
    <w:rsid w:val="007B5030"/>
    <w:rPr>
      <w:i/>
      <w:iCs/>
      <w:color w:val="404040" w:themeColor="text1" w:themeTint="BF"/>
    </w:rPr>
  </w:style>
  <w:style w:type="paragraph" w:styleId="ListParagraph">
    <w:name w:val="List Paragraph"/>
    <w:basedOn w:val="Normal"/>
    <w:uiPriority w:val="34"/>
    <w:qFormat/>
    <w:rsid w:val="007B5030"/>
    <w:pPr>
      <w:ind w:left="720"/>
      <w:contextualSpacing/>
    </w:pPr>
  </w:style>
  <w:style w:type="character" w:styleId="IntenseEmphasis">
    <w:name w:val="Intense Emphasis"/>
    <w:basedOn w:val="DefaultParagraphFont"/>
    <w:uiPriority w:val="21"/>
    <w:qFormat/>
    <w:rsid w:val="007B5030"/>
    <w:rPr>
      <w:i/>
      <w:iCs/>
      <w:color w:val="2F5496" w:themeColor="accent1" w:themeShade="BF"/>
    </w:rPr>
  </w:style>
  <w:style w:type="paragraph" w:styleId="IntenseQuote">
    <w:name w:val="Intense Quote"/>
    <w:basedOn w:val="Normal"/>
    <w:next w:val="Normal"/>
    <w:link w:val="IntenseQuoteChar"/>
    <w:uiPriority w:val="30"/>
    <w:qFormat/>
    <w:rsid w:val="007B50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5030"/>
    <w:rPr>
      <w:i/>
      <w:iCs/>
      <w:color w:val="2F5496" w:themeColor="accent1" w:themeShade="BF"/>
    </w:rPr>
  </w:style>
  <w:style w:type="character" w:styleId="IntenseReference">
    <w:name w:val="Intense Reference"/>
    <w:basedOn w:val="DefaultParagraphFont"/>
    <w:uiPriority w:val="32"/>
    <w:qFormat/>
    <w:rsid w:val="007B5030"/>
    <w:rPr>
      <w:b/>
      <w:bCs/>
      <w:smallCaps/>
      <w:color w:val="2F5496" w:themeColor="accent1" w:themeShade="BF"/>
      <w:spacing w:val="5"/>
    </w:rPr>
  </w:style>
  <w:style w:type="character" w:styleId="Hyperlink">
    <w:name w:val="Hyperlink"/>
    <w:basedOn w:val="DefaultParagraphFont"/>
    <w:uiPriority w:val="99"/>
    <w:unhideWhenUsed/>
    <w:rsid w:val="00861BC7"/>
    <w:rPr>
      <w:color w:val="0563C1" w:themeColor="hyperlink"/>
      <w:u w:val="single"/>
    </w:rPr>
  </w:style>
  <w:style w:type="character" w:styleId="UnresolvedMention">
    <w:name w:val="Unresolved Mention"/>
    <w:basedOn w:val="DefaultParagraphFont"/>
    <w:uiPriority w:val="99"/>
    <w:semiHidden/>
    <w:unhideWhenUsed/>
    <w:rsid w:val="00861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3" ma:contentTypeDescription="Create a new document." ma:contentTypeScope="" ma:versionID="c0ca196a2ab5a869b513ecc1c4fba5f0">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e02be20db0db71c6a1f41b32cbc76b83"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2EA520C6-4C97-458A-AF12-3A006C936B37}">
  <ds:schemaRefs>
    <ds:schemaRef ds:uri="http://schemas.microsoft.com/sharepoint/v3/contenttype/forms"/>
  </ds:schemaRefs>
</ds:datastoreItem>
</file>

<file path=customXml/itemProps2.xml><?xml version="1.0" encoding="utf-8"?>
<ds:datastoreItem xmlns:ds="http://schemas.openxmlformats.org/officeDocument/2006/customXml" ds:itemID="{F9AA00FD-5429-4DD1-B4CA-5F364504C2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826CD9-35E1-4F5B-BCBE-3238F492F69A}">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3355</Words>
  <Characters>19127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3</cp:revision>
  <dcterms:created xsi:type="dcterms:W3CDTF">2026-05-13T23:06:00Z</dcterms:created>
  <dcterms:modified xsi:type="dcterms:W3CDTF">2026-05-13T23:11:00Z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