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5DC526" w14:textId="42FD0519" w:rsidR="00F125DB" w:rsidRPr="0064458E" w:rsidRDefault="00E83E70" w:rsidP="0064458E">
      <w:pPr>
        <w:spacing w:line="480" w:lineRule="auto"/>
        <w:jc w:val="center"/>
        <w:rPr>
          <w:rFonts w:ascii="Times New Roman" w:hAnsi="Times New Roman" w:cs="Times New Roman"/>
          <w:sz w:val="24"/>
          <w:szCs w:val="24"/>
          <w:u w:val="single"/>
        </w:rPr>
      </w:pPr>
      <w:r w:rsidRPr="0064458E">
        <w:rPr>
          <w:rFonts w:ascii="Times New Roman" w:hAnsi="Times New Roman" w:cs="Times New Roman"/>
          <w:sz w:val="24"/>
          <w:szCs w:val="24"/>
          <w:u w:val="single"/>
        </w:rPr>
        <w:t>From a detailed analysis of the Joseph narrative, suggest the provenance and purpose of the story.</w:t>
      </w:r>
    </w:p>
    <w:p w14:paraId="6B0F615D" w14:textId="267345EB" w:rsidR="00F125DB" w:rsidRPr="0064458E" w:rsidRDefault="00F125DB"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The Joseph narrative (Gen. 37-50) details the life of Joseph, who goes from being Jacob’s beloved son to being sold into slavery in Egypt by his brothers, before rising to eminence as the Pharaoh’s vizier and ultimately becoming the saviour of his father, his brothers, Egypt, and neighbouring peoples during the severe seven years of famine. The Joseph narrative has been subject to exegetical interest in the Genesis </w:t>
      </w:r>
      <w:proofErr w:type="spellStart"/>
      <w:r w:rsidRPr="0064458E">
        <w:rPr>
          <w:rFonts w:ascii="Times New Roman" w:hAnsi="Times New Roman" w:cs="Times New Roman"/>
          <w:sz w:val="24"/>
          <w:szCs w:val="24"/>
        </w:rPr>
        <w:t>Rabba</w:t>
      </w:r>
      <w:proofErr w:type="spellEnd"/>
      <w:r w:rsidRPr="0064458E">
        <w:rPr>
          <w:rFonts w:ascii="Times New Roman" w:hAnsi="Times New Roman" w:cs="Times New Roman"/>
          <w:sz w:val="24"/>
          <w:szCs w:val="24"/>
        </w:rPr>
        <w:t xml:space="preserve">, by </w:t>
      </w:r>
      <w:proofErr w:type="spellStart"/>
      <w:r w:rsidRPr="0064458E">
        <w:rPr>
          <w:rFonts w:ascii="Times New Roman" w:hAnsi="Times New Roman" w:cs="Times New Roman"/>
          <w:sz w:val="24"/>
          <w:szCs w:val="24"/>
        </w:rPr>
        <w:t>Rashi</w:t>
      </w:r>
      <w:proofErr w:type="spellEnd"/>
      <w:r w:rsidRPr="0064458E">
        <w:rPr>
          <w:rFonts w:ascii="Times New Roman" w:hAnsi="Times New Roman" w:cs="Times New Roman"/>
          <w:sz w:val="24"/>
          <w:szCs w:val="24"/>
        </w:rPr>
        <w:t xml:space="preserve"> and </w:t>
      </w:r>
      <w:proofErr w:type="spellStart"/>
      <w:r w:rsidRPr="0064458E">
        <w:rPr>
          <w:rFonts w:ascii="Times New Roman" w:hAnsi="Times New Roman" w:cs="Times New Roman"/>
          <w:sz w:val="24"/>
          <w:szCs w:val="24"/>
        </w:rPr>
        <w:t>Ramban</w:t>
      </w:r>
      <w:proofErr w:type="spellEnd"/>
      <w:r w:rsidRPr="0064458E">
        <w:rPr>
          <w:rFonts w:ascii="Times New Roman" w:hAnsi="Times New Roman" w:cs="Times New Roman"/>
          <w:sz w:val="24"/>
          <w:szCs w:val="24"/>
        </w:rPr>
        <w:t>, and by John Calvin, and has been received positively amongst those in the arts, from Goethe to Andrew Lloyd-Webber. This narrative had drawn scholarly attention around the narrative’s origins and functions, given that it stands in stark contrast to the preceding material in Genesis. This essay aims to suggest the provenance and purpose of the Joseph narrative through an analysis of Genesis 37-50 and will argue that, of the myriad proposed explanations for the origins of the Joseph narrative, convincing arguments have been proposed from form-critical and source-critical approaches: notably, that the story arose from the compilation of two separate and distinct narratives, and that the story arose from traditions pre-dating the source authors, such as legend and wisdom traditions. Additionally, this essay will argue that the purpose, or rather purposes, of the Joseph narrative are two-fold: to proclaim the existence of divine providence in particular individuals’ lives</w:t>
      </w:r>
      <w:r w:rsidR="00FA70F0" w:rsidRPr="0064458E">
        <w:rPr>
          <w:rFonts w:ascii="Times New Roman" w:hAnsi="Times New Roman" w:cs="Times New Roman"/>
          <w:sz w:val="24"/>
          <w:szCs w:val="24"/>
        </w:rPr>
        <w:t xml:space="preserve"> and to anticipate the Exodus and the fulfilment of the Abrahamic promises</w:t>
      </w:r>
      <w:r w:rsidRPr="0064458E">
        <w:rPr>
          <w:rFonts w:ascii="Times New Roman" w:hAnsi="Times New Roman" w:cs="Times New Roman"/>
          <w:sz w:val="24"/>
          <w:szCs w:val="24"/>
        </w:rPr>
        <w:t xml:space="preserve">. </w:t>
      </w:r>
      <w:r w:rsidR="00FA70F0" w:rsidRPr="0064458E">
        <w:rPr>
          <w:rFonts w:ascii="Times New Roman" w:hAnsi="Times New Roman" w:cs="Times New Roman"/>
          <w:sz w:val="24"/>
          <w:szCs w:val="24"/>
        </w:rPr>
        <w:t>Although other purposes may be gained from the text,</w:t>
      </w:r>
      <w:r w:rsidRPr="0064458E">
        <w:rPr>
          <w:rFonts w:ascii="Times New Roman" w:hAnsi="Times New Roman" w:cs="Times New Roman"/>
          <w:sz w:val="24"/>
          <w:szCs w:val="24"/>
        </w:rPr>
        <w:t xml:space="preserve"> these two purposes are</w:t>
      </w:r>
      <w:r w:rsidR="00FA70F0" w:rsidRPr="0064458E">
        <w:rPr>
          <w:rFonts w:ascii="Times New Roman" w:hAnsi="Times New Roman" w:cs="Times New Roman"/>
          <w:sz w:val="24"/>
          <w:szCs w:val="24"/>
        </w:rPr>
        <w:t xml:space="preserve"> arguably</w:t>
      </w:r>
      <w:r w:rsidRPr="0064458E">
        <w:rPr>
          <w:rFonts w:ascii="Times New Roman" w:hAnsi="Times New Roman" w:cs="Times New Roman"/>
          <w:sz w:val="24"/>
          <w:szCs w:val="24"/>
        </w:rPr>
        <w:t xml:space="preserve"> at the forefront of the narrative and of significant importance given the substantial roles that the Exodus</w:t>
      </w:r>
      <w:r w:rsidR="00FA70F0" w:rsidRPr="0064458E">
        <w:rPr>
          <w:rFonts w:ascii="Times New Roman" w:hAnsi="Times New Roman" w:cs="Times New Roman"/>
          <w:sz w:val="24"/>
          <w:szCs w:val="24"/>
        </w:rPr>
        <w:t>, the fulfilment of God’s promises,</w:t>
      </w:r>
      <w:r w:rsidRPr="0064458E">
        <w:rPr>
          <w:rFonts w:ascii="Times New Roman" w:hAnsi="Times New Roman" w:cs="Times New Roman"/>
          <w:sz w:val="24"/>
          <w:szCs w:val="24"/>
        </w:rPr>
        <w:t xml:space="preserve"> and the motif of God being with His people through adversity play in t</w:t>
      </w:r>
      <w:r w:rsidR="00FA70F0" w:rsidRPr="0064458E">
        <w:rPr>
          <w:rFonts w:ascii="Times New Roman" w:hAnsi="Times New Roman" w:cs="Times New Roman"/>
          <w:sz w:val="24"/>
          <w:szCs w:val="24"/>
        </w:rPr>
        <w:t xml:space="preserve">he Hebrew Bible </w:t>
      </w:r>
      <w:r w:rsidRPr="0064458E">
        <w:rPr>
          <w:rFonts w:ascii="Times New Roman" w:hAnsi="Times New Roman" w:cs="Times New Roman"/>
          <w:sz w:val="24"/>
          <w:szCs w:val="24"/>
        </w:rPr>
        <w:t>as a whole.</w:t>
      </w:r>
    </w:p>
    <w:p w14:paraId="5D0674C2" w14:textId="15061CE6" w:rsidR="00F125DB" w:rsidRPr="0064458E" w:rsidRDefault="000717DB"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The Joseph story (Gen. 37-50) has long been understood both thematically and theologically distinctive in comparison to the preceding chapters of Genesis</w:t>
      </w:r>
      <w:r w:rsidR="00C244CC" w:rsidRPr="0064458E">
        <w:rPr>
          <w:rFonts w:ascii="Times New Roman" w:hAnsi="Times New Roman" w:cs="Times New Roman"/>
          <w:sz w:val="24"/>
          <w:szCs w:val="24"/>
        </w:rPr>
        <w:t xml:space="preserve">, with a general agreement amongst scholars that the Joseph story constitutes a unique long narrative with a well-defined </w:t>
      </w:r>
      <w:r w:rsidR="00C244CC" w:rsidRPr="0064458E">
        <w:rPr>
          <w:rFonts w:ascii="Times New Roman" w:hAnsi="Times New Roman" w:cs="Times New Roman"/>
          <w:sz w:val="24"/>
          <w:szCs w:val="24"/>
        </w:rPr>
        <w:lastRenderedPageBreak/>
        <w:t>plot.</w:t>
      </w:r>
      <w:r w:rsidR="00F125DB" w:rsidRPr="0064458E">
        <w:rPr>
          <w:rFonts w:ascii="Times New Roman" w:hAnsi="Times New Roman" w:cs="Times New Roman"/>
          <w:sz w:val="24"/>
          <w:szCs w:val="24"/>
        </w:rPr>
        <w:t xml:space="preserve"> Despite this, the source-critical approach has been used as a solution to duplications and discrepancies found within the Joseph narrative, arguing for at least two sources of the narrative (Schwartz 2012: 263). Taking Genesis 37 as an example, doublets can be seen in the reason for Joseph’s brothers’ enmity towards him (</w:t>
      </w:r>
      <w:r w:rsidR="00177067" w:rsidRPr="0064458E">
        <w:rPr>
          <w:rFonts w:ascii="Times New Roman" w:hAnsi="Times New Roman" w:cs="Times New Roman"/>
          <w:sz w:val="24"/>
          <w:szCs w:val="24"/>
        </w:rPr>
        <w:t>37:2-3</w:t>
      </w:r>
      <w:r w:rsidR="00F125DB" w:rsidRPr="0064458E">
        <w:rPr>
          <w:rFonts w:ascii="Times New Roman" w:hAnsi="Times New Roman" w:cs="Times New Roman"/>
          <w:sz w:val="24"/>
          <w:szCs w:val="24"/>
        </w:rPr>
        <w:t>), in their decision to murder Joseph (</w:t>
      </w:r>
      <w:r w:rsidR="00D83EAF" w:rsidRPr="0064458E">
        <w:rPr>
          <w:rFonts w:ascii="Times New Roman" w:hAnsi="Times New Roman" w:cs="Times New Roman"/>
          <w:sz w:val="24"/>
          <w:szCs w:val="24"/>
        </w:rPr>
        <w:t>37:20, 22</w:t>
      </w:r>
      <w:r w:rsidR="00F125DB" w:rsidRPr="0064458E">
        <w:rPr>
          <w:rFonts w:ascii="Times New Roman" w:hAnsi="Times New Roman" w:cs="Times New Roman"/>
          <w:sz w:val="24"/>
          <w:szCs w:val="24"/>
        </w:rPr>
        <w:t>), in Reuben’s and Judah’s plans to spare Joseph’s death (37:18, 19-20), and in the arrival of the Ishmaelites and of the Midianites (</w:t>
      </w:r>
      <w:r w:rsidR="00D83EAF" w:rsidRPr="0064458E">
        <w:rPr>
          <w:rFonts w:ascii="Times New Roman" w:hAnsi="Times New Roman" w:cs="Times New Roman"/>
          <w:sz w:val="24"/>
          <w:szCs w:val="24"/>
        </w:rPr>
        <w:t>37:25, 28</w:t>
      </w:r>
      <w:r w:rsidR="00F125DB" w:rsidRPr="0064458E">
        <w:rPr>
          <w:rFonts w:ascii="Times New Roman" w:hAnsi="Times New Roman" w:cs="Times New Roman"/>
          <w:sz w:val="24"/>
          <w:szCs w:val="24"/>
        </w:rPr>
        <w:t>). Contradictions can also be seen in Gen. 37, for example</w:t>
      </w:r>
      <w:r w:rsidR="008A1D00" w:rsidRPr="0064458E">
        <w:rPr>
          <w:rFonts w:ascii="Times New Roman" w:hAnsi="Times New Roman" w:cs="Times New Roman"/>
          <w:sz w:val="24"/>
          <w:szCs w:val="24"/>
        </w:rPr>
        <w:t>,</w:t>
      </w:r>
      <w:r w:rsidR="00F125DB" w:rsidRPr="0064458E">
        <w:rPr>
          <w:rFonts w:ascii="Times New Roman" w:hAnsi="Times New Roman" w:cs="Times New Roman"/>
          <w:sz w:val="24"/>
          <w:szCs w:val="24"/>
        </w:rPr>
        <w:t xml:space="preserve"> Jacob’s family are shepherds (37:2) but Joseph dreams of him and his brothers harvesting grain (37:7), Jacob’s understanding of his sons’ hatred toward Joseph (37:10-11) whilst sending him alone to meet them (37:14), Joseph being sold by his brothers to the Midianites (37:27) or the Midianites selling Joseph to the Ishmaelites (37:28) or the Midianites selling Joseph in Egypt to Potiphar (37:36). Having acknowledged these discrepancies and contradictions, one could argue for the existence of two literary groups or axes, at least within Genesis 37, which in isolation may constitute independent narratives belonging to the non-Priestly sources of the Pentateuch, the Yahwist and the </w:t>
      </w:r>
      <w:proofErr w:type="spellStart"/>
      <w:r w:rsidR="00F125DB" w:rsidRPr="0064458E">
        <w:rPr>
          <w:rFonts w:ascii="Times New Roman" w:hAnsi="Times New Roman" w:cs="Times New Roman"/>
          <w:sz w:val="24"/>
          <w:szCs w:val="24"/>
        </w:rPr>
        <w:t>Elohist</w:t>
      </w:r>
      <w:proofErr w:type="spellEnd"/>
      <w:r w:rsidR="00F125DB" w:rsidRPr="0064458E">
        <w:rPr>
          <w:rFonts w:ascii="Times New Roman" w:hAnsi="Times New Roman" w:cs="Times New Roman"/>
          <w:sz w:val="24"/>
          <w:szCs w:val="24"/>
        </w:rPr>
        <w:t xml:space="preserve"> (Schwartz 2012: 265). In a similar vein</w:t>
      </w:r>
      <w:r w:rsidR="008A1D00" w:rsidRPr="0064458E">
        <w:rPr>
          <w:rFonts w:ascii="Times New Roman" w:hAnsi="Times New Roman" w:cs="Times New Roman"/>
          <w:sz w:val="24"/>
          <w:szCs w:val="24"/>
        </w:rPr>
        <w:t>,</w:t>
      </w:r>
      <w:r w:rsidR="00F125DB" w:rsidRPr="0064458E">
        <w:rPr>
          <w:rFonts w:ascii="Times New Roman" w:hAnsi="Times New Roman" w:cs="Times New Roman"/>
          <w:sz w:val="24"/>
          <w:szCs w:val="24"/>
        </w:rPr>
        <w:t xml:space="preserve"> the Joseph narrative as a whole has been argued to represent the compilation of J and E source material, alongside the Priestly source (</w:t>
      </w:r>
      <w:proofErr w:type="spellStart"/>
      <w:r w:rsidR="00F125DB" w:rsidRPr="0064458E">
        <w:rPr>
          <w:rFonts w:ascii="Times New Roman" w:hAnsi="Times New Roman" w:cs="Times New Roman"/>
          <w:sz w:val="24"/>
          <w:szCs w:val="24"/>
        </w:rPr>
        <w:t>Speiser</w:t>
      </w:r>
      <w:proofErr w:type="spellEnd"/>
      <w:r w:rsidR="00F125DB" w:rsidRPr="0064458E">
        <w:rPr>
          <w:rFonts w:ascii="Times New Roman" w:hAnsi="Times New Roman" w:cs="Times New Roman"/>
          <w:sz w:val="24"/>
          <w:szCs w:val="24"/>
        </w:rPr>
        <w:t xml:space="preserve"> 1964: 287-378; Ellis 1975: 63-65). The process of the Joseph narrative’s composition was canonical in nature, whereby the pre-existing forms of the narratives were compiled in such a way as to refrain from altering, minimising, or expanding the separate narratives (Schwartz 2012: 275; </w:t>
      </w:r>
      <w:proofErr w:type="spellStart"/>
      <w:r w:rsidR="00F125DB" w:rsidRPr="0064458E">
        <w:rPr>
          <w:rFonts w:ascii="Times New Roman" w:hAnsi="Times New Roman" w:cs="Times New Roman"/>
          <w:sz w:val="24"/>
          <w:szCs w:val="24"/>
        </w:rPr>
        <w:t>Antwi</w:t>
      </w:r>
      <w:proofErr w:type="spellEnd"/>
      <w:r w:rsidR="00F125DB" w:rsidRPr="0064458E">
        <w:rPr>
          <w:rFonts w:ascii="Times New Roman" w:hAnsi="Times New Roman" w:cs="Times New Roman"/>
          <w:sz w:val="24"/>
          <w:szCs w:val="24"/>
        </w:rPr>
        <w:t xml:space="preserve"> 2016: 260-263). </w:t>
      </w:r>
    </w:p>
    <w:p w14:paraId="0A23B368" w14:textId="04A8A909" w:rsidR="00F125DB" w:rsidRPr="0064458E" w:rsidRDefault="00F125DB"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Within the form</w:t>
      </w:r>
      <w:r w:rsidR="008A1D00" w:rsidRPr="0064458E">
        <w:rPr>
          <w:rFonts w:ascii="Times New Roman" w:hAnsi="Times New Roman" w:cs="Times New Roman"/>
          <w:sz w:val="24"/>
          <w:szCs w:val="24"/>
        </w:rPr>
        <w:t>-</w:t>
      </w:r>
      <w:r w:rsidRPr="0064458E">
        <w:rPr>
          <w:rFonts w:ascii="Times New Roman" w:hAnsi="Times New Roman" w:cs="Times New Roman"/>
          <w:sz w:val="24"/>
          <w:szCs w:val="24"/>
        </w:rPr>
        <w:t xml:space="preserve">critical approach to the Joseph story, Hermann Gunkel viewed the Book of Genesis as a collection of </w:t>
      </w:r>
      <w:proofErr w:type="spellStart"/>
      <w:r w:rsidRPr="0064458E">
        <w:rPr>
          <w:rFonts w:ascii="Times New Roman" w:hAnsi="Times New Roman" w:cs="Times New Roman"/>
          <w:i/>
          <w:iCs/>
          <w:sz w:val="24"/>
          <w:szCs w:val="24"/>
        </w:rPr>
        <w:t>Sagen</w:t>
      </w:r>
      <w:proofErr w:type="spellEnd"/>
      <w:r w:rsidRPr="0064458E">
        <w:rPr>
          <w:rFonts w:ascii="Times New Roman" w:hAnsi="Times New Roman" w:cs="Times New Roman"/>
          <w:sz w:val="24"/>
          <w:szCs w:val="24"/>
        </w:rPr>
        <w:t xml:space="preserve"> or stories that, to be properly understood, need to have their original function, their </w:t>
      </w:r>
      <w:proofErr w:type="spellStart"/>
      <w:r w:rsidRPr="0064458E">
        <w:rPr>
          <w:rFonts w:ascii="Times New Roman" w:hAnsi="Times New Roman" w:cs="Times New Roman"/>
          <w:i/>
          <w:iCs/>
          <w:sz w:val="24"/>
          <w:szCs w:val="24"/>
        </w:rPr>
        <w:t>Sitz</w:t>
      </w:r>
      <w:proofErr w:type="spellEnd"/>
      <w:r w:rsidRPr="0064458E">
        <w:rPr>
          <w:rFonts w:ascii="Times New Roman" w:hAnsi="Times New Roman" w:cs="Times New Roman"/>
          <w:i/>
          <w:iCs/>
          <w:sz w:val="24"/>
          <w:szCs w:val="24"/>
        </w:rPr>
        <w:t xml:space="preserve"> </w:t>
      </w:r>
      <w:proofErr w:type="spellStart"/>
      <w:r w:rsidRPr="0064458E">
        <w:rPr>
          <w:rFonts w:ascii="Times New Roman" w:hAnsi="Times New Roman" w:cs="Times New Roman"/>
          <w:i/>
          <w:iCs/>
          <w:sz w:val="24"/>
          <w:szCs w:val="24"/>
        </w:rPr>
        <w:t>im</w:t>
      </w:r>
      <w:proofErr w:type="spellEnd"/>
      <w:r w:rsidRPr="0064458E">
        <w:rPr>
          <w:rFonts w:ascii="Times New Roman" w:hAnsi="Times New Roman" w:cs="Times New Roman"/>
          <w:i/>
          <w:iCs/>
          <w:sz w:val="24"/>
          <w:szCs w:val="24"/>
        </w:rPr>
        <w:t xml:space="preserve"> Leben,</w:t>
      </w:r>
      <w:r w:rsidRPr="0064458E">
        <w:rPr>
          <w:rFonts w:ascii="Times New Roman" w:hAnsi="Times New Roman" w:cs="Times New Roman"/>
          <w:sz w:val="24"/>
          <w:szCs w:val="24"/>
        </w:rPr>
        <w:t xml:space="preserve"> examined (Gunkel 1997). The Joseph story, however, stands out as a “novella”, a distinct story replete with folkloric elements (1997: 380). Gunkel argues that the Joseph story developed from legend traditions, of which references to the central figure found in Joseph were likely lacking (1922: 68), whereby the kernel of the legend was </w:t>
      </w:r>
      <w:r w:rsidRPr="0064458E">
        <w:rPr>
          <w:rFonts w:ascii="Times New Roman" w:hAnsi="Times New Roman" w:cs="Times New Roman"/>
          <w:sz w:val="24"/>
          <w:szCs w:val="24"/>
        </w:rPr>
        <w:lastRenderedPageBreak/>
        <w:t>the sale of a character to a foreign land due to his brothers’ hatred, and the subsequent rise to power and pardoning (1922: 66-67). Gunkel argues that the legends were employed in telling the Joseph story at a later period than that of the Patriarchal narratives, whereby the J- and E-source authors or compilers collected them at some point in the 10</w:t>
      </w:r>
      <w:r w:rsidRPr="0064458E">
        <w:rPr>
          <w:rFonts w:ascii="Times New Roman" w:hAnsi="Times New Roman" w:cs="Times New Roman"/>
          <w:sz w:val="24"/>
          <w:szCs w:val="24"/>
          <w:vertAlign w:val="superscript"/>
        </w:rPr>
        <w:t>th</w:t>
      </w:r>
      <w:r w:rsidRPr="0064458E">
        <w:rPr>
          <w:rFonts w:ascii="Times New Roman" w:hAnsi="Times New Roman" w:cs="Times New Roman"/>
          <w:sz w:val="24"/>
          <w:szCs w:val="24"/>
        </w:rPr>
        <w:t xml:space="preserve"> or 9</w:t>
      </w:r>
      <w:r w:rsidRPr="0064458E">
        <w:rPr>
          <w:rFonts w:ascii="Times New Roman" w:hAnsi="Times New Roman" w:cs="Times New Roman"/>
          <w:sz w:val="24"/>
          <w:szCs w:val="24"/>
          <w:vertAlign w:val="superscript"/>
        </w:rPr>
        <w:t>th</w:t>
      </w:r>
      <w:r w:rsidRPr="0064458E">
        <w:rPr>
          <w:rFonts w:ascii="Times New Roman" w:hAnsi="Times New Roman" w:cs="Times New Roman"/>
          <w:sz w:val="24"/>
          <w:szCs w:val="24"/>
        </w:rPr>
        <w:t xml:space="preserve"> centuries B.C.E.  Remaining in the form</w:t>
      </w:r>
      <w:r w:rsidR="008A1D00" w:rsidRPr="0064458E">
        <w:rPr>
          <w:rFonts w:ascii="Times New Roman" w:hAnsi="Times New Roman" w:cs="Times New Roman"/>
          <w:sz w:val="24"/>
          <w:szCs w:val="24"/>
        </w:rPr>
        <w:t>-</w:t>
      </w:r>
      <w:r w:rsidRPr="0064458E">
        <w:rPr>
          <w:rFonts w:ascii="Times New Roman" w:hAnsi="Times New Roman" w:cs="Times New Roman"/>
          <w:sz w:val="24"/>
          <w:szCs w:val="24"/>
        </w:rPr>
        <w:t xml:space="preserve">critical approach, Gerhard von Rad, whilst regarding Genesis 37-50 as being derived from the J and E sources, nonetheless argued that the original Joseph narrative (Gen. 37; 39-47; 50) is united in that it resembles a </w:t>
      </w:r>
      <w:proofErr w:type="spellStart"/>
      <w:r w:rsidRPr="0064458E">
        <w:rPr>
          <w:rFonts w:ascii="Times New Roman" w:hAnsi="Times New Roman" w:cs="Times New Roman"/>
          <w:i/>
          <w:iCs/>
          <w:sz w:val="24"/>
          <w:szCs w:val="24"/>
        </w:rPr>
        <w:t>Novelle</w:t>
      </w:r>
      <w:proofErr w:type="spellEnd"/>
      <w:r w:rsidRPr="0064458E">
        <w:rPr>
          <w:rFonts w:ascii="Times New Roman" w:hAnsi="Times New Roman" w:cs="Times New Roman"/>
          <w:sz w:val="24"/>
          <w:szCs w:val="24"/>
        </w:rPr>
        <w:t xml:space="preserve"> and due to what he sees as its origins in wisdom traditions (von Rad 1966: 292). For von Rad, Joseph’s dreams (Gen. 37:8) much less prepare for Israel’s future than they do for Joseph’s rise to eminence in Egypt (1972: 352). In a similar vein, Gen. 47:13-27 is intended to demonstrate Joseph’s wisdom and in overcoming novel complications in his handling of the famine, and the tribal history aspect of Gen. 47:27 is largely ignored (von Rad 1972: 410). For von Rad, the Joseph narrative was a distinct story that only gained its further theological components and tribal history through the inclusion of the narrative by the Yahwist (von Rad </w:t>
      </w:r>
      <w:proofErr w:type="spellStart"/>
      <w:r w:rsidRPr="0064458E">
        <w:rPr>
          <w:rFonts w:ascii="Times New Roman" w:hAnsi="Times New Roman" w:cs="Times New Roman"/>
          <w:sz w:val="24"/>
          <w:szCs w:val="24"/>
        </w:rPr>
        <w:t>1966b</w:t>
      </w:r>
      <w:proofErr w:type="spellEnd"/>
      <w:r w:rsidRPr="0064458E">
        <w:rPr>
          <w:rFonts w:ascii="Times New Roman" w:hAnsi="Times New Roman" w:cs="Times New Roman"/>
          <w:sz w:val="24"/>
          <w:szCs w:val="24"/>
        </w:rPr>
        <w:t xml:space="preserve">: 51). The argument for the Joseph narrative’s roots being in wisdom literature, although diminished over recent years (Fox 2001: 26), has nonetheless been forwarded by scholars since von Rad (Loader 1975; Wessels 1984; le Roux 1991). It is worth noting that von </w:t>
      </w:r>
      <w:proofErr w:type="spellStart"/>
      <w:r w:rsidRPr="0064458E">
        <w:rPr>
          <w:rFonts w:ascii="Times New Roman" w:hAnsi="Times New Roman" w:cs="Times New Roman"/>
          <w:sz w:val="24"/>
          <w:szCs w:val="24"/>
        </w:rPr>
        <w:t>Rad’s</w:t>
      </w:r>
      <w:proofErr w:type="spellEnd"/>
      <w:r w:rsidRPr="0064458E">
        <w:rPr>
          <w:rFonts w:ascii="Times New Roman" w:hAnsi="Times New Roman" w:cs="Times New Roman"/>
          <w:sz w:val="24"/>
          <w:szCs w:val="24"/>
        </w:rPr>
        <w:t xml:space="preserve"> argument has been met with valid criticism, notably that there is a lack of specific Wisdom indicators in the Joseph narrative (Crenshaw 1969: 135-137) and that Joseph</w:t>
      </w:r>
      <w:r w:rsidR="008A1D00" w:rsidRPr="0064458E">
        <w:rPr>
          <w:rFonts w:ascii="Times New Roman" w:hAnsi="Times New Roman" w:cs="Times New Roman"/>
          <w:sz w:val="24"/>
          <w:szCs w:val="24"/>
        </w:rPr>
        <w:t>, in fact,</w:t>
      </w:r>
      <w:r w:rsidRPr="0064458E">
        <w:rPr>
          <w:rFonts w:ascii="Times New Roman" w:hAnsi="Times New Roman" w:cs="Times New Roman"/>
          <w:sz w:val="24"/>
          <w:szCs w:val="24"/>
        </w:rPr>
        <w:t xml:space="preserve"> acts in ways that contradict the ideal espoused by wisdom literature (Redford 1970: 100-105).</w:t>
      </w:r>
    </w:p>
    <w:p w14:paraId="5948B1B6" w14:textId="62606648" w:rsidR="007F52C2" w:rsidRPr="0064458E" w:rsidRDefault="00F125DB"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Just as the proposed origins of the Joseph narrative are numerous, so too are the narrative’s purpose. However, a key purpose of the Joseph narrative is to present a story of divine guidance and providence. </w:t>
      </w:r>
      <w:r w:rsidR="003242C0" w:rsidRPr="0064458E">
        <w:rPr>
          <w:rFonts w:ascii="Times New Roman" w:hAnsi="Times New Roman" w:cs="Times New Roman"/>
          <w:sz w:val="24"/>
          <w:szCs w:val="24"/>
        </w:rPr>
        <w:t xml:space="preserve">The Joseph story constituted yet another example of the theme of danger to the heirs of the promise, once again due to famine, followed by their miraculous deliverance. </w:t>
      </w:r>
      <w:r w:rsidR="00733A1E" w:rsidRPr="0064458E">
        <w:rPr>
          <w:rFonts w:ascii="Times New Roman" w:hAnsi="Times New Roman" w:cs="Times New Roman"/>
          <w:sz w:val="24"/>
          <w:szCs w:val="24"/>
        </w:rPr>
        <w:t>E</w:t>
      </w:r>
      <w:r w:rsidR="008C2C35" w:rsidRPr="0064458E">
        <w:rPr>
          <w:rFonts w:ascii="Times New Roman" w:hAnsi="Times New Roman" w:cs="Times New Roman"/>
          <w:sz w:val="24"/>
          <w:szCs w:val="24"/>
        </w:rPr>
        <w:t xml:space="preserve">mphasised several times that his preservation is in danger and that his success is not his but </w:t>
      </w:r>
      <w:r w:rsidR="008C2C35" w:rsidRPr="0064458E">
        <w:rPr>
          <w:rFonts w:ascii="Times New Roman" w:hAnsi="Times New Roman" w:cs="Times New Roman"/>
          <w:sz w:val="24"/>
          <w:szCs w:val="24"/>
        </w:rPr>
        <w:lastRenderedPageBreak/>
        <w:t>due to the unseen operations of God. (39:3, 5, 21, 23; 41:51-52)</w:t>
      </w:r>
      <w:r w:rsidR="00733A1E" w:rsidRPr="0064458E">
        <w:rPr>
          <w:rFonts w:ascii="Times New Roman" w:hAnsi="Times New Roman" w:cs="Times New Roman"/>
          <w:sz w:val="24"/>
          <w:szCs w:val="24"/>
        </w:rPr>
        <w:t xml:space="preserve">. </w:t>
      </w:r>
      <w:r w:rsidR="003242C0" w:rsidRPr="0064458E">
        <w:rPr>
          <w:rFonts w:ascii="Times New Roman" w:hAnsi="Times New Roman" w:cs="Times New Roman"/>
          <w:sz w:val="24"/>
          <w:szCs w:val="24"/>
        </w:rPr>
        <w:t xml:space="preserve">The preceding chapters of Genesis are awash with </w:t>
      </w:r>
      <w:r w:rsidR="008A1D00" w:rsidRPr="0064458E">
        <w:rPr>
          <w:rFonts w:ascii="Times New Roman" w:hAnsi="Times New Roman" w:cs="Times New Roman"/>
          <w:sz w:val="24"/>
          <w:szCs w:val="24"/>
        </w:rPr>
        <w:t xml:space="preserve">the </w:t>
      </w:r>
      <w:r w:rsidR="003242C0" w:rsidRPr="0064458E">
        <w:rPr>
          <w:rFonts w:ascii="Times New Roman" w:hAnsi="Times New Roman" w:cs="Times New Roman"/>
          <w:sz w:val="24"/>
          <w:szCs w:val="24"/>
        </w:rPr>
        <w:t xml:space="preserve">appearance of God or His messengers, whilst the Joseph </w:t>
      </w:r>
      <w:r w:rsidR="00733A1E" w:rsidRPr="0064458E">
        <w:rPr>
          <w:rFonts w:ascii="Times New Roman" w:hAnsi="Times New Roman" w:cs="Times New Roman"/>
          <w:sz w:val="24"/>
          <w:szCs w:val="24"/>
        </w:rPr>
        <w:t xml:space="preserve">story is void of divine speech bar the interaction Jacob has with God </w:t>
      </w:r>
      <w:r w:rsidR="008A1D00" w:rsidRPr="0064458E">
        <w:rPr>
          <w:rFonts w:ascii="Times New Roman" w:hAnsi="Times New Roman" w:cs="Times New Roman"/>
          <w:sz w:val="24"/>
          <w:szCs w:val="24"/>
        </w:rPr>
        <w:t>before</w:t>
      </w:r>
      <w:r w:rsidR="00733A1E" w:rsidRPr="0064458E">
        <w:rPr>
          <w:rFonts w:ascii="Times New Roman" w:hAnsi="Times New Roman" w:cs="Times New Roman"/>
          <w:sz w:val="24"/>
          <w:szCs w:val="24"/>
        </w:rPr>
        <w:t xml:space="preserve"> going down into Egypt (quote). Yet Joseph’s efforts at pious living lead to him “finding favour” in the sight of key individuals (39:4, 21), and that God was with Joseph (39:2-3). The Joseph narrative addresses Joseph’s descent into slavery by stating that the presence of God in one’s life</w:t>
      </w:r>
      <w:r w:rsidR="003B4A1E" w:rsidRPr="0064458E">
        <w:rPr>
          <w:rFonts w:ascii="Times New Roman" w:hAnsi="Times New Roman" w:cs="Times New Roman"/>
          <w:sz w:val="24"/>
          <w:szCs w:val="24"/>
        </w:rPr>
        <w:t xml:space="preserve"> is not measured by the absence of adversity but by a faithful attitude </w:t>
      </w:r>
      <w:r w:rsidR="008A1D00" w:rsidRPr="0064458E">
        <w:rPr>
          <w:rFonts w:ascii="Times New Roman" w:hAnsi="Times New Roman" w:cs="Times New Roman"/>
          <w:sz w:val="24"/>
          <w:szCs w:val="24"/>
        </w:rPr>
        <w:t>amid</w:t>
      </w:r>
      <w:r w:rsidR="003B4A1E" w:rsidRPr="0064458E">
        <w:rPr>
          <w:rFonts w:ascii="Times New Roman" w:hAnsi="Times New Roman" w:cs="Times New Roman"/>
          <w:sz w:val="24"/>
          <w:szCs w:val="24"/>
        </w:rPr>
        <w:t xml:space="preserve"> adversity (</w:t>
      </w:r>
      <w:proofErr w:type="spellStart"/>
      <w:r w:rsidR="003B4A1E" w:rsidRPr="0064458E">
        <w:rPr>
          <w:rFonts w:ascii="Times New Roman" w:hAnsi="Times New Roman" w:cs="Times New Roman"/>
          <w:sz w:val="24"/>
          <w:szCs w:val="24"/>
        </w:rPr>
        <w:t>Rydelnik</w:t>
      </w:r>
      <w:proofErr w:type="spellEnd"/>
      <w:r w:rsidR="003B4A1E" w:rsidRPr="0064458E">
        <w:rPr>
          <w:rFonts w:ascii="Times New Roman" w:hAnsi="Times New Roman" w:cs="Times New Roman"/>
          <w:sz w:val="24"/>
          <w:szCs w:val="24"/>
        </w:rPr>
        <w:t xml:space="preserve"> and </w:t>
      </w:r>
      <w:proofErr w:type="spellStart"/>
      <w:r w:rsidR="003B4A1E" w:rsidRPr="0064458E">
        <w:rPr>
          <w:rFonts w:ascii="Times New Roman" w:hAnsi="Times New Roman" w:cs="Times New Roman"/>
          <w:sz w:val="24"/>
          <w:szCs w:val="24"/>
        </w:rPr>
        <w:t>Vanlaningham</w:t>
      </w:r>
      <w:proofErr w:type="spellEnd"/>
      <w:r w:rsidR="003B4A1E" w:rsidRPr="0064458E">
        <w:rPr>
          <w:rFonts w:ascii="Times New Roman" w:hAnsi="Times New Roman" w:cs="Times New Roman"/>
          <w:sz w:val="24"/>
          <w:szCs w:val="24"/>
        </w:rPr>
        <w:t xml:space="preserve"> 2014: 264). This likely gives the Joseph narrative an additional purpose of providing comfort and motivation for those who were experiencing hardship</w:t>
      </w:r>
      <w:r w:rsidRPr="0064458E">
        <w:rPr>
          <w:rFonts w:ascii="Times New Roman" w:hAnsi="Times New Roman" w:cs="Times New Roman"/>
          <w:sz w:val="24"/>
          <w:szCs w:val="24"/>
        </w:rPr>
        <w:t>, made more likely if the dating of the Yah</w:t>
      </w:r>
      <w:r w:rsidR="008A1D00" w:rsidRPr="0064458E">
        <w:rPr>
          <w:rFonts w:ascii="Times New Roman" w:hAnsi="Times New Roman" w:cs="Times New Roman"/>
          <w:sz w:val="24"/>
          <w:szCs w:val="24"/>
        </w:rPr>
        <w:t>wi</w:t>
      </w:r>
      <w:r w:rsidRPr="0064458E">
        <w:rPr>
          <w:rFonts w:ascii="Times New Roman" w:hAnsi="Times New Roman" w:cs="Times New Roman"/>
          <w:sz w:val="24"/>
          <w:szCs w:val="24"/>
        </w:rPr>
        <w:t>st, provided by Van Seters (2015: 41-43), to the Babylonian captivity is accepted.</w:t>
      </w:r>
      <w:r w:rsidR="00E463CF" w:rsidRPr="0064458E">
        <w:rPr>
          <w:rFonts w:ascii="Times New Roman" w:hAnsi="Times New Roman" w:cs="Times New Roman"/>
          <w:sz w:val="24"/>
          <w:szCs w:val="24"/>
        </w:rPr>
        <w:t xml:space="preserve"> </w:t>
      </w:r>
      <w:r w:rsidR="003B4A1E" w:rsidRPr="0064458E">
        <w:rPr>
          <w:rFonts w:ascii="Times New Roman" w:hAnsi="Times New Roman" w:cs="Times New Roman"/>
          <w:sz w:val="24"/>
          <w:szCs w:val="24"/>
        </w:rPr>
        <w:t>Joseph’s adverse circumstances are seen to be secondary to the providence of God in achieving His purposes (</w:t>
      </w:r>
      <w:proofErr w:type="spellStart"/>
      <w:r w:rsidR="003B4A1E" w:rsidRPr="0064458E">
        <w:rPr>
          <w:rFonts w:ascii="Times New Roman" w:hAnsi="Times New Roman" w:cs="Times New Roman"/>
          <w:sz w:val="24"/>
          <w:szCs w:val="24"/>
        </w:rPr>
        <w:t>Rydelnik</w:t>
      </w:r>
      <w:proofErr w:type="spellEnd"/>
      <w:r w:rsidR="003B4A1E" w:rsidRPr="0064458E">
        <w:rPr>
          <w:rFonts w:ascii="Times New Roman" w:hAnsi="Times New Roman" w:cs="Times New Roman"/>
          <w:sz w:val="24"/>
          <w:szCs w:val="24"/>
        </w:rPr>
        <w:t xml:space="preserve"> and </w:t>
      </w:r>
      <w:proofErr w:type="spellStart"/>
      <w:r w:rsidR="003B4A1E" w:rsidRPr="0064458E">
        <w:rPr>
          <w:rFonts w:ascii="Times New Roman" w:hAnsi="Times New Roman" w:cs="Times New Roman"/>
          <w:sz w:val="24"/>
          <w:szCs w:val="24"/>
        </w:rPr>
        <w:t>Vanlaningham</w:t>
      </w:r>
      <w:proofErr w:type="spellEnd"/>
      <w:r w:rsidR="003B4A1E" w:rsidRPr="0064458E">
        <w:rPr>
          <w:rFonts w:ascii="Times New Roman" w:hAnsi="Times New Roman" w:cs="Times New Roman"/>
          <w:sz w:val="24"/>
          <w:szCs w:val="24"/>
        </w:rPr>
        <w:t xml:space="preserve"> 2014: 265).</w:t>
      </w:r>
      <w:r w:rsidR="004F128C" w:rsidRPr="0064458E">
        <w:rPr>
          <w:rFonts w:ascii="Times New Roman" w:hAnsi="Times New Roman" w:cs="Times New Roman"/>
          <w:sz w:val="24"/>
          <w:szCs w:val="24"/>
        </w:rPr>
        <w:t xml:space="preserve"> </w:t>
      </w:r>
      <w:r w:rsidR="008A1D00" w:rsidRPr="0064458E">
        <w:rPr>
          <w:rFonts w:ascii="Times New Roman" w:hAnsi="Times New Roman" w:cs="Times New Roman"/>
          <w:sz w:val="24"/>
          <w:szCs w:val="24"/>
        </w:rPr>
        <w:t xml:space="preserve">Therefore, the Joseph narrative appears to stress the unseen hand of God within people’s lives, an idea with which Joseph agrees: “it was God who planned it for good.. to keep many people alive” (Gen. 50:20). Joseph is seen to be affirming the hidden and decisive power God demonstrates, as God works out His purpose both through and despite Egypt, Joseph, and Joseph’s brothers. </w:t>
      </w:r>
      <w:bookmarkStart w:id="0" w:name="_Hlk48663217"/>
      <w:r w:rsidR="008C2C35" w:rsidRPr="0064458E">
        <w:rPr>
          <w:rFonts w:ascii="Times New Roman" w:hAnsi="Times New Roman" w:cs="Times New Roman"/>
          <w:sz w:val="24"/>
          <w:szCs w:val="24"/>
        </w:rPr>
        <w:t>Instead, God works in a hidden way, secretly guiding the course of human events, bringing good out of human evil (50.20).</w:t>
      </w:r>
      <w:bookmarkEnd w:id="0"/>
      <w:r w:rsidR="004F128C" w:rsidRPr="0064458E">
        <w:rPr>
          <w:rFonts w:ascii="Times New Roman" w:hAnsi="Times New Roman" w:cs="Times New Roman"/>
          <w:sz w:val="24"/>
          <w:szCs w:val="24"/>
        </w:rPr>
        <w:t xml:space="preserve"> </w:t>
      </w:r>
      <w:r w:rsidR="00733A1E" w:rsidRPr="0064458E">
        <w:rPr>
          <w:rFonts w:ascii="Times New Roman" w:hAnsi="Times New Roman" w:cs="Times New Roman"/>
          <w:sz w:val="24"/>
          <w:szCs w:val="24"/>
        </w:rPr>
        <w:t>Following the death of Jacob, Joseph reassures his brothers by reminding them that he forgave them not for his father’s sake but because he saw God working within his life (50:15-21), to the extent whereby the evil actions of his brothers were superseded by God’s good intentions (50:20).</w:t>
      </w:r>
      <w:r w:rsidR="008A1D00" w:rsidRPr="0064458E">
        <w:rPr>
          <w:rFonts w:ascii="Times New Roman" w:hAnsi="Times New Roman" w:cs="Times New Roman"/>
          <w:sz w:val="24"/>
          <w:szCs w:val="24"/>
        </w:rPr>
        <w:t xml:space="preserve"> </w:t>
      </w:r>
      <w:r w:rsidR="00733A1E" w:rsidRPr="0064458E">
        <w:rPr>
          <w:rFonts w:ascii="Times New Roman" w:hAnsi="Times New Roman" w:cs="Times New Roman"/>
          <w:sz w:val="24"/>
          <w:szCs w:val="24"/>
        </w:rPr>
        <w:t xml:space="preserve">This interaction reiterates a central point of the narrative, that God arranged for Jacob to go to Egypt in order to preserve the lives of many (45:7). </w:t>
      </w:r>
    </w:p>
    <w:p w14:paraId="794FFCD1" w14:textId="4A99B648" w:rsidR="00FA70F0" w:rsidRPr="0064458E" w:rsidRDefault="00FA70F0"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A further key purpose of the Joseph narrative is to anticipate both the Exodus and the fulfilment of the Abrahamic promises. </w:t>
      </w:r>
      <w:r w:rsidR="004F128C" w:rsidRPr="0064458E">
        <w:rPr>
          <w:rFonts w:ascii="Times New Roman" w:hAnsi="Times New Roman" w:cs="Times New Roman"/>
          <w:sz w:val="24"/>
          <w:szCs w:val="24"/>
        </w:rPr>
        <w:t>Joseph’s descent into slavery and ascent to power as a whole provides a rubri</w:t>
      </w:r>
      <w:r w:rsidR="008A1D00" w:rsidRPr="0064458E">
        <w:rPr>
          <w:rFonts w:ascii="Times New Roman" w:hAnsi="Times New Roman" w:cs="Times New Roman"/>
          <w:sz w:val="24"/>
          <w:szCs w:val="24"/>
        </w:rPr>
        <w:t>c</w:t>
      </w:r>
      <w:r w:rsidR="004F128C" w:rsidRPr="0064458E">
        <w:rPr>
          <w:rFonts w:ascii="Times New Roman" w:hAnsi="Times New Roman" w:cs="Times New Roman"/>
          <w:sz w:val="24"/>
          <w:szCs w:val="24"/>
        </w:rPr>
        <w:t xml:space="preserve"> with which to understand the Exodus. Joseph’s disgrace was a necessary </w:t>
      </w:r>
      <w:r w:rsidR="004F128C" w:rsidRPr="0064458E">
        <w:rPr>
          <w:rFonts w:ascii="Times New Roman" w:hAnsi="Times New Roman" w:cs="Times New Roman"/>
          <w:sz w:val="24"/>
          <w:szCs w:val="24"/>
        </w:rPr>
        <w:lastRenderedPageBreak/>
        <w:t xml:space="preserve">preliminary for his future glory (Wenham 2000: 898). So too, the disgrace of slavery for the Israelites was necessary for their being brought up from Egypt into Canaan. In the first instance of divine speech in the Joseph story, God tells Jacob that He will make him into a great nation in Egypt and that He will go down into Egypt with him and will bring him up again to Canaan (46:3-4). Jacob can be seen to anticipate the fulfilment of the Abrahamic promises and desires to be a part of it, asking Joseph to ensure that he is buried in the promised land (47:28-31). </w:t>
      </w:r>
      <w:r w:rsidRPr="0064458E">
        <w:rPr>
          <w:rFonts w:ascii="Times New Roman" w:hAnsi="Times New Roman" w:cs="Times New Roman"/>
          <w:sz w:val="24"/>
          <w:szCs w:val="24"/>
        </w:rPr>
        <w:t>By the end of the Joseph story, the family of Israel has grown from 12 to 70 members. This does not fully realise the promise that Abraham would become a great nation (12:2) but is not fulfilled until the beginning of the Book of Exodus.  The promise that Abraham’s name would become great was also partially fulfilled, as his great-grandson Joseph rose to eminence in Egypt as the vizier. Finally, through Joseph’s wisdom in Egypt families of the earth began to find blessing through being saved from certain death, and Pharaoh’s reward to Joseph and his family, notably the best of the land in Goshen (47:6), facilitated the growth of Jacob’s family into a nation as God had promised (</w:t>
      </w:r>
      <w:proofErr w:type="spellStart"/>
      <w:r w:rsidRPr="0064458E">
        <w:rPr>
          <w:rFonts w:ascii="Times New Roman" w:hAnsi="Times New Roman" w:cs="Times New Roman"/>
          <w:sz w:val="24"/>
          <w:szCs w:val="24"/>
        </w:rPr>
        <w:t>Rydelnik</w:t>
      </w:r>
      <w:proofErr w:type="spellEnd"/>
      <w:r w:rsidRPr="0064458E">
        <w:rPr>
          <w:rFonts w:ascii="Times New Roman" w:hAnsi="Times New Roman" w:cs="Times New Roman"/>
          <w:sz w:val="24"/>
          <w:szCs w:val="24"/>
        </w:rPr>
        <w:t xml:space="preserve"> and </w:t>
      </w:r>
      <w:proofErr w:type="spellStart"/>
      <w:r w:rsidRPr="0064458E">
        <w:rPr>
          <w:rFonts w:ascii="Times New Roman" w:hAnsi="Times New Roman" w:cs="Times New Roman"/>
          <w:sz w:val="24"/>
          <w:szCs w:val="24"/>
        </w:rPr>
        <w:t>Vanlaningham</w:t>
      </w:r>
      <w:proofErr w:type="spellEnd"/>
      <w:r w:rsidRPr="0064458E">
        <w:rPr>
          <w:rFonts w:ascii="Times New Roman" w:hAnsi="Times New Roman" w:cs="Times New Roman"/>
          <w:sz w:val="24"/>
          <w:szCs w:val="24"/>
        </w:rPr>
        <w:t xml:space="preserve"> 2014: 278). </w:t>
      </w:r>
    </w:p>
    <w:p w14:paraId="03E51BAD" w14:textId="4D840F98" w:rsidR="00ED32AD" w:rsidRPr="0064458E" w:rsidRDefault="00FA70F0"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Although outside the scope of this essay, it is worth noting that one possible purpose of the Joseph narrative is to demonstrate that, even in exile, an Israelite can rise to eminence and bring benefit for themselves, </w:t>
      </w:r>
      <w:r w:rsidR="00ED32AD" w:rsidRPr="0064458E">
        <w:rPr>
          <w:rFonts w:ascii="Times New Roman" w:hAnsi="Times New Roman" w:cs="Times New Roman"/>
          <w:sz w:val="24"/>
          <w:szCs w:val="24"/>
        </w:rPr>
        <w:t xml:space="preserve">their people, and other nations. </w:t>
      </w:r>
      <w:r w:rsidR="008C2C35" w:rsidRPr="0064458E">
        <w:rPr>
          <w:rFonts w:ascii="Times New Roman" w:hAnsi="Times New Roman" w:cs="Times New Roman"/>
          <w:sz w:val="24"/>
          <w:szCs w:val="24"/>
        </w:rPr>
        <w:t>The account of Joseph displays a pattern that was to be retained by God throughout the history of Israel in an expression of concern for Israel (</w:t>
      </w:r>
      <w:proofErr w:type="spellStart"/>
      <w:r w:rsidR="008C2C35" w:rsidRPr="0064458E">
        <w:rPr>
          <w:rFonts w:ascii="Times New Roman" w:hAnsi="Times New Roman" w:cs="Times New Roman"/>
          <w:sz w:val="24"/>
          <w:szCs w:val="24"/>
        </w:rPr>
        <w:t>Rydelnik</w:t>
      </w:r>
      <w:proofErr w:type="spellEnd"/>
      <w:r w:rsidR="008C2C35" w:rsidRPr="0064458E">
        <w:rPr>
          <w:rFonts w:ascii="Times New Roman" w:hAnsi="Times New Roman" w:cs="Times New Roman"/>
          <w:sz w:val="24"/>
          <w:szCs w:val="24"/>
        </w:rPr>
        <w:t xml:space="preserve"> and </w:t>
      </w:r>
      <w:proofErr w:type="spellStart"/>
      <w:r w:rsidR="008C2C35" w:rsidRPr="0064458E">
        <w:rPr>
          <w:rFonts w:ascii="Times New Roman" w:hAnsi="Times New Roman" w:cs="Times New Roman"/>
          <w:sz w:val="24"/>
          <w:szCs w:val="24"/>
        </w:rPr>
        <w:t>Vanlaningham</w:t>
      </w:r>
      <w:proofErr w:type="spellEnd"/>
      <w:r w:rsidR="008C2C35" w:rsidRPr="0064458E">
        <w:rPr>
          <w:rFonts w:ascii="Times New Roman" w:hAnsi="Times New Roman" w:cs="Times New Roman"/>
          <w:sz w:val="24"/>
          <w:szCs w:val="24"/>
        </w:rPr>
        <w:t xml:space="preserve"> 2014: 256). This pattern goes on to be used in the narratives of Moses (adopted by Pharaoh in Ex. 2:10), David (commander of the Philistine king </w:t>
      </w:r>
      <w:proofErr w:type="spellStart"/>
      <w:r w:rsidR="008C2C35" w:rsidRPr="0064458E">
        <w:rPr>
          <w:rFonts w:ascii="Times New Roman" w:hAnsi="Times New Roman" w:cs="Times New Roman"/>
          <w:sz w:val="24"/>
          <w:szCs w:val="24"/>
        </w:rPr>
        <w:t>Achish</w:t>
      </w:r>
      <w:proofErr w:type="spellEnd"/>
      <w:r w:rsidR="008C2C35" w:rsidRPr="0064458E">
        <w:rPr>
          <w:rFonts w:ascii="Times New Roman" w:hAnsi="Times New Roman" w:cs="Times New Roman"/>
          <w:sz w:val="24"/>
          <w:szCs w:val="24"/>
        </w:rPr>
        <w:t xml:space="preserve"> in 1 Sam. 28:2), Daniel (adviser to Nebuchadnezzar in Dan. 1:21), Esther (queen to King Ahasuerus in Est. 2:17), Mordecai (first chamberlain to Ahasuerus in Est. 2:21), and Nehemiah (cupbearer to </w:t>
      </w:r>
      <w:r w:rsidR="008A1D00" w:rsidRPr="0064458E">
        <w:rPr>
          <w:rFonts w:ascii="Times New Roman" w:hAnsi="Times New Roman" w:cs="Times New Roman"/>
          <w:sz w:val="24"/>
          <w:szCs w:val="24"/>
        </w:rPr>
        <w:t>K</w:t>
      </w:r>
      <w:r w:rsidR="008C2C35" w:rsidRPr="0064458E">
        <w:rPr>
          <w:rFonts w:ascii="Times New Roman" w:hAnsi="Times New Roman" w:cs="Times New Roman"/>
          <w:sz w:val="24"/>
          <w:szCs w:val="24"/>
        </w:rPr>
        <w:t xml:space="preserve">ing Artaxerxes in Neh. 1:11). The elevation of Joseph, and of the aforementioned figures following Joseph, resulted not only in benefits for the elevated, but also resulted in the elevation of Jewish </w:t>
      </w:r>
      <w:proofErr w:type="spellStart"/>
      <w:r w:rsidR="008C2C35" w:rsidRPr="0064458E">
        <w:rPr>
          <w:rFonts w:ascii="Times New Roman" w:hAnsi="Times New Roman" w:cs="Times New Roman"/>
          <w:sz w:val="24"/>
          <w:szCs w:val="24"/>
        </w:rPr>
        <w:t>sociopolitical</w:t>
      </w:r>
      <w:proofErr w:type="spellEnd"/>
      <w:r w:rsidR="008C2C35" w:rsidRPr="0064458E">
        <w:rPr>
          <w:rFonts w:ascii="Times New Roman" w:hAnsi="Times New Roman" w:cs="Times New Roman"/>
          <w:sz w:val="24"/>
          <w:szCs w:val="24"/>
        </w:rPr>
        <w:t xml:space="preserve"> standing, and often carried some degree of </w:t>
      </w:r>
      <w:r w:rsidR="008C2C35" w:rsidRPr="0064458E">
        <w:rPr>
          <w:rFonts w:ascii="Times New Roman" w:hAnsi="Times New Roman" w:cs="Times New Roman"/>
          <w:sz w:val="24"/>
          <w:szCs w:val="24"/>
        </w:rPr>
        <w:lastRenderedPageBreak/>
        <w:t>material benefit.  (</w:t>
      </w:r>
      <w:proofErr w:type="spellStart"/>
      <w:r w:rsidR="008C2C35" w:rsidRPr="0064458E">
        <w:rPr>
          <w:rFonts w:ascii="Times New Roman" w:hAnsi="Times New Roman" w:cs="Times New Roman"/>
          <w:sz w:val="24"/>
          <w:szCs w:val="24"/>
        </w:rPr>
        <w:t>Rydelnik</w:t>
      </w:r>
      <w:proofErr w:type="spellEnd"/>
      <w:r w:rsidR="008C2C35" w:rsidRPr="0064458E">
        <w:rPr>
          <w:rFonts w:ascii="Times New Roman" w:hAnsi="Times New Roman" w:cs="Times New Roman"/>
          <w:sz w:val="24"/>
          <w:szCs w:val="24"/>
        </w:rPr>
        <w:t xml:space="preserve"> and </w:t>
      </w:r>
      <w:proofErr w:type="spellStart"/>
      <w:r w:rsidR="008C2C35" w:rsidRPr="0064458E">
        <w:rPr>
          <w:rFonts w:ascii="Times New Roman" w:hAnsi="Times New Roman" w:cs="Times New Roman"/>
          <w:sz w:val="24"/>
          <w:szCs w:val="24"/>
        </w:rPr>
        <w:t>Vanlaningham</w:t>
      </w:r>
      <w:proofErr w:type="spellEnd"/>
      <w:r w:rsidR="008C2C35" w:rsidRPr="0064458E">
        <w:rPr>
          <w:rFonts w:ascii="Times New Roman" w:hAnsi="Times New Roman" w:cs="Times New Roman"/>
          <w:sz w:val="24"/>
          <w:szCs w:val="24"/>
        </w:rPr>
        <w:t xml:space="preserve"> 2014: 256).</w:t>
      </w:r>
      <w:r w:rsidR="00D83EAF" w:rsidRPr="0064458E">
        <w:rPr>
          <w:rFonts w:ascii="Times New Roman" w:hAnsi="Times New Roman" w:cs="Times New Roman"/>
          <w:sz w:val="24"/>
          <w:szCs w:val="24"/>
        </w:rPr>
        <w:t xml:space="preserve"> An additional minor purpose may be to provide a well-rounded end to the book of Genesis by connecting it to Genesis 1-11. Bruce Dahlberg (1976) argued that the primeval history of Genesis 1-11 and Genesis 37-50 constituted a cohesive narrative framework around the book of Genesis. Dahlberg has argued that Joseph’s wisdom, ability to discern between good and evil, and </w:t>
      </w:r>
      <w:r w:rsidR="00203EEF" w:rsidRPr="0064458E">
        <w:rPr>
          <w:rFonts w:ascii="Times New Roman" w:hAnsi="Times New Roman" w:cs="Times New Roman"/>
          <w:sz w:val="24"/>
          <w:szCs w:val="24"/>
        </w:rPr>
        <w:t xml:space="preserve">role in saving countless people from starvation represented a theological reversal of the human condition following the expulsion from the Garden of Eden (1976: 364), and Dahlberg goes on to propose a connection between Joseph saving people through careful management during a famine to Noah and his ark (1976: 365). Dahlberg’s proposal has not been taken up with significant vigour, but nonetheless provides an insight into the myriad layers of purpose that a text such as the </w:t>
      </w:r>
      <w:proofErr w:type="spellStart"/>
      <w:r w:rsidR="00203EEF" w:rsidRPr="0064458E">
        <w:rPr>
          <w:rFonts w:ascii="Times New Roman" w:hAnsi="Times New Roman" w:cs="Times New Roman"/>
          <w:sz w:val="24"/>
          <w:szCs w:val="24"/>
        </w:rPr>
        <w:t>Jospeh</w:t>
      </w:r>
      <w:proofErr w:type="spellEnd"/>
      <w:r w:rsidR="00203EEF" w:rsidRPr="0064458E">
        <w:rPr>
          <w:rFonts w:ascii="Times New Roman" w:hAnsi="Times New Roman" w:cs="Times New Roman"/>
          <w:sz w:val="24"/>
          <w:szCs w:val="24"/>
        </w:rPr>
        <w:t xml:space="preserve"> narrative has inspired people to find.</w:t>
      </w:r>
    </w:p>
    <w:p w14:paraId="764D7087" w14:textId="415EA7FC" w:rsidR="003242C0" w:rsidRPr="0064458E" w:rsidRDefault="00ED32AD"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In conclusion, this essay has sought to suggest the provenance and purpose of the Joseph narrative through an analysis of Genesis 37-50. This essay has argued that, although numerous notions have been developed to explain the origin of the story, convincing arguments have come from source-critical and form-critical approaches. This essay has argued that the source-critical approach helps demonstrate the likelihood of the Joseph narrative stemming from at least two independent narratives, as witnessed by the many contradictions and discrepancies within the text, often separated by one verse, which had been compiled in a canonical approach in order to maintain the compiler’s conception of the veracity of the narrative. Conversely, this essay has also argued that form-critical approaches contribute to gaining a well-rounded understanding of the pre-compilation origins of the narrative. This essay has noted how the discrepancies within the story have given rise to alternative explanations, seeing the origins of the narrative within folktales, legend, and even wisdom. Furthermore, this essay has also argued that the purposes of the Joseph narrative have largely been two-fold: the affirm and declare the role of divine providence in the lives of humanity and to anticipate both the Exodus </w:t>
      </w:r>
      <w:r w:rsidRPr="0064458E">
        <w:rPr>
          <w:rFonts w:ascii="Times New Roman" w:hAnsi="Times New Roman" w:cs="Times New Roman"/>
          <w:sz w:val="24"/>
          <w:szCs w:val="24"/>
        </w:rPr>
        <w:lastRenderedPageBreak/>
        <w:t xml:space="preserve">and the fulfilment of the Abrahamic promises. Moreover, this essay has suggested a minor purpose of the text, notably to initiate a pattern of relationship between exiled Jews and foreign potentates, whereby the elevation of a Jew in exile brings about benefits for all involved. Such a pattern was demonstrated to be seen elsewhere in </w:t>
      </w:r>
      <w:r w:rsidR="008A1D00" w:rsidRPr="0064458E">
        <w:rPr>
          <w:rFonts w:ascii="Times New Roman" w:hAnsi="Times New Roman" w:cs="Times New Roman"/>
          <w:sz w:val="24"/>
          <w:szCs w:val="24"/>
        </w:rPr>
        <w:t xml:space="preserve">the </w:t>
      </w:r>
      <w:r w:rsidRPr="0064458E">
        <w:rPr>
          <w:rFonts w:ascii="Times New Roman" w:hAnsi="Times New Roman" w:cs="Times New Roman"/>
          <w:sz w:val="24"/>
          <w:szCs w:val="24"/>
        </w:rPr>
        <w:t xml:space="preserve">Hebrew Bible. </w:t>
      </w:r>
    </w:p>
    <w:p w14:paraId="675F3D4B" w14:textId="4BBF62C7" w:rsidR="008A1D00" w:rsidRPr="0064458E" w:rsidRDefault="008A1D00" w:rsidP="0064458E">
      <w:pPr>
        <w:spacing w:line="480" w:lineRule="auto"/>
        <w:jc w:val="both"/>
        <w:rPr>
          <w:rFonts w:ascii="Times New Roman" w:hAnsi="Times New Roman" w:cs="Times New Roman"/>
          <w:sz w:val="24"/>
          <w:szCs w:val="24"/>
        </w:rPr>
      </w:pPr>
    </w:p>
    <w:p w14:paraId="083D41CA" w14:textId="31119F87" w:rsidR="008A1D00" w:rsidRPr="0064458E" w:rsidRDefault="008A1D00" w:rsidP="0064458E">
      <w:pPr>
        <w:spacing w:line="480" w:lineRule="auto"/>
        <w:jc w:val="both"/>
        <w:rPr>
          <w:rFonts w:ascii="Times New Roman" w:hAnsi="Times New Roman" w:cs="Times New Roman"/>
          <w:sz w:val="24"/>
          <w:szCs w:val="24"/>
        </w:rPr>
      </w:pPr>
    </w:p>
    <w:p w14:paraId="0C21B9EA" w14:textId="04E5FE82" w:rsidR="008A1D00" w:rsidRPr="0064458E" w:rsidRDefault="008A1D00" w:rsidP="0064458E">
      <w:pPr>
        <w:spacing w:line="480" w:lineRule="auto"/>
        <w:jc w:val="both"/>
        <w:rPr>
          <w:rFonts w:ascii="Times New Roman" w:hAnsi="Times New Roman" w:cs="Times New Roman"/>
          <w:sz w:val="24"/>
          <w:szCs w:val="24"/>
        </w:rPr>
      </w:pPr>
    </w:p>
    <w:p w14:paraId="0661730F" w14:textId="6387B1E8" w:rsidR="008A1D00" w:rsidRPr="0064458E" w:rsidRDefault="008A1D00" w:rsidP="0064458E">
      <w:pPr>
        <w:spacing w:line="480" w:lineRule="auto"/>
        <w:jc w:val="both"/>
        <w:rPr>
          <w:rFonts w:ascii="Times New Roman" w:hAnsi="Times New Roman" w:cs="Times New Roman"/>
          <w:sz w:val="24"/>
          <w:szCs w:val="24"/>
        </w:rPr>
      </w:pPr>
    </w:p>
    <w:p w14:paraId="67C0F89B" w14:textId="710E3EA7" w:rsidR="008A1D00" w:rsidRPr="0064458E" w:rsidRDefault="008A1D00" w:rsidP="0064458E">
      <w:pPr>
        <w:spacing w:line="480" w:lineRule="auto"/>
        <w:jc w:val="both"/>
        <w:rPr>
          <w:rFonts w:ascii="Times New Roman" w:hAnsi="Times New Roman" w:cs="Times New Roman"/>
          <w:sz w:val="24"/>
          <w:szCs w:val="24"/>
        </w:rPr>
      </w:pPr>
    </w:p>
    <w:p w14:paraId="4A867F88" w14:textId="24D76FC8" w:rsidR="008A1D00" w:rsidRPr="0064458E" w:rsidRDefault="008A1D00" w:rsidP="0064458E">
      <w:pPr>
        <w:spacing w:line="480" w:lineRule="auto"/>
        <w:jc w:val="both"/>
        <w:rPr>
          <w:rFonts w:ascii="Times New Roman" w:hAnsi="Times New Roman" w:cs="Times New Roman"/>
          <w:sz w:val="24"/>
          <w:szCs w:val="24"/>
        </w:rPr>
      </w:pPr>
    </w:p>
    <w:p w14:paraId="77E80A4B" w14:textId="1BDFD9C2" w:rsidR="008A1D00" w:rsidRPr="0064458E" w:rsidRDefault="008A1D00" w:rsidP="0064458E">
      <w:pPr>
        <w:spacing w:line="480" w:lineRule="auto"/>
        <w:jc w:val="both"/>
        <w:rPr>
          <w:rFonts w:ascii="Times New Roman" w:hAnsi="Times New Roman" w:cs="Times New Roman"/>
          <w:sz w:val="24"/>
          <w:szCs w:val="24"/>
        </w:rPr>
      </w:pPr>
    </w:p>
    <w:p w14:paraId="75B19A5A" w14:textId="397B5559" w:rsidR="008A1D00" w:rsidRPr="0064458E" w:rsidRDefault="008A1D00" w:rsidP="0064458E">
      <w:pPr>
        <w:spacing w:line="480" w:lineRule="auto"/>
        <w:jc w:val="both"/>
        <w:rPr>
          <w:rFonts w:ascii="Times New Roman" w:hAnsi="Times New Roman" w:cs="Times New Roman"/>
          <w:sz w:val="24"/>
          <w:szCs w:val="24"/>
        </w:rPr>
      </w:pPr>
    </w:p>
    <w:p w14:paraId="4B860B7A" w14:textId="7073207B" w:rsidR="008A1D00" w:rsidRPr="0064458E" w:rsidRDefault="008A1D00" w:rsidP="0064458E">
      <w:pPr>
        <w:spacing w:line="480" w:lineRule="auto"/>
        <w:jc w:val="both"/>
        <w:rPr>
          <w:rFonts w:ascii="Times New Roman" w:hAnsi="Times New Roman" w:cs="Times New Roman"/>
          <w:sz w:val="24"/>
          <w:szCs w:val="24"/>
        </w:rPr>
      </w:pPr>
    </w:p>
    <w:p w14:paraId="0BB214BC" w14:textId="49D22220" w:rsidR="008A1D00" w:rsidRPr="0064458E" w:rsidRDefault="008A1D00" w:rsidP="0064458E">
      <w:pPr>
        <w:spacing w:line="480" w:lineRule="auto"/>
        <w:jc w:val="both"/>
        <w:rPr>
          <w:rFonts w:ascii="Times New Roman" w:hAnsi="Times New Roman" w:cs="Times New Roman"/>
          <w:sz w:val="24"/>
          <w:szCs w:val="24"/>
        </w:rPr>
      </w:pPr>
    </w:p>
    <w:p w14:paraId="1D73F773" w14:textId="04E8B7BE" w:rsidR="008A1D00" w:rsidRPr="0064458E" w:rsidRDefault="008A1D00" w:rsidP="0064458E">
      <w:pPr>
        <w:spacing w:line="480" w:lineRule="auto"/>
        <w:jc w:val="both"/>
        <w:rPr>
          <w:rFonts w:ascii="Times New Roman" w:hAnsi="Times New Roman" w:cs="Times New Roman"/>
          <w:sz w:val="24"/>
          <w:szCs w:val="24"/>
        </w:rPr>
      </w:pPr>
    </w:p>
    <w:p w14:paraId="6EDDBA01" w14:textId="4B35AB3A" w:rsidR="008A1D00" w:rsidRPr="0064458E" w:rsidRDefault="008A1D00" w:rsidP="0064458E">
      <w:pPr>
        <w:spacing w:line="480" w:lineRule="auto"/>
        <w:jc w:val="both"/>
        <w:rPr>
          <w:rFonts w:ascii="Times New Roman" w:hAnsi="Times New Roman" w:cs="Times New Roman"/>
          <w:sz w:val="24"/>
          <w:szCs w:val="24"/>
        </w:rPr>
      </w:pPr>
    </w:p>
    <w:p w14:paraId="64F6BB71" w14:textId="6881C30D" w:rsidR="008A1D00" w:rsidRPr="0064458E" w:rsidRDefault="008A1D00" w:rsidP="0064458E">
      <w:pPr>
        <w:spacing w:line="480" w:lineRule="auto"/>
        <w:jc w:val="both"/>
        <w:rPr>
          <w:rFonts w:ascii="Times New Roman" w:hAnsi="Times New Roman" w:cs="Times New Roman"/>
          <w:sz w:val="24"/>
          <w:szCs w:val="24"/>
        </w:rPr>
      </w:pPr>
    </w:p>
    <w:p w14:paraId="5524C43B" w14:textId="7E88E498" w:rsidR="008A1D00" w:rsidRPr="0064458E" w:rsidRDefault="008A1D00" w:rsidP="0064458E">
      <w:pPr>
        <w:spacing w:line="480" w:lineRule="auto"/>
        <w:jc w:val="both"/>
        <w:rPr>
          <w:rFonts w:ascii="Times New Roman" w:hAnsi="Times New Roman" w:cs="Times New Roman"/>
          <w:sz w:val="24"/>
          <w:szCs w:val="24"/>
        </w:rPr>
      </w:pPr>
    </w:p>
    <w:p w14:paraId="64B6A143" w14:textId="4D5585E5" w:rsidR="008A1D00" w:rsidRPr="0064458E" w:rsidRDefault="008A1D00" w:rsidP="0064458E">
      <w:pPr>
        <w:spacing w:line="480" w:lineRule="auto"/>
        <w:jc w:val="both"/>
        <w:rPr>
          <w:rFonts w:ascii="Times New Roman" w:hAnsi="Times New Roman" w:cs="Times New Roman"/>
          <w:sz w:val="24"/>
          <w:szCs w:val="24"/>
        </w:rPr>
      </w:pPr>
    </w:p>
    <w:p w14:paraId="7C830A56" w14:textId="5E571C86" w:rsidR="008A1D00" w:rsidRPr="0064458E" w:rsidRDefault="008A1D00" w:rsidP="0064458E">
      <w:pPr>
        <w:spacing w:line="480" w:lineRule="auto"/>
        <w:jc w:val="both"/>
        <w:rPr>
          <w:rFonts w:ascii="Times New Roman" w:hAnsi="Times New Roman" w:cs="Times New Roman"/>
          <w:sz w:val="24"/>
          <w:szCs w:val="24"/>
        </w:rPr>
      </w:pPr>
    </w:p>
    <w:p w14:paraId="4EEE2682" w14:textId="77777777" w:rsidR="00203EEF" w:rsidRPr="0064458E" w:rsidRDefault="00203EEF" w:rsidP="0064458E">
      <w:pPr>
        <w:spacing w:line="480" w:lineRule="auto"/>
        <w:jc w:val="both"/>
        <w:rPr>
          <w:rFonts w:ascii="Times New Roman" w:hAnsi="Times New Roman" w:cs="Times New Roman"/>
          <w:sz w:val="24"/>
          <w:szCs w:val="24"/>
        </w:rPr>
      </w:pPr>
    </w:p>
    <w:p w14:paraId="16C80A17" w14:textId="5361D210" w:rsidR="00F125DB" w:rsidRPr="0064458E" w:rsidRDefault="00F125DB" w:rsidP="0064458E">
      <w:pPr>
        <w:spacing w:line="480" w:lineRule="auto"/>
        <w:rPr>
          <w:rFonts w:ascii="Times New Roman" w:hAnsi="Times New Roman" w:cs="Times New Roman"/>
          <w:sz w:val="24"/>
          <w:szCs w:val="24"/>
          <w:u w:val="single"/>
        </w:rPr>
      </w:pPr>
      <w:r w:rsidRPr="0064458E">
        <w:rPr>
          <w:rFonts w:ascii="Times New Roman" w:hAnsi="Times New Roman" w:cs="Times New Roman"/>
          <w:sz w:val="24"/>
          <w:szCs w:val="24"/>
          <w:u w:val="single"/>
        </w:rPr>
        <w:t>Bibliography</w:t>
      </w:r>
    </w:p>
    <w:p w14:paraId="555DD438" w14:textId="774114CE" w:rsidR="00F125DB" w:rsidRPr="0064458E" w:rsidRDefault="00F125DB" w:rsidP="0064458E">
      <w:pPr>
        <w:spacing w:line="480" w:lineRule="auto"/>
        <w:rPr>
          <w:rFonts w:ascii="Times New Roman" w:hAnsi="Times New Roman" w:cs="Times New Roman"/>
          <w:sz w:val="24"/>
          <w:szCs w:val="24"/>
        </w:rPr>
      </w:pPr>
      <w:proofErr w:type="spellStart"/>
      <w:r w:rsidRPr="0064458E">
        <w:rPr>
          <w:rFonts w:ascii="Times New Roman" w:hAnsi="Times New Roman" w:cs="Times New Roman"/>
          <w:sz w:val="24"/>
          <w:szCs w:val="24"/>
        </w:rPr>
        <w:t>Antwi</w:t>
      </w:r>
      <w:proofErr w:type="spellEnd"/>
      <w:r w:rsidRPr="0064458E">
        <w:rPr>
          <w:rFonts w:ascii="Times New Roman" w:hAnsi="Times New Roman" w:cs="Times New Roman"/>
          <w:sz w:val="24"/>
          <w:szCs w:val="24"/>
        </w:rPr>
        <w:t xml:space="preserve">, E. K. E. (2016) ‘Sources, Formation and Socio-Historical Context of the Joseph Narrative: Re-Examined under the Documentary Hypothesis’, </w:t>
      </w:r>
      <w:r w:rsidRPr="0064458E">
        <w:rPr>
          <w:rFonts w:ascii="Times New Roman" w:hAnsi="Times New Roman" w:cs="Times New Roman"/>
          <w:i/>
          <w:iCs/>
          <w:sz w:val="24"/>
          <w:szCs w:val="24"/>
        </w:rPr>
        <w:t>Old Testament Essays</w:t>
      </w:r>
      <w:r w:rsidRPr="0064458E">
        <w:rPr>
          <w:rFonts w:ascii="Times New Roman" w:hAnsi="Times New Roman" w:cs="Times New Roman"/>
          <w:sz w:val="24"/>
          <w:szCs w:val="24"/>
        </w:rPr>
        <w:t>, 29(2), pp. 259-276</w:t>
      </w:r>
    </w:p>
    <w:p w14:paraId="0BA33AC5"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Clifford, R. J. (2012) ‘Genesis 37-50: Joseph Story or Jacob Story?’, in Evans, C. A., </w:t>
      </w:r>
      <w:proofErr w:type="spellStart"/>
      <w:r w:rsidRPr="0064458E">
        <w:rPr>
          <w:rFonts w:ascii="Times New Roman" w:hAnsi="Times New Roman" w:cs="Times New Roman"/>
          <w:sz w:val="24"/>
          <w:szCs w:val="24"/>
        </w:rPr>
        <w:t>Lohr</w:t>
      </w:r>
      <w:proofErr w:type="spellEnd"/>
      <w:r w:rsidRPr="0064458E">
        <w:rPr>
          <w:rFonts w:ascii="Times New Roman" w:hAnsi="Times New Roman" w:cs="Times New Roman"/>
          <w:sz w:val="24"/>
          <w:szCs w:val="24"/>
        </w:rPr>
        <w:t xml:space="preserve">, J. N., and Petersen, D. L. (eds.) </w:t>
      </w:r>
      <w:r w:rsidRPr="0064458E">
        <w:rPr>
          <w:rFonts w:ascii="Times New Roman" w:hAnsi="Times New Roman" w:cs="Times New Roman"/>
          <w:i/>
          <w:iCs/>
          <w:sz w:val="24"/>
          <w:szCs w:val="24"/>
        </w:rPr>
        <w:t>The Book of Genesis: Composition, Reception, and Interpretation</w:t>
      </w:r>
      <w:r w:rsidRPr="0064458E">
        <w:rPr>
          <w:rFonts w:ascii="Times New Roman" w:hAnsi="Times New Roman" w:cs="Times New Roman"/>
          <w:sz w:val="24"/>
          <w:szCs w:val="24"/>
        </w:rPr>
        <w:t>, Leiden: Brill, pp. 213-230</w:t>
      </w:r>
    </w:p>
    <w:p w14:paraId="1012438D" w14:textId="21481D4C"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Crenshaw, J. L. (1969) ‘Method in Determining Wisdom Influence upon “Historical Literature”’, </w:t>
      </w:r>
      <w:r w:rsidRPr="0064458E">
        <w:rPr>
          <w:rFonts w:ascii="Times New Roman" w:hAnsi="Times New Roman" w:cs="Times New Roman"/>
          <w:i/>
          <w:iCs/>
          <w:sz w:val="24"/>
          <w:szCs w:val="24"/>
        </w:rPr>
        <w:t>Journal of Biblical Literature</w:t>
      </w:r>
      <w:r w:rsidRPr="0064458E">
        <w:rPr>
          <w:rFonts w:ascii="Times New Roman" w:hAnsi="Times New Roman" w:cs="Times New Roman"/>
          <w:sz w:val="24"/>
          <w:szCs w:val="24"/>
        </w:rPr>
        <w:t>, 88(2), pp. 129-142</w:t>
      </w:r>
    </w:p>
    <w:p w14:paraId="6698BECE" w14:textId="2B4F423D" w:rsidR="00203EEF" w:rsidRPr="0064458E" w:rsidRDefault="00203EEF"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Dahlberg, B. (1976) ‘On Recognizing the Unity of Genesis’, </w:t>
      </w:r>
      <w:r w:rsidRPr="0064458E">
        <w:rPr>
          <w:rFonts w:ascii="Times New Roman" w:hAnsi="Times New Roman" w:cs="Times New Roman"/>
          <w:i/>
          <w:iCs/>
          <w:sz w:val="24"/>
          <w:szCs w:val="24"/>
        </w:rPr>
        <w:t>Theology Digest</w:t>
      </w:r>
      <w:r w:rsidRPr="0064458E">
        <w:rPr>
          <w:rFonts w:ascii="Times New Roman" w:hAnsi="Times New Roman" w:cs="Times New Roman"/>
          <w:sz w:val="24"/>
          <w:szCs w:val="24"/>
        </w:rPr>
        <w:t>, 23, pp. 360-367</w:t>
      </w:r>
    </w:p>
    <w:p w14:paraId="27B6439A"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Ellis, P. F. (1976) </w:t>
      </w:r>
      <w:r w:rsidRPr="0064458E">
        <w:rPr>
          <w:rFonts w:ascii="Times New Roman" w:hAnsi="Times New Roman" w:cs="Times New Roman"/>
          <w:i/>
          <w:iCs/>
          <w:sz w:val="24"/>
          <w:szCs w:val="24"/>
        </w:rPr>
        <w:t>The Men and the Message of the Old Testament</w:t>
      </w:r>
      <w:r w:rsidRPr="0064458E">
        <w:rPr>
          <w:rFonts w:ascii="Times New Roman" w:hAnsi="Times New Roman" w:cs="Times New Roman"/>
          <w:sz w:val="24"/>
          <w:szCs w:val="24"/>
        </w:rPr>
        <w:t xml:space="preserve">, Collegeville: Liturgical Press </w:t>
      </w:r>
    </w:p>
    <w:p w14:paraId="164C3A72"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Evans, C. A., </w:t>
      </w:r>
      <w:proofErr w:type="spellStart"/>
      <w:r w:rsidRPr="0064458E">
        <w:rPr>
          <w:rFonts w:ascii="Times New Roman" w:hAnsi="Times New Roman" w:cs="Times New Roman"/>
          <w:sz w:val="24"/>
          <w:szCs w:val="24"/>
        </w:rPr>
        <w:t>Lohr</w:t>
      </w:r>
      <w:proofErr w:type="spellEnd"/>
      <w:r w:rsidRPr="0064458E">
        <w:rPr>
          <w:rFonts w:ascii="Times New Roman" w:hAnsi="Times New Roman" w:cs="Times New Roman"/>
          <w:sz w:val="24"/>
          <w:szCs w:val="24"/>
        </w:rPr>
        <w:t xml:space="preserve">, J. N., and Petersen, D. L. (eds.) (2012) </w:t>
      </w:r>
      <w:r w:rsidRPr="0064458E">
        <w:rPr>
          <w:rFonts w:ascii="Times New Roman" w:hAnsi="Times New Roman" w:cs="Times New Roman"/>
          <w:i/>
          <w:iCs/>
          <w:sz w:val="24"/>
          <w:szCs w:val="24"/>
        </w:rPr>
        <w:t>The Book of Genesis: Composition, Reception, and Interpretation</w:t>
      </w:r>
      <w:r w:rsidRPr="0064458E">
        <w:rPr>
          <w:rFonts w:ascii="Times New Roman" w:hAnsi="Times New Roman" w:cs="Times New Roman"/>
          <w:sz w:val="24"/>
          <w:szCs w:val="24"/>
        </w:rPr>
        <w:t>, Leiden: Brill</w:t>
      </w:r>
    </w:p>
    <w:p w14:paraId="056AF68B" w14:textId="1D618601"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Fox, M. V. (2001) ‘Wisdom in the Joseph Story’, </w:t>
      </w:r>
      <w:proofErr w:type="spellStart"/>
      <w:r w:rsidRPr="0064458E">
        <w:rPr>
          <w:rFonts w:ascii="Times New Roman" w:hAnsi="Times New Roman" w:cs="Times New Roman"/>
          <w:i/>
          <w:iCs/>
          <w:sz w:val="24"/>
          <w:szCs w:val="24"/>
        </w:rPr>
        <w:t>Vetus</w:t>
      </w:r>
      <w:proofErr w:type="spellEnd"/>
      <w:r w:rsidRPr="0064458E">
        <w:rPr>
          <w:rFonts w:ascii="Times New Roman" w:hAnsi="Times New Roman" w:cs="Times New Roman"/>
          <w:i/>
          <w:iCs/>
          <w:sz w:val="24"/>
          <w:szCs w:val="24"/>
        </w:rPr>
        <w:t xml:space="preserve"> </w:t>
      </w:r>
      <w:proofErr w:type="spellStart"/>
      <w:r w:rsidRPr="0064458E">
        <w:rPr>
          <w:rFonts w:ascii="Times New Roman" w:hAnsi="Times New Roman" w:cs="Times New Roman"/>
          <w:i/>
          <w:iCs/>
          <w:sz w:val="24"/>
          <w:szCs w:val="24"/>
        </w:rPr>
        <w:t>Testa</w:t>
      </w:r>
      <w:r w:rsidR="008A1D00" w:rsidRPr="0064458E">
        <w:rPr>
          <w:rFonts w:ascii="Times New Roman" w:hAnsi="Times New Roman" w:cs="Times New Roman"/>
          <w:i/>
          <w:iCs/>
          <w:sz w:val="24"/>
          <w:szCs w:val="24"/>
        </w:rPr>
        <w:t>m</w:t>
      </w:r>
      <w:r w:rsidRPr="0064458E">
        <w:rPr>
          <w:rFonts w:ascii="Times New Roman" w:hAnsi="Times New Roman" w:cs="Times New Roman"/>
          <w:i/>
          <w:iCs/>
          <w:sz w:val="24"/>
          <w:szCs w:val="24"/>
        </w:rPr>
        <w:t>entum</w:t>
      </w:r>
      <w:proofErr w:type="spellEnd"/>
      <w:r w:rsidRPr="0064458E">
        <w:rPr>
          <w:rFonts w:ascii="Times New Roman" w:hAnsi="Times New Roman" w:cs="Times New Roman"/>
          <w:sz w:val="24"/>
          <w:szCs w:val="24"/>
        </w:rPr>
        <w:t>, 51(1), pp. 26-41</w:t>
      </w:r>
    </w:p>
    <w:p w14:paraId="7380DEC7" w14:textId="71FBD79A" w:rsidR="00F125DB" w:rsidRPr="0064458E" w:rsidRDefault="00F125DB"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Gunkel, H. (1922) ‘Die </w:t>
      </w:r>
      <w:proofErr w:type="spellStart"/>
      <w:r w:rsidRPr="0064458E">
        <w:rPr>
          <w:rFonts w:ascii="Times New Roman" w:hAnsi="Times New Roman" w:cs="Times New Roman"/>
          <w:sz w:val="24"/>
          <w:szCs w:val="24"/>
        </w:rPr>
        <w:t>Komposition</w:t>
      </w:r>
      <w:proofErr w:type="spellEnd"/>
      <w:r w:rsidRPr="0064458E">
        <w:rPr>
          <w:rFonts w:ascii="Times New Roman" w:hAnsi="Times New Roman" w:cs="Times New Roman"/>
          <w:sz w:val="24"/>
          <w:szCs w:val="24"/>
        </w:rPr>
        <w:t xml:space="preserve"> der Joseph-</w:t>
      </w:r>
      <w:proofErr w:type="spellStart"/>
      <w:r w:rsidRPr="0064458E">
        <w:rPr>
          <w:rFonts w:ascii="Times New Roman" w:hAnsi="Times New Roman" w:cs="Times New Roman"/>
          <w:sz w:val="24"/>
          <w:szCs w:val="24"/>
        </w:rPr>
        <w:t>Geschichten</w:t>
      </w:r>
      <w:proofErr w:type="spellEnd"/>
      <w:r w:rsidRPr="0064458E">
        <w:rPr>
          <w:rFonts w:ascii="Times New Roman" w:hAnsi="Times New Roman" w:cs="Times New Roman"/>
          <w:sz w:val="24"/>
          <w:szCs w:val="24"/>
        </w:rPr>
        <w:t xml:space="preserve">’, </w:t>
      </w:r>
      <w:proofErr w:type="spellStart"/>
      <w:r w:rsidRPr="0064458E">
        <w:rPr>
          <w:rFonts w:ascii="Times New Roman" w:hAnsi="Times New Roman" w:cs="Times New Roman"/>
          <w:i/>
          <w:iCs/>
          <w:sz w:val="24"/>
          <w:szCs w:val="24"/>
        </w:rPr>
        <w:t>ZGMG</w:t>
      </w:r>
      <w:proofErr w:type="spellEnd"/>
      <w:r w:rsidRPr="0064458E">
        <w:rPr>
          <w:rFonts w:ascii="Times New Roman" w:hAnsi="Times New Roman" w:cs="Times New Roman"/>
          <w:sz w:val="24"/>
          <w:szCs w:val="24"/>
        </w:rPr>
        <w:t>, 76(1), pp. 55-71</w:t>
      </w:r>
    </w:p>
    <w:p w14:paraId="31EF5F8C" w14:textId="77777777" w:rsidR="00F125DB" w:rsidRPr="0064458E" w:rsidRDefault="00F125DB" w:rsidP="0064458E">
      <w:pPr>
        <w:spacing w:line="480" w:lineRule="auto"/>
        <w:jc w:val="both"/>
        <w:rPr>
          <w:rFonts w:ascii="Times New Roman" w:hAnsi="Times New Roman" w:cs="Times New Roman"/>
          <w:sz w:val="24"/>
          <w:szCs w:val="24"/>
        </w:rPr>
      </w:pPr>
      <w:r w:rsidRPr="0064458E">
        <w:rPr>
          <w:rFonts w:ascii="Times New Roman" w:hAnsi="Times New Roman" w:cs="Times New Roman"/>
          <w:sz w:val="24"/>
          <w:szCs w:val="24"/>
        </w:rPr>
        <w:t xml:space="preserve">Gunkel, H. (1997) </w:t>
      </w:r>
      <w:r w:rsidRPr="0064458E">
        <w:rPr>
          <w:rFonts w:ascii="Times New Roman" w:hAnsi="Times New Roman" w:cs="Times New Roman"/>
          <w:i/>
          <w:iCs/>
          <w:sz w:val="24"/>
          <w:szCs w:val="24"/>
        </w:rPr>
        <w:t>Genesis</w:t>
      </w:r>
      <w:r w:rsidRPr="0064458E">
        <w:rPr>
          <w:rFonts w:ascii="Times New Roman" w:hAnsi="Times New Roman" w:cs="Times New Roman"/>
          <w:sz w:val="24"/>
          <w:szCs w:val="24"/>
        </w:rPr>
        <w:t>, trans. by Biddle, M. E., Macon: Mercer University [German original 1910]</w:t>
      </w:r>
    </w:p>
    <w:p w14:paraId="47313D06"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Loader, J. A. (1975) ‘</w:t>
      </w:r>
      <w:proofErr w:type="spellStart"/>
      <w:r w:rsidRPr="0064458E">
        <w:rPr>
          <w:rFonts w:ascii="Times New Roman" w:hAnsi="Times New Roman" w:cs="Times New Roman"/>
          <w:sz w:val="24"/>
          <w:szCs w:val="24"/>
        </w:rPr>
        <w:t>Chokma</w:t>
      </w:r>
      <w:proofErr w:type="spellEnd"/>
      <w:r w:rsidRPr="0064458E">
        <w:rPr>
          <w:rFonts w:ascii="Times New Roman" w:hAnsi="Times New Roman" w:cs="Times New Roman"/>
          <w:sz w:val="24"/>
          <w:szCs w:val="24"/>
        </w:rPr>
        <w:t xml:space="preserve">-Joseph-Hybris’, in van </w:t>
      </w:r>
      <w:proofErr w:type="spellStart"/>
      <w:r w:rsidRPr="0064458E">
        <w:rPr>
          <w:rFonts w:ascii="Times New Roman" w:hAnsi="Times New Roman" w:cs="Times New Roman"/>
          <w:sz w:val="24"/>
          <w:szCs w:val="24"/>
        </w:rPr>
        <w:t>Wyk</w:t>
      </w:r>
      <w:proofErr w:type="spellEnd"/>
      <w:r w:rsidRPr="0064458E">
        <w:rPr>
          <w:rFonts w:ascii="Times New Roman" w:hAnsi="Times New Roman" w:cs="Times New Roman"/>
          <w:sz w:val="24"/>
          <w:szCs w:val="24"/>
        </w:rPr>
        <w:t xml:space="preserve">, W. C. (ed.) </w:t>
      </w:r>
      <w:r w:rsidRPr="0064458E">
        <w:rPr>
          <w:rFonts w:ascii="Times New Roman" w:hAnsi="Times New Roman" w:cs="Times New Roman"/>
          <w:i/>
          <w:iCs/>
          <w:sz w:val="24"/>
          <w:szCs w:val="24"/>
        </w:rPr>
        <w:t>The Study of Wisdom Literature in South Africa</w:t>
      </w:r>
      <w:r w:rsidRPr="0064458E">
        <w:rPr>
          <w:rFonts w:ascii="Times New Roman" w:hAnsi="Times New Roman" w:cs="Times New Roman"/>
          <w:sz w:val="24"/>
          <w:szCs w:val="24"/>
        </w:rPr>
        <w:t>, Pretoria: University of Pretoria</w:t>
      </w:r>
    </w:p>
    <w:p w14:paraId="095C33CC"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lastRenderedPageBreak/>
        <w:t xml:space="preserve">Redford, R. B. (1970) </w:t>
      </w:r>
      <w:r w:rsidRPr="0064458E">
        <w:rPr>
          <w:rFonts w:ascii="Times New Roman" w:hAnsi="Times New Roman" w:cs="Times New Roman"/>
          <w:i/>
          <w:iCs/>
          <w:sz w:val="24"/>
          <w:szCs w:val="24"/>
        </w:rPr>
        <w:t xml:space="preserve">A Study of the Biblical Story of Joseph: Genesis 37-50, </w:t>
      </w:r>
      <w:r w:rsidRPr="0064458E">
        <w:rPr>
          <w:rFonts w:ascii="Times New Roman" w:hAnsi="Times New Roman" w:cs="Times New Roman"/>
          <w:sz w:val="24"/>
          <w:szCs w:val="24"/>
        </w:rPr>
        <w:t>Leiden: Brill</w:t>
      </w:r>
    </w:p>
    <w:p w14:paraId="0FED4856" w14:textId="7A4021C3" w:rsidR="00F125DB" w:rsidRPr="0064458E" w:rsidRDefault="00F125DB" w:rsidP="0064458E">
      <w:pPr>
        <w:spacing w:line="480" w:lineRule="auto"/>
        <w:rPr>
          <w:rFonts w:ascii="Times New Roman" w:hAnsi="Times New Roman" w:cs="Times New Roman"/>
          <w:sz w:val="24"/>
          <w:szCs w:val="24"/>
        </w:rPr>
      </w:pPr>
      <w:proofErr w:type="spellStart"/>
      <w:r w:rsidRPr="0064458E">
        <w:rPr>
          <w:rFonts w:ascii="Times New Roman" w:hAnsi="Times New Roman" w:cs="Times New Roman"/>
          <w:sz w:val="24"/>
          <w:szCs w:val="24"/>
        </w:rPr>
        <w:t>Rydelnik</w:t>
      </w:r>
      <w:proofErr w:type="spellEnd"/>
      <w:r w:rsidRPr="0064458E">
        <w:rPr>
          <w:rFonts w:ascii="Times New Roman" w:hAnsi="Times New Roman" w:cs="Times New Roman"/>
          <w:sz w:val="24"/>
          <w:szCs w:val="24"/>
        </w:rPr>
        <w:t xml:space="preserve">, M. and </w:t>
      </w:r>
      <w:proofErr w:type="spellStart"/>
      <w:r w:rsidRPr="0064458E">
        <w:rPr>
          <w:rFonts w:ascii="Times New Roman" w:hAnsi="Times New Roman" w:cs="Times New Roman"/>
          <w:sz w:val="24"/>
          <w:szCs w:val="24"/>
        </w:rPr>
        <w:t>Vanlaningham</w:t>
      </w:r>
      <w:proofErr w:type="spellEnd"/>
      <w:r w:rsidRPr="0064458E">
        <w:rPr>
          <w:rFonts w:ascii="Times New Roman" w:hAnsi="Times New Roman" w:cs="Times New Roman"/>
          <w:sz w:val="24"/>
          <w:szCs w:val="24"/>
        </w:rPr>
        <w:t xml:space="preserve">, M. (eds.) (2014) </w:t>
      </w:r>
      <w:r w:rsidRPr="0064458E">
        <w:rPr>
          <w:rFonts w:ascii="Times New Roman" w:hAnsi="Times New Roman" w:cs="Times New Roman"/>
          <w:i/>
          <w:iCs/>
          <w:sz w:val="24"/>
          <w:szCs w:val="24"/>
        </w:rPr>
        <w:t>The Moody Bible Commentary</w:t>
      </w:r>
      <w:r w:rsidRPr="0064458E">
        <w:rPr>
          <w:rFonts w:ascii="Times New Roman" w:hAnsi="Times New Roman" w:cs="Times New Roman"/>
          <w:sz w:val="24"/>
          <w:szCs w:val="24"/>
        </w:rPr>
        <w:t>, Chicago: Moody Publishers</w:t>
      </w:r>
    </w:p>
    <w:p w14:paraId="5D1141E9"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Schwartz, B. J. (2012) ‘How the Compiler of the Pentateuch Worked: The Composition of Genesis 37’, in Evans, C. A., </w:t>
      </w:r>
      <w:proofErr w:type="spellStart"/>
      <w:r w:rsidRPr="0064458E">
        <w:rPr>
          <w:rFonts w:ascii="Times New Roman" w:hAnsi="Times New Roman" w:cs="Times New Roman"/>
          <w:sz w:val="24"/>
          <w:szCs w:val="24"/>
        </w:rPr>
        <w:t>Lohr</w:t>
      </w:r>
      <w:proofErr w:type="spellEnd"/>
      <w:r w:rsidRPr="0064458E">
        <w:rPr>
          <w:rFonts w:ascii="Times New Roman" w:hAnsi="Times New Roman" w:cs="Times New Roman"/>
          <w:sz w:val="24"/>
          <w:szCs w:val="24"/>
        </w:rPr>
        <w:t xml:space="preserve">, J. N., and Petersen, D. L. (eds.) </w:t>
      </w:r>
      <w:r w:rsidRPr="0064458E">
        <w:rPr>
          <w:rFonts w:ascii="Times New Roman" w:hAnsi="Times New Roman" w:cs="Times New Roman"/>
          <w:i/>
          <w:iCs/>
          <w:sz w:val="24"/>
          <w:szCs w:val="24"/>
        </w:rPr>
        <w:t>The Book of Genesis: Composition, Reception, and Interpretation</w:t>
      </w:r>
      <w:r w:rsidRPr="0064458E">
        <w:rPr>
          <w:rFonts w:ascii="Times New Roman" w:hAnsi="Times New Roman" w:cs="Times New Roman"/>
          <w:sz w:val="24"/>
          <w:szCs w:val="24"/>
        </w:rPr>
        <w:t>, Leiden: Brill, pp. 263-278</w:t>
      </w:r>
    </w:p>
    <w:p w14:paraId="7A1A6D78" w14:textId="76AE41BC" w:rsidR="00F125DB" w:rsidRPr="0064458E" w:rsidRDefault="00F125DB" w:rsidP="0064458E">
      <w:pPr>
        <w:spacing w:line="480" w:lineRule="auto"/>
        <w:rPr>
          <w:rFonts w:ascii="Times New Roman" w:hAnsi="Times New Roman" w:cs="Times New Roman"/>
          <w:sz w:val="24"/>
          <w:szCs w:val="24"/>
        </w:rPr>
      </w:pPr>
      <w:proofErr w:type="spellStart"/>
      <w:r w:rsidRPr="0064458E">
        <w:rPr>
          <w:rFonts w:ascii="Times New Roman" w:hAnsi="Times New Roman" w:cs="Times New Roman"/>
          <w:sz w:val="24"/>
          <w:szCs w:val="24"/>
        </w:rPr>
        <w:t>Speiser</w:t>
      </w:r>
      <w:proofErr w:type="spellEnd"/>
      <w:r w:rsidRPr="0064458E">
        <w:rPr>
          <w:rFonts w:ascii="Times New Roman" w:hAnsi="Times New Roman" w:cs="Times New Roman"/>
          <w:sz w:val="24"/>
          <w:szCs w:val="24"/>
        </w:rPr>
        <w:t xml:space="preserve">, E. A. (1964) </w:t>
      </w:r>
      <w:r w:rsidRPr="0064458E">
        <w:rPr>
          <w:rFonts w:ascii="Times New Roman" w:hAnsi="Times New Roman" w:cs="Times New Roman"/>
          <w:i/>
          <w:iCs/>
          <w:sz w:val="24"/>
          <w:szCs w:val="24"/>
        </w:rPr>
        <w:t>Genesis: Introduction, Translation, and Notes</w:t>
      </w:r>
      <w:r w:rsidRPr="0064458E">
        <w:rPr>
          <w:rFonts w:ascii="Times New Roman" w:hAnsi="Times New Roman" w:cs="Times New Roman"/>
          <w:sz w:val="24"/>
          <w:szCs w:val="24"/>
        </w:rPr>
        <w:t>, New York: Doubleday</w:t>
      </w:r>
    </w:p>
    <w:p w14:paraId="161CAF80" w14:textId="5763FFA0"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Van Seters, J. (2015) </w:t>
      </w:r>
      <w:r w:rsidRPr="0064458E">
        <w:rPr>
          <w:rFonts w:ascii="Times New Roman" w:hAnsi="Times New Roman" w:cs="Times New Roman"/>
          <w:i/>
          <w:iCs/>
          <w:sz w:val="24"/>
          <w:szCs w:val="24"/>
        </w:rPr>
        <w:t>The Pentateuch: A Social-Science Commentary</w:t>
      </w:r>
      <w:r w:rsidRPr="0064458E">
        <w:rPr>
          <w:rFonts w:ascii="Times New Roman" w:hAnsi="Times New Roman" w:cs="Times New Roman"/>
          <w:sz w:val="24"/>
          <w:szCs w:val="24"/>
        </w:rPr>
        <w:t>, London: Bloomsbury</w:t>
      </w:r>
    </w:p>
    <w:p w14:paraId="62E68F06"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Von Rad, G. (1966) ‘The Joseph Narrative and Ancient Wisdom’, in von Rad, G. (ed.) </w:t>
      </w:r>
      <w:r w:rsidRPr="0064458E">
        <w:rPr>
          <w:rFonts w:ascii="Times New Roman" w:hAnsi="Times New Roman" w:cs="Times New Roman"/>
          <w:i/>
          <w:iCs/>
          <w:sz w:val="24"/>
          <w:szCs w:val="24"/>
        </w:rPr>
        <w:t>The Problem of the Hexateuch and other Essays</w:t>
      </w:r>
      <w:r w:rsidRPr="0064458E">
        <w:rPr>
          <w:rFonts w:ascii="Times New Roman" w:hAnsi="Times New Roman" w:cs="Times New Roman"/>
          <w:sz w:val="24"/>
          <w:szCs w:val="24"/>
        </w:rPr>
        <w:t>, New York: McGraw-Hill, pp. 292-300</w:t>
      </w:r>
    </w:p>
    <w:p w14:paraId="4209D1E4"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Von Rad, G. (</w:t>
      </w:r>
      <w:proofErr w:type="spellStart"/>
      <w:r w:rsidRPr="0064458E">
        <w:rPr>
          <w:rFonts w:ascii="Times New Roman" w:hAnsi="Times New Roman" w:cs="Times New Roman"/>
          <w:sz w:val="24"/>
          <w:szCs w:val="24"/>
        </w:rPr>
        <w:t>1966b</w:t>
      </w:r>
      <w:proofErr w:type="spellEnd"/>
      <w:r w:rsidRPr="0064458E">
        <w:rPr>
          <w:rFonts w:ascii="Times New Roman" w:hAnsi="Times New Roman" w:cs="Times New Roman"/>
          <w:sz w:val="24"/>
          <w:szCs w:val="24"/>
        </w:rPr>
        <w:t xml:space="preserve">) ‘The Form-Critical Problem of the Hexateuch’, in von Rad, G. (ed.) </w:t>
      </w:r>
      <w:r w:rsidRPr="0064458E">
        <w:rPr>
          <w:rFonts w:ascii="Times New Roman" w:hAnsi="Times New Roman" w:cs="Times New Roman"/>
          <w:i/>
          <w:iCs/>
          <w:sz w:val="24"/>
          <w:szCs w:val="24"/>
        </w:rPr>
        <w:t>The Problem of the Hexateuch and other Essays</w:t>
      </w:r>
      <w:r w:rsidRPr="0064458E">
        <w:rPr>
          <w:rFonts w:ascii="Times New Roman" w:hAnsi="Times New Roman" w:cs="Times New Roman"/>
          <w:sz w:val="24"/>
          <w:szCs w:val="24"/>
        </w:rPr>
        <w:t>, New York: McGraw-Hill, pp. 1-79</w:t>
      </w:r>
    </w:p>
    <w:p w14:paraId="0DC5E336"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Von Rad, G. (1972) </w:t>
      </w:r>
      <w:r w:rsidRPr="0064458E">
        <w:rPr>
          <w:rFonts w:ascii="Times New Roman" w:hAnsi="Times New Roman" w:cs="Times New Roman"/>
          <w:i/>
          <w:iCs/>
          <w:sz w:val="24"/>
          <w:szCs w:val="24"/>
        </w:rPr>
        <w:t>Genesis: A Commentary</w:t>
      </w:r>
      <w:r w:rsidRPr="0064458E">
        <w:rPr>
          <w:rFonts w:ascii="Times New Roman" w:hAnsi="Times New Roman" w:cs="Times New Roman"/>
          <w:sz w:val="24"/>
          <w:szCs w:val="24"/>
        </w:rPr>
        <w:t>, Philadelphia: Westminster Press</w:t>
      </w:r>
    </w:p>
    <w:p w14:paraId="7BAA37C0"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Wenham, G. J. (2000) </w:t>
      </w:r>
      <w:r w:rsidRPr="0064458E">
        <w:rPr>
          <w:rFonts w:ascii="Times New Roman" w:hAnsi="Times New Roman" w:cs="Times New Roman"/>
          <w:i/>
          <w:iCs/>
          <w:sz w:val="24"/>
          <w:szCs w:val="24"/>
        </w:rPr>
        <w:t>World Biblical Commentary: Genesis 16-50</w:t>
      </w:r>
      <w:r w:rsidRPr="0064458E">
        <w:rPr>
          <w:rFonts w:ascii="Times New Roman" w:hAnsi="Times New Roman" w:cs="Times New Roman"/>
          <w:sz w:val="24"/>
          <w:szCs w:val="24"/>
        </w:rPr>
        <w:t>, Grand Rapids: Zondervan</w:t>
      </w:r>
    </w:p>
    <w:p w14:paraId="4C29B63D" w14:textId="77777777" w:rsidR="00F125DB" w:rsidRPr="0064458E" w:rsidRDefault="00F125DB" w:rsidP="0064458E">
      <w:pPr>
        <w:spacing w:line="480" w:lineRule="auto"/>
        <w:rPr>
          <w:rFonts w:ascii="Times New Roman" w:hAnsi="Times New Roman" w:cs="Times New Roman"/>
          <w:sz w:val="24"/>
          <w:szCs w:val="24"/>
        </w:rPr>
      </w:pPr>
      <w:r w:rsidRPr="0064458E">
        <w:rPr>
          <w:rFonts w:ascii="Times New Roman" w:hAnsi="Times New Roman" w:cs="Times New Roman"/>
          <w:sz w:val="24"/>
          <w:szCs w:val="24"/>
        </w:rPr>
        <w:t xml:space="preserve">Wessels, J. H. (1984) ‘The Joseph Story as a Wisdom Novelette’, </w:t>
      </w:r>
      <w:r w:rsidRPr="0064458E">
        <w:rPr>
          <w:rFonts w:ascii="Times New Roman" w:hAnsi="Times New Roman" w:cs="Times New Roman"/>
          <w:i/>
          <w:iCs/>
          <w:sz w:val="24"/>
          <w:szCs w:val="24"/>
        </w:rPr>
        <w:t>Old Testament Essays</w:t>
      </w:r>
      <w:r w:rsidRPr="0064458E">
        <w:rPr>
          <w:rFonts w:ascii="Times New Roman" w:hAnsi="Times New Roman" w:cs="Times New Roman"/>
          <w:sz w:val="24"/>
          <w:szCs w:val="24"/>
        </w:rPr>
        <w:t>, 2, pp. 39-60</w:t>
      </w:r>
    </w:p>
    <w:sectPr w:rsidR="00F125DB" w:rsidRPr="006445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1A6623" w14:textId="77777777" w:rsidR="00950A2D" w:rsidRDefault="00950A2D" w:rsidP="00135BEA">
      <w:pPr>
        <w:spacing w:after="0" w:line="240" w:lineRule="auto"/>
      </w:pPr>
      <w:r>
        <w:separator/>
      </w:r>
    </w:p>
  </w:endnote>
  <w:endnote w:type="continuationSeparator" w:id="0">
    <w:p w14:paraId="7B063B0F" w14:textId="77777777" w:rsidR="00950A2D" w:rsidRDefault="00950A2D" w:rsidP="00135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3A6C85" w14:textId="77777777" w:rsidR="00950A2D" w:rsidRDefault="00950A2D" w:rsidP="00135BEA">
      <w:pPr>
        <w:spacing w:after="0" w:line="240" w:lineRule="auto"/>
      </w:pPr>
      <w:r>
        <w:separator/>
      </w:r>
    </w:p>
  </w:footnote>
  <w:footnote w:type="continuationSeparator" w:id="0">
    <w:p w14:paraId="636407F8" w14:textId="77777777" w:rsidR="00950A2D" w:rsidRDefault="00950A2D" w:rsidP="00135B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6B179F"/>
    <w:multiLevelType w:val="hybridMultilevel"/>
    <w:tmpl w:val="AB08D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A73608"/>
    <w:multiLevelType w:val="hybridMultilevel"/>
    <w:tmpl w:val="27F2CF70"/>
    <w:lvl w:ilvl="0" w:tplc="0409000F">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zNzO3tLA0sjQ2MbRQ0lEKTi0uzszPAykwrAUA2/OSGiwAAAA="/>
  </w:docVars>
  <w:rsids>
    <w:rsidRoot w:val="00E83E70"/>
    <w:rsid w:val="0001478C"/>
    <w:rsid w:val="000717DB"/>
    <w:rsid w:val="00135BEA"/>
    <w:rsid w:val="00177067"/>
    <w:rsid w:val="001865EF"/>
    <w:rsid w:val="00194101"/>
    <w:rsid w:val="001E0E3B"/>
    <w:rsid w:val="00203EEF"/>
    <w:rsid w:val="00243A26"/>
    <w:rsid w:val="003242C0"/>
    <w:rsid w:val="003379A6"/>
    <w:rsid w:val="00366D3B"/>
    <w:rsid w:val="003738EA"/>
    <w:rsid w:val="00395131"/>
    <w:rsid w:val="003B4A1E"/>
    <w:rsid w:val="003F2656"/>
    <w:rsid w:val="004F128C"/>
    <w:rsid w:val="005830BB"/>
    <w:rsid w:val="005E71D9"/>
    <w:rsid w:val="0061381F"/>
    <w:rsid w:val="0064458E"/>
    <w:rsid w:val="0067421A"/>
    <w:rsid w:val="00733A1E"/>
    <w:rsid w:val="007F52C2"/>
    <w:rsid w:val="00834845"/>
    <w:rsid w:val="008A1D00"/>
    <w:rsid w:val="008C2C35"/>
    <w:rsid w:val="00950A2D"/>
    <w:rsid w:val="009C6B62"/>
    <w:rsid w:val="00A0019D"/>
    <w:rsid w:val="00A00B3E"/>
    <w:rsid w:val="00BF0CED"/>
    <w:rsid w:val="00C244CC"/>
    <w:rsid w:val="00C64336"/>
    <w:rsid w:val="00C84B37"/>
    <w:rsid w:val="00CF6718"/>
    <w:rsid w:val="00D77788"/>
    <w:rsid w:val="00D83EAF"/>
    <w:rsid w:val="00DF7F3E"/>
    <w:rsid w:val="00E463CF"/>
    <w:rsid w:val="00E83E70"/>
    <w:rsid w:val="00ED32AD"/>
    <w:rsid w:val="00F03BEF"/>
    <w:rsid w:val="00F125DB"/>
    <w:rsid w:val="00F34324"/>
    <w:rsid w:val="00F77FF8"/>
    <w:rsid w:val="00FA7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A20D8"/>
  <w15:chartTrackingRefBased/>
  <w15:docId w15:val="{836632C6-1640-46FA-8657-1C1D581EF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E70"/>
    <w:pPr>
      <w:spacing w:after="0" w:line="240" w:lineRule="auto"/>
      <w:ind w:left="720"/>
      <w:contextualSpacing/>
    </w:pPr>
    <w:rPr>
      <w:rFonts w:ascii="Times New Roman" w:eastAsia="Times New Roman" w:hAnsi="Times New Roman" w:cs="Times New Roman"/>
      <w:sz w:val="24"/>
      <w:szCs w:val="20"/>
      <w:lang w:eastAsia="en-GB"/>
    </w:rPr>
  </w:style>
  <w:style w:type="paragraph" w:styleId="FootnoteText">
    <w:name w:val="footnote text"/>
    <w:basedOn w:val="Normal"/>
    <w:link w:val="FootnoteTextChar"/>
    <w:uiPriority w:val="99"/>
    <w:semiHidden/>
    <w:unhideWhenUsed/>
    <w:rsid w:val="00135B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5BEA"/>
    <w:rPr>
      <w:sz w:val="20"/>
      <w:szCs w:val="20"/>
    </w:rPr>
  </w:style>
  <w:style w:type="character" w:styleId="FootnoteReference">
    <w:name w:val="footnote reference"/>
    <w:basedOn w:val="DefaultParagraphFont"/>
    <w:uiPriority w:val="99"/>
    <w:semiHidden/>
    <w:unhideWhenUsed/>
    <w:rsid w:val="00135BE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812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13720</TotalTime>
  <Pages>9</Pages>
  <Words>2476</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FLETCHER</dc:creator>
  <cp:keywords/>
  <dc:description/>
  <cp:lastModifiedBy>Thomas FLETCHER</cp:lastModifiedBy>
  <cp:revision>15</cp:revision>
  <dcterms:created xsi:type="dcterms:W3CDTF">2020-07-31T13:46:00Z</dcterms:created>
  <dcterms:modified xsi:type="dcterms:W3CDTF">2020-08-21T18:22:00Z</dcterms:modified>
</cp:coreProperties>
</file>