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imes New Roman" w:eastAsia="Times New Roman" w:hAnsi="Times New Roman" w:cs="Times New Roman"/>
          <w:color w:val="4472C4" w:themeColor="accent1"/>
          <w:sz w:val="20"/>
          <w:szCs w:val="20"/>
          <w:lang w:val="en-GB" w:eastAsia="en-GB"/>
        </w:rPr>
        <w:id w:val="386155840"/>
        <w:docPartObj>
          <w:docPartGallery w:val="Cover Pages"/>
          <w:docPartUnique/>
        </w:docPartObj>
      </w:sdtPr>
      <w:sdtEndPr>
        <w:rPr>
          <w:rFonts w:ascii="Arial" w:hAnsi="Arial" w:cs="Arial"/>
          <w:color w:val="auto"/>
          <w:sz w:val="52"/>
          <w:szCs w:val="52"/>
        </w:rPr>
      </w:sdtEndPr>
      <w:sdtContent>
        <w:p w14:paraId="07172A5A" w14:textId="10684742" w:rsidR="00314736" w:rsidRDefault="00314736">
          <w:pPr>
            <w:pStyle w:val="NoSpacing"/>
            <w:spacing w:before="1540" w:after="240"/>
            <w:jc w:val="center"/>
            <w:rPr>
              <w:color w:val="4472C4" w:themeColor="accent1"/>
            </w:rPr>
          </w:pPr>
          <w:r>
            <w:rPr>
              <w:noProof/>
              <w:color w:val="4472C4" w:themeColor="accent1"/>
            </w:rPr>
            <w:drawing>
              <wp:inline distT="0" distB="0" distL="0" distR="0" wp14:anchorId="76B226A9" wp14:editId="2B820FF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AA4671563C84E7E931D0269D0EFA5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EBB387" w14:textId="5E9427EE" w:rsidR="00314736" w:rsidRPr="00314736" w:rsidRDefault="00314736" w:rsidP="003147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Factors that impact health</w:t>
              </w:r>
            </w:p>
          </w:sdtContent>
        </w:sdt>
        <w:p w14:paraId="08531751" w14:textId="77777777" w:rsidR="00314736" w:rsidRDefault="0031473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7AC3AA5" wp14:editId="6552AEB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9T00:00:00Z">
                                    <w:dateFormat w:val="MMMM d, yyyy"/>
                                    <w:lid w:val="en-US"/>
                                    <w:storeMappedDataAs w:val="dateTime"/>
                                    <w:calendar w:val="gregorian"/>
                                  </w:date>
                                </w:sdtPr>
                                <w:sdtEndPr/>
                                <w:sdtContent>
                                  <w:p w14:paraId="632DA462" w14:textId="3E0C5C29" w:rsidR="00314736" w:rsidRDefault="00314736">
                                    <w:pPr>
                                      <w:pStyle w:val="NoSpacing"/>
                                      <w:spacing w:after="40"/>
                                      <w:jc w:val="center"/>
                                      <w:rPr>
                                        <w:caps/>
                                        <w:color w:val="4472C4" w:themeColor="accent1"/>
                                        <w:sz w:val="28"/>
                                        <w:szCs w:val="28"/>
                                      </w:rPr>
                                    </w:pPr>
                                    <w:r>
                                      <w:rPr>
                                        <w:caps/>
                                        <w:color w:val="4472C4" w:themeColor="accent1"/>
                                        <w:sz w:val="28"/>
                                        <w:szCs w:val="28"/>
                                      </w:rPr>
                                      <w:t>March 9, 2021</w:t>
                                    </w:r>
                                  </w:p>
                                </w:sdtContent>
                              </w:sdt>
                              <w:p w14:paraId="690824A2" w14:textId="0169ECEA" w:rsidR="00314736" w:rsidRDefault="004820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4736">
                                      <w:rPr>
                                        <w:caps/>
                                        <w:color w:val="4472C4" w:themeColor="accent1"/>
                                      </w:rPr>
                                      <w:t>UWTSD</w:t>
                                    </w:r>
                                  </w:sdtContent>
                                </w:sdt>
                              </w:p>
                              <w:p w14:paraId="78723D4E" w14:textId="6C863A27" w:rsidR="00314736" w:rsidRDefault="0048201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4736">
                                      <w:rPr>
                                        <w:color w:val="4472C4" w:themeColor="accent1"/>
                                      </w:rPr>
                                      <w:t>Business Campus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ex="http://schemas.microsoft.com/office/word/2018/wordml/cex">
                <w:pict>
                  <v:shapetype w14:anchorId="37AC3A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9T00:00:00Z">
                              <w:dateFormat w:val="MMMM d, yyyy"/>
                              <w:lid w:val="en-US"/>
                              <w:storeMappedDataAs w:val="dateTime"/>
                              <w:calendar w:val="gregorian"/>
                            </w:date>
                          </w:sdtPr>
                          <w:sdtContent>
                            <w:p w14:paraId="632DA462" w14:textId="3E0C5C29" w:rsidR="00314736" w:rsidRDefault="00314736">
                              <w:pPr>
                                <w:pStyle w:val="NoSpacing"/>
                                <w:spacing w:after="40"/>
                                <w:jc w:val="center"/>
                                <w:rPr>
                                  <w:caps/>
                                  <w:color w:val="4472C4" w:themeColor="accent1"/>
                                  <w:sz w:val="28"/>
                                  <w:szCs w:val="28"/>
                                </w:rPr>
                              </w:pPr>
                              <w:r>
                                <w:rPr>
                                  <w:caps/>
                                  <w:color w:val="4472C4" w:themeColor="accent1"/>
                                  <w:sz w:val="28"/>
                                  <w:szCs w:val="28"/>
                                </w:rPr>
                                <w:t>March 9, 2021</w:t>
                              </w:r>
                            </w:p>
                          </w:sdtContent>
                        </w:sdt>
                        <w:p w14:paraId="690824A2" w14:textId="0169ECEA" w:rsidR="00314736" w:rsidRDefault="0031473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78723D4E" w14:textId="6C863A27" w:rsidR="00314736" w:rsidRDefault="003147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Business Campus Swansea</w:t>
                              </w:r>
                            </w:sdtContent>
                          </w:sdt>
                        </w:p>
                      </w:txbxContent>
                    </v:textbox>
                    <w10:wrap anchorx="margin" anchory="page"/>
                  </v:shape>
                </w:pict>
              </mc:Fallback>
            </mc:AlternateContent>
          </w:r>
          <w:r>
            <w:rPr>
              <w:noProof/>
              <w:color w:val="4472C4" w:themeColor="accent1"/>
            </w:rPr>
            <w:drawing>
              <wp:inline distT="0" distB="0" distL="0" distR="0" wp14:anchorId="3004CBF1" wp14:editId="431097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D6F0C1" w14:textId="78673867" w:rsidR="00314736" w:rsidRDefault="00314736" w:rsidP="00314736">
          <w:pPr>
            <w:spacing w:after="160" w:line="259" w:lineRule="auto"/>
            <w:rPr>
              <w:rFonts w:ascii="Arial" w:hAnsi="Arial" w:cs="Arial"/>
              <w:sz w:val="52"/>
              <w:szCs w:val="52"/>
            </w:rPr>
          </w:pPr>
          <w:r>
            <w:rPr>
              <w:rFonts w:ascii="Arial" w:hAnsi="Arial" w:cs="Arial"/>
              <w:sz w:val="52"/>
              <w:szCs w:val="52"/>
            </w:rPr>
            <w:br w:type="page"/>
          </w:r>
        </w:p>
      </w:sdtContent>
    </w:sdt>
    <w:sdt>
      <w:sdtPr>
        <w:rPr>
          <w:rFonts w:ascii="Times New Roman" w:eastAsia="Times New Roman" w:hAnsi="Times New Roman" w:cs="Times New Roman"/>
          <w:color w:val="auto"/>
          <w:sz w:val="20"/>
          <w:szCs w:val="20"/>
          <w:lang w:val="en-GB" w:eastAsia="en-GB"/>
        </w:rPr>
        <w:id w:val="966698082"/>
        <w:docPartObj>
          <w:docPartGallery w:val="Table of Contents"/>
          <w:docPartUnique/>
        </w:docPartObj>
      </w:sdtPr>
      <w:sdtEndPr>
        <w:rPr>
          <w:b/>
          <w:bCs/>
          <w:noProof/>
        </w:rPr>
      </w:sdtEndPr>
      <w:sdtContent>
        <w:p w14:paraId="4C142FC4" w14:textId="2AF53A6D" w:rsidR="004568ED" w:rsidRDefault="004568ED">
          <w:pPr>
            <w:pStyle w:val="TOCHeading"/>
          </w:pPr>
          <w:r>
            <w:t>Table of Contents</w:t>
          </w:r>
        </w:p>
        <w:p w14:paraId="2A13F579" w14:textId="7DA55CC5" w:rsidR="00314736" w:rsidRDefault="004568ED">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66197753" w:history="1">
            <w:r w:rsidR="00314736" w:rsidRPr="0095195E">
              <w:rPr>
                <w:rStyle w:val="Hyperlink"/>
                <w:rFonts w:ascii="Arial" w:hAnsi="Arial" w:cs="Arial"/>
                <w:noProof/>
              </w:rPr>
              <w:t>Introduction</w:t>
            </w:r>
            <w:r w:rsidR="00314736">
              <w:rPr>
                <w:noProof/>
                <w:webHidden/>
              </w:rPr>
              <w:tab/>
            </w:r>
            <w:r w:rsidR="00314736">
              <w:rPr>
                <w:noProof/>
                <w:webHidden/>
              </w:rPr>
              <w:fldChar w:fldCharType="begin"/>
            </w:r>
            <w:r w:rsidR="00314736">
              <w:rPr>
                <w:noProof/>
                <w:webHidden/>
              </w:rPr>
              <w:instrText xml:space="preserve"> PAGEREF _Toc66197753 \h </w:instrText>
            </w:r>
            <w:r w:rsidR="00314736">
              <w:rPr>
                <w:noProof/>
                <w:webHidden/>
              </w:rPr>
            </w:r>
            <w:r w:rsidR="00314736">
              <w:rPr>
                <w:noProof/>
                <w:webHidden/>
              </w:rPr>
              <w:fldChar w:fldCharType="separate"/>
            </w:r>
            <w:r w:rsidR="00314736">
              <w:rPr>
                <w:noProof/>
                <w:webHidden/>
              </w:rPr>
              <w:t>3</w:t>
            </w:r>
            <w:r w:rsidR="00314736">
              <w:rPr>
                <w:noProof/>
                <w:webHidden/>
              </w:rPr>
              <w:fldChar w:fldCharType="end"/>
            </w:r>
          </w:hyperlink>
        </w:p>
        <w:p w14:paraId="5ABCF454" w14:textId="272CD64D"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54" w:history="1">
            <w:r w:rsidR="00314736" w:rsidRPr="0095195E">
              <w:rPr>
                <w:rStyle w:val="Hyperlink"/>
                <w:rFonts w:ascii="Arial" w:hAnsi="Arial" w:cs="Arial"/>
                <w:noProof/>
              </w:rPr>
              <w:t>Biomedical model of health</w:t>
            </w:r>
            <w:r w:rsidR="00314736">
              <w:rPr>
                <w:noProof/>
                <w:webHidden/>
              </w:rPr>
              <w:tab/>
            </w:r>
            <w:r w:rsidR="00314736">
              <w:rPr>
                <w:noProof/>
                <w:webHidden/>
              </w:rPr>
              <w:fldChar w:fldCharType="begin"/>
            </w:r>
            <w:r w:rsidR="00314736">
              <w:rPr>
                <w:noProof/>
                <w:webHidden/>
              </w:rPr>
              <w:instrText xml:space="preserve"> PAGEREF _Toc66197754 \h </w:instrText>
            </w:r>
            <w:r w:rsidR="00314736">
              <w:rPr>
                <w:noProof/>
                <w:webHidden/>
              </w:rPr>
            </w:r>
            <w:r w:rsidR="00314736">
              <w:rPr>
                <w:noProof/>
                <w:webHidden/>
              </w:rPr>
              <w:fldChar w:fldCharType="separate"/>
            </w:r>
            <w:r w:rsidR="00314736">
              <w:rPr>
                <w:noProof/>
                <w:webHidden/>
              </w:rPr>
              <w:t>3</w:t>
            </w:r>
            <w:r w:rsidR="00314736">
              <w:rPr>
                <w:noProof/>
                <w:webHidden/>
              </w:rPr>
              <w:fldChar w:fldCharType="end"/>
            </w:r>
          </w:hyperlink>
        </w:p>
        <w:p w14:paraId="1DF61E66" w14:textId="4B6795AD"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55" w:history="1">
            <w:r w:rsidR="00314736" w:rsidRPr="0095195E">
              <w:rPr>
                <w:rStyle w:val="Hyperlink"/>
                <w:rFonts w:ascii="Arial" w:hAnsi="Arial" w:cs="Arial"/>
                <w:noProof/>
              </w:rPr>
              <w:t>Biopsychosocial model</w:t>
            </w:r>
            <w:r w:rsidR="00314736">
              <w:rPr>
                <w:noProof/>
                <w:webHidden/>
              </w:rPr>
              <w:tab/>
            </w:r>
            <w:r w:rsidR="00314736">
              <w:rPr>
                <w:noProof/>
                <w:webHidden/>
              </w:rPr>
              <w:fldChar w:fldCharType="begin"/>
            </w:r>
            <w:r w:rsidR="00314736">
              <w:rPr>
                <w:noProof/>
                <w:webHidden/>
              </w:rPr>
              <w:instrText xml:space="preserve"> PAGEREF _Toc66197755 \h </w:instrText>
            </w:r>
            <w:r w:rsidR="00314736">
              <w:rPr>
                <w:noProof/>
                <w:webHidden/>
              </w:rPr>
            </w:r>
            <w:r w:rsidR="00314736">
              <w:rPr>
                <w:noProof/>
                <w:webHidden/>
              </w:rPr>
              <w:fldChar w:fldCharType="separate"/>
            </w:r>
            <w:r w:rsidR="00314736">
              <w:rPr>
                <w:noProof/>
                <w:webHidden/>
              </w:rPr>
              <w:t>5</w:t>
            </w:r>
            <w:r w:rsidR="00314736">
              <w:rPr>
                <w:noProof/>
                <w:webHidden/>
              </w:rPr>
              <w:fldChar w:fldCharType="end"/>
            </w:r>
          </w:hyperlink>
        </w:p>
        <w:p w14:paraId="05F8E768" w14:textId="29EC92BC" w:rsidR="00314736" w:rsidRDefault="0048201C">
          <w:pPr>
            <w:pStyle w:val="TOC2"/>
            <w:tabs>
              <w:tab w:val="right" w:leader="dot" w:pos="9016"/>
            </w:tabs>
            <w:rPr>
              <w:rFonts w:asciiTheme="minorHAnsi" w:eastAsiaTheme="minorEastAsia" w:hAnsiTheme="minorHAnsi" w:cstheme="minorBidi"/>
              <w:noProof/>
              <w:sz w:val="22"/>
              <w:szCs w:val="22"/>
            </w:rPr>
          </w:pPr>
          <w:hyperlink w:anchor="_Toc66197756" w:history="1">
            <w:r w:rsidR="00314736" w:rsidRPr="0095195E">
              <w:rPr>
                <w:rStyle w:val="Hyperlink"/>
                <w:rFonts w:ascii="Arial" w:hAnsi="Arial" w:cs="Arial"/>
                <w:noProof/>
              </w:rPr>
              <w:t>Individual circumstances</w:t>
            </w:r>
            <w:r w:rsidR="00314736">
              <w:rPr>
                <w:noProof/>
                <w:webHidden/>
              </w:rPr>
              <w:tab/>
            </w:r>
            <w:r w:rsidR="00314736">
              <w:rPr>
                <w:noProof/>
                <w:webHidden/>
              </w:rPr>
              <w:fldChar w:fldCharType="begin"/>
            </w:r>
            <w:r w:rsidR="00314736">
              <w:rPr>
                <w:noProof/>
                <w:webHidden/>
              </w:rPr>
              <w:instrText xml:space="preserve"> PAGEREF _Toc66197756 \h </w:instrText>
            </w:r>
            <w:r w:rsidR="00314736">
              <w:rPr>
                <w:noProof/>
                <w:webHidden/>
              </w:rPr>
            </w:r>
            <w:r w:rsidR="00314736">
              <w:rPr>
                <w:noProof/>
                <w:webHidden/>
              </w:rPr>
              <w:fldChar w:fldCharType="separate"/>
            </w:r>
            <w:r w:rsidR="00314736">
              <w:rPr>
                <w:noProof/>
                <w:webHidden/>
              </w:rPr>
              <w:t>6</w:t>
            </w:r>
            <w:r w:rsidR="00314736">
              <w:rPr>
                <w:noProof/>
                <w:webHidden/>
              </w:rPr>
              <w:fldChar w:fldCharType="end"/>
            </w:r>
          </w:hyperlink>
        </w:p>
        <w:p w14:paraId="38D224AC" w14:textId="03C6367F" w:rsidR="00314736" w:rsidRDefault="0048201C">
          <w:pPr>
            <w:pStyle w:val="TOC2"/>
            <w:tabs>
              <w:tab w:val="right" w:leader="dot" w:pos="9016"/>
            </w:tabs>
            <w:rPr>
              <w:rFonts w:asciiTheme="minorHAnsi" w:eastAsiaTheme="minorEastAsia" w:hAnsiTheme="minorHAnsi" w:cstheme="minorBidi"/>
              <w:noProof/>
              <w:sz w:val="22"/>
              <w:szCs w:val="22"/>
            </w:rPr>
          </w:pPr>
          <w:hyperlink w:anchor="_Toc66197757" w:history="1">
            <w:r w:rsidR="00314736" w:rsidRPr="0095195E">
              <w:rPr>
                <w:rStyle w:val="Hyperlink"/>
                <w:rFonts w:ascii="Arial" w:hAnsi="Arial" w:cs="Arial"/>
                <w:noProof/>
              </w:rPr>
              <w:t>Lifestyle choices</w:t>
            </w:r>
            <w:r w:rsidR="00314736">
              <w:rPr>
                <w:noProof/>
                <w:webHidden/>
              </w:rPr>
              <w:tab/>
            </w:r>
            <w:r w:rsidR="00314736">
              <w:rPr>
                <w:noProof/>
                <w:webHidden/>
              </w:rPr>
              <w:fldChar w:fldCharType="begin"/>
            </w:r>
            <w:r w:rsidR="00314736">
              <w:rPr>
                <w:noProof/>
                <w:webHidden/>
              </w:rPr>
              <w:instrText xml:space="preserve"> PAGEREF _Toc66197757 \h </w:instrText>
            </w:r>
            <w:r w:rsidR="00314736">
              <w:rPr>
                <w:noProof/>
                <w:webHidden/>
              </w:rPr>
            </w:r>
            <w:r w:rsidR="00314736">
              <w:rPr>
                <w:noProof/>
                <w:webHidden/>
              </w:rPr>
              <w:fldChar w:fldCharType="separate"/>
            </w:r>
            <w:r w:rsidR="00314736">
              <w:rPr>
                <w:noProof/>
                <w:webHidden/>
              </w:rPr>
              <w:t>7</w:t>
            </w:r>
            <w:r w:rsidR="00314736">
              <w:rPr>
                <w:noProof/>
                <w:webHidden/>
              </w:rPr>
              <w:fldChar w:fldCharType="end"/>
            </w:r>
          </w:hyperlink>
        </w:p>
        <w:p w14:paraId="70D5B48C" w14:textId="6BB5AB19" w:rsidR="00314736" w:rsidRDefault="0048201C">
          <w:pPr>
            <w:pStyle w:val="TOC2"/>
            <w:tabs>
              <w:tab w:val="right" w:leader="dot" w:pos="9016"/>
            </w:tabs>
            <w:rPr>
              <w:rFonts w:asciiTheme="minorHAnsi" w:eastAsiaTheme="minorEastAsia" w:hAnsiTheme="minorHAnsi" w:cstheme="minorBidi"/>
              <w:noProof/>
              <w:sz w:val="22"/>
              <w:szCs w:val="22"/>
            </w:rPr>
          </w:pPr>
          <w:hyperlink w:anchor="_Toc66197758" w:history="1">
            <w:r w:rsidR="00314736" w:rsidRPr="0095195E">
              <w:rPr>
                <w:rStyle w:val="Hyperlink"/>
                <w:rFonts w:ascii="Arial" w:hAnsi="Arial" w:cs="Arial"/>
                <w:noProof/>
              </w:rPr>
              <w:t>Religion</w:t>
            </w:r>
            <w:r w:rsidR="00314736">
              <w:rPr>
                <w:noProof/>
                <w:webHidden/>
              </w:rPr>
              <w:tab/>
            </w:r>
            <w:r w:rsidR="00314736">
              <w:rPr>
                <w:noProof/>
                <w:webHidden/>
              </w:rPr>
              <w:fldChar w:fldCharType="begin"/>
            </w:r>
            <w:r w:rsidR="00314736">
              <w:rPr>
                <w:noProof/>
                <w:webHidden/>
              </w:rPr>
              <w:instrText xml:space="preserve"> PAGEREF _Toc66197758 \h </w:instrText>
            </w:r>
            <w:r w:rsidR="00314736">
              <w:rPr>
                <w:noProof/>
                <w:webHidden/>
              </w:rPr>
            </w:r>
            <w:r w:rsidR="00314736">
              <w:rPr>
                <w:noProof/>
                <w:webHidden/>
              </w:rPr>
              <w:fldChar w:fldCharType="separate"/>
            </w:r>
            <w:r w:rsidR="00314736">
              <w:rPr>
                <w:noProof/>
                <w:webHidden/>
              </w:rPr>
              <w:t>8</w:t>
            </w:r>
            <w:r w:rsidR="00314736">
              <w:rPr>
                <w:noProof/>
                <w:webHidden/>
              </w:rPr>
              <w:fldChar w:fldCharType="end"/>
            </w:r>
          </w:hyperlink>
        </w:p>
        <w:p w14:paraId="517C456F" w14:textId="43D2966D" w:rsidR="00314736" w:rsidRDefault="0048201C">
          <w:pPr>
            <w:pStyle w:val="TOC2"/>
            <w:tabs>
              <w:tab w:val="right" w:leader="dot" w:pos="9016"/>
            </w:tabs>
            <w:rPr>
              <w:rFonts w:asciiTheme="minorHAnsi" w:eastAsiaTheme="minorEastAsia" w:hAnsiTheme="minorHAnsi" w:cstheme="minorBidi"/>
              <w:noProof/>
              <w:sz w:val="22"/>
              <w:szCs w:val="22"/>
            </w:rPr>
          </w:pPr>
          <w:hyperlink w:anchor="_Toc66197759" w:history="1">
            <w:r w:rsidR="00314736" w:rsidRPr="0095195E">
              <w:rPr>
                <w:rStyle w:val="Hyperlink"/>
                <w:rFonts w:ascii="Arial" w:hAnsi="Arial" w:cs="Arial"/>
                <w:noProof/>
              </w:rPr>
              <w:t>Health inequalities</w:t>
            </w:r>
            <w:r w:rsidR="00314736">
              <w:rPr>
                <w:noProof/>
                <w:webHidden/>
              </w:rPr>
              <w:tab/>
            </w:r>
            <w:r w:rsidR="00314736">
              <w:rPr>
                <w:noProof/>
                <w:webHidden/>
              </w:rPr>
              <w:fldChar w:fldCharType="begin"/>
            </w:r>
            <w:r w:rsidR="00314736">
              <w:rPr>
                <w:noProof/>
                <w:webHidden/>
              </w:rPr>
              <w:instrText xml:space="preserve"> PAGEREF _Toc66197759 \h </w:instrText>
            </w:r>
            <w:r w:rsidR="00314736">
              <w:rPr>
                <w:noProof/>
                <w:webHidden/>
              </w:rPr>
            </w:r>
            <w:r w:rsidR="00314736">
              <w:rPr>
                <w:noProof/>
                <w:webHidden/>
              </w:rPr>
              <w:fldChar w:fldCharType="separate"/>
            </w:r>
            <w:r w:rsidR="00314736">
              <w:rPr>
                <w:noProof/>
                <w:webHidden/>
              </w:rPr>
              <w:t>8</w:t>
            </w:r>
            <w:r w:rsidR="00314736">
              <w:rPr>
                <w:noProof/>
                <w:webHidden/>
              </w:rPr>
              <w:fldChar w:fldCharType="end"/>
            </w:r>
          </w:hyperlink>
        </w:p>
        <w:p w14:paraId="2780A6CA" w14:textId="70CC3843"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60" w:history="1">
            <w:r w:rsidR="00314736" w:rsidRPr="0095195E">
              <w:rPr>
                <w:rStyle w:val="Hyperlink"/>
                <w:rFonts w:ascii="Arial" w:hAnsi="Arial" w:cs="Arial"/>
                <w:noProof/>
              </w:rPr>
              <w:t>Maintaining a healthy life</w:t>
            </w:r>
            <w:r w:rsidR="00314736">
              <w:rPr>
                <w:noProof/>
                <w:webHidden/>
              </w:rPr>
              <w:tab/>
            </w:r>
            <w:r w:rsidR="00314736">
              <w:rPr>
                <w:noProof/>
                <w:webHidden/>
              </w:rPr>
              <w:fldChar w:fldCharType="begin"/>
            </w:r>
            <w:r w:rsidR="00314736">
              <w:rPr>
                <w:noProof/>
                <w:webHidden/>
              </w:rPr>
              <w:instrText xml:space="preserve"> PAGEREF _Toc66197760 \h </w:instrText>
            </w:r>
            <w:r w:rsidR="00314736">
              <w:rPr>
                <w:noProof/>
                <w:webHidden/>
              </w:rPr>
            </w:r>
            <w:r w:rsidR="00314736">
              <w:rPr>
                <w:noProof/>
                <w:webHidden/>
              </w:rPr>
              <w:fldChar w:fldCharType="separate"/>
            </w:r>
            <w:r w:rsidR="00314736">
              <w:rPr>
                <w:noProof/>
                <w:webHidden/>
              </w:rPr>
              <w:t>9</w:t>
            </w:r>
            <w:r w:rsidR="00314736">
              <w:rPr>
                <w:noProof/>
                <w:webHidden/>
              </w:rPr>
              <w:fldChar w:fldCharType="end"/>
            </w:r>
          </w:hyperlink>
        </w:p>
        <w:p w14:paraId="0D8B69B4" w14:textId="1732EBD2"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61" w:history="1">
            <w:r w:rsidR="00314736" w:rsidRPr="0095195E">
              <w:rPr>
                <w:rStyle w:val="Hyperlink"/>
                <w:rFonts w:ascii="Arial" w:hAnsi="Arial" w:cs="Arial"/>
                <w:noProof/>
              </w:rPr>
              <w:t>Interprofessional working</w:t>
            </w:r>
            <w:r w:rsidR="00314736">
              <w:rPr>
                <w:noProof/>
                <w:webHidden/>
              </w:rPr>
              <w:tab/>
            </w:r>
            <w:r w:rsidR="00314736">
              <w:rPr>
                <w:noProof/>
                <w:webHidden/>
              </w:rPr>
              <w:fldChar w:fldCharType="begin"/>
            </w:r>
            <w:r w:rsidR="00314736">
              <w:rPr>
                <w:noProof/>
                <w:webHidden/>
              </w:rPr>
              <w:instrText xml:space="preserve"> PAGEREF _Toc66197761 \h </w:instrText>
            </w:r>
            <w:r w:rsidR="00314736">
              <w:rPr>
                <w:noProof/>
                <w:webHidden/>
              </w:rPr>
            </w:r>
            <w:r w:rsidR="00314736">
              <w:rPr>
                <w:noProof/>
                <w:webHidden/>
              </w:rPr>
              <w:fldChar w:fldCharType="separate"/>
            </w:r>
            <w:r w:rsidR="00314736">
              <w:rPr>
                <w:noProof/>
                <w:webHidden/>
              </w:rPr>
              <w:t>10</w:t>
            </w:r>
            <w:r w:rsidR="00314736">
              <w:rPr>
                <w:noProof/>
                <w:webHidden/>
              </w:rPr>
              <w:fldChar w:fldCharType="end"/>
            </w:r>
          </w:hyperlink>
        </w:p>
        <w:p w14:paraId="3862DB75" w14:textId="5326816C"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62" w:history="1">
            <w:r w:rsidR="00314736" w:rsidRPr="0095195E">
              <w:rPr>
                <w:rStyle w:val="Hyperlink"/>
                <w:rFonts w:ascii="Arial" w:hAnsi="Arial" w:cs="Arial"/>
                <w:noProof/>
              </w:rPr>
              <w:t>Conclusion</w:t>
            </w:r>
            <w:r w:rsidR="00314736">
              <w:rPr>
                <w:noProof/>
                <w:webHidden/>
              </w:rPr>
              <w:tab/>
            </w:r>
            <w:r w:rsidR="00314736">
              <w:rPr>
                <w:noProof/>
                <w:webHidden/>
              </w:rPr>
              <w:fldChar w:fldCharType="begin"/>
            </w:r>
            <w:r w:rsidR="00314736">
              <w:rPr>
                <w:noProof/>
                <w:webHidden/>
              </w:rPr>
              <w:instrText xml:space="preserve"> PAGEREF _Toc66197762 \h </w:instrText>
            </w:r>
            <w:r w:rsidR="00314736">
              <w:rPr>
                <w:noProof/>
                <w:webHidden/>
              </w:rPr>
            </w:r>
            <w:r w:rsidR="00314736">
              <w:rPr>
                <w:noProof/>
                <w:webHidden/>
              </w:rPr>
              <w:fldChar w:fldCharType="separate"/>
            </w:r>
            <w:r w:rsidR="00314736">
              <w:rPr>
                <w:noProof/>
                <w:webHidden/>
              </w:rPr>
              <w:t>11</w:t>
            </w:r>
            <w:r w:rsidR="00314736">
              <w:rPr>
                <w:noProof/>
                <w:webHidden/>
              </w:rPr>
              <w:fldChar w:fldCharType="end"/>
            </w:r>
          </w:hyperlink>
        </w:p>
        <w:p w14:paraId="4389F2C4" w14:textId="6360E535" w:rsidR="00314736" w:rsidRDefault="0048201C">
          <w:pPr>
            <w:pStyle w:val="TOC1"/>
            <w:tabs>
              <w:tab w:val="right" w:leader="dot" w:pos="9016"/>
            </w:tabs>
            <w:rPr>
              <w:rFonts w:asciiTheme="minorHAnsi" w:eastAsiaTheme="minorEastAsia" w:hAnsiTheme="minorHAnsi" w:cstheme="minorBidi"/>
              <w:noProof/>
              <w:sz w:val="22"/>
              <w:szCs w:val="22"/>
            </w:rPr>
          </w:pPr>
          <w:hyperlink w:anchor="_Toc66197763" w:history="1">
            <w:r w:rsidR="00314736" w:rsidRPr="0095195E">
              <w:rPr>
                <w:rStyle w:val="Hyperlink"/>
                <w:rFonts w:ascii="Arial" w:hAnsi="Arial" w:cs="Arial"/>
                <w:noProof/>
              </w:rPr>
              <w:t>References</w:t>
            </w:r>
            <w:r w:rsidR="00314736">
              <w:rPr>
                <w:noProof/>
                <w:webHidden/>
              </w:rPr>
              <w:tab/>
            </w:r>
            <w:r w:rsidR="00314736">
              <w:rPr>
                <w:noProof/>
                <w:webHidden/>
              </w:rPr>
              <w:fldChar w:fldCharType="begin"/>
            </w:r>
            <w:r w:rsidR="00314736">
              <w:rPr>
                <w:noProof/>
                <w:webHidden/>
              </w:rPr>
              <w:instrText xml:space="preserve"> PAGEREF _Toc66197763 \h </w:instrText>
            </w:r>
            <w:r w:rsidR="00314736">
              <w:rPr>
                <w:noProof/>
                <w:webHidden/>
              </w:rPr>
            </w:r>
            <w:r w:rsidR="00314736">
              <w:rPr>
                <w:noProof/>
                <w:webHidden/>
              </w:rPr>
              <w:fldChar w:fldCharType="separate"/>
            </w:r>
            <w:r w:rsidR="00314736">
              <w:rPr>
                <w:noProof/>
                <w:webHidden/>
              </w:rPr>
              <w:t>12</w:t>
            </w:r>
            <w:r w:rsidR="00314736">
              <w:rPr>
                <w:noProof/>
                <w:webHidden/>
              </w:rPr>
              <w:fldChar w:fldCharType="end"/>
            </w:r>
          </w:hyperlink>
        </w:p>
        <w:p w14:paraId="3D7950B0" w14:textId="1E332C30" w:rsidR="004568ED" w:rsidRDefault="004568ED">
          <w:r>
            <w:rPr>
              <w:b/>
              <w:bCs/>
              <w:noProof/>
            </w:rPr>
            <w:fldChar w:fldCharType="end"/>
          </w:r>
        </w:p>
      </w:sdtContent>
    </w:sdt>
    <w:p w14:paraId="1817825C" w14:textId="06BB6434" w:rsidR="004568ED" w:rsidRDefault="004568ED" w:rsidP="003D0A3C">
      <w:pPr>
        <w:spacing w:line="360" w:lineRule="auto"/>
        <w:jc w:val="both"/>
        <w:rPr>
          <w:rFonts w:ascii="Arial" w:hAnsi="Arial" w:cs="Arial"/>
          <w:sz w:val="24"/>
          <w:szCs w:val="24"/>
        </w:rPr>
      </w:pPr>
    </w:p>
    <w:p w14:paraId="5DFFE1E0" w14:textId="3C89370D" w:rsidR="004568ED" w:rsidRDefault="004568ED" w:rsidP="003D0A3C">
      <w:pPr>
        <w:spacing w:line="360" w:lineRule="auto"/>
        <w:jc w:val="both"/>
        <w:rPr>
          <w:rFonts w:ascii="Arial" w:hAnsi="Arial" w:cs="Arial"/>
          <w:sz w:val="24"/>
          <w:szCs w:val="24"/>
        </w:rPr>
      </w:pPr>
    </w:p>
    <w:p w14:paraId="7711BE0B" w14:textId="2645B79C" w:rsidR="004568ED" w:rsidRDefault="004568ED" w:rsidP="003D0A3C">
      <w:pPr>
        <w:spacing w:line="360" w:lineRule="auto"/>
        <w:jc w:val="both"/>
        <w:rPr>
          <w:rFonts w:ascii="Arial" w:hAnsi="Arial" w:cs="Arial"/>
          <w:sz w:val="24"/>
          <w:szCs w:val="24"/>
        </w:rPr>
      </w:pPr>
    </w:p>
    <w:p w14:paraId="5BA19D3C" w14:textId="08879D77" w:rsidR="004568ED" w:rsidRDefault="004568ED" w:rsidP="003D0A3C">
      <w:pPr>
        <w:spacing w:line="360" w:lineRule="auto"/>
        <w:jc w:val="both"/>
        <w:rPr>
          <w:rFonts w:ascii="Arial" w:hAnsi="Arial" w:cs="Arial"/>
          <w:sz w:val="24"/>
          <w:szCs w:val="24"/>
        </w:rPr>
      </w:pPr>
    </w:p>
    <w:p w14:paraId="55B0A017" w14:textId="01E0A325" w:rsidR="004568ED" w:rsidRDefault="004568ED" w:rsidP="003D0A3C">
      <w:pPr>
        <w:spacing w:line="360" w:lineRule="auto"/>
        <w:jc w:val="both"/>
        <w:rPr>
          <w:rFonts w:ascii="Arial" w:hAnsi="Arial" w:cs="Arial"/>
          <w:sz w:val="24"/>
          <w:szCs w:val="24"/>
        </w:rPr>
      </w:pPr>
    </w:p>
    <w:p w14:paraId="21DF7D43" w14:textId="0F044D5D" w:rsidR="004568ED" w:rsidRDefault="004568ED" w:rsidP="003D0A3C">
      <w:pPr>
        <w:spacing w:line="360" w:lineRule="auto"/>
        <w:jc w:val="both"/>
        <w:rPr>
          <w:rFonts w:ascii="Arial" w:hAnsi="Arial" w:cs="Arial"/>
          <w:sz w:val="24"/>
          <w:szCs w:val="24"/>
        </w:rPr>
      </w:pPr>
    </w:p>
    <w:p w14:paraId="33188F26" w14:textId="3DCACD6D" w:rsidR="004568ED" w:rsidRDefault="004568ED" w:rsidP="003D0A3C">
      <w:pPr>
        <w:spacing w:line="360" w:lineRule="auto"/>
        <w:jc w:val="both"/>
        <w:rPr>
          <w:rFonts w:ascii="Arial" w:hAnsi="Arial" w:cs="Arial"/>
          <w:sz w:val="24"/>
          <w:szCs w:val="24"/>
        </w:rPr>
      </w:pPr>
    </w:p>
    <w:p w14:paraId="28379CD3" w14:textId="2FF67683" w:rsidR="004568ED" w:rsidRDefault="004568ED" w:rsidP="003D0A3C">
      <w:pPr>
        <w:spacing w:line="360" w:lineRule="auto"/>
        <w:jc w:val="both"/>
        <w:rPr>
          <w:rFonts w:ascii="Arial" w:hAnsi="Arial" w:cs="Arial"/>
          <w:sz w:val="24"/>
          <w:szCs w:val="24"/>
        </w:rPr>
      </w:pPr>
    </w:p>
    <w:p w14:paraId="1D2D3BAF" w14:textId="163F8A41" w:rsidR="004568ED" w:rsidRDefault="004568ED" w:rsidP="003D0A3C">
      <w:pPr>
        <w:spacing w:line="360" w:lineRule="auto"/>
        <w:jc w:val="both"/>
        <w:rPr>
          <w:rFonts w:ascii="Arial" w:hAnsi="Arial" w:cs="Arial"/>
          <w:sz w:val="24"/>
          <w:szCs w:val="24"/>
        </w:rPr>
      </w:pPr>
    </w:p>
    <w:p w14:paraId="1EA79603" w14:textId="2AF24AF5" w:rsidR="004568ED" w:rsidRDefault="004568ED" w:rsidP="003D0A3C">
      <w:pPr>
        <w:spacing w:line="360" w:lineRule="auto"/>
        <w:jc w:val="both"/>
        <w:rPr>
          <w:rFonts w:ascii="Arial" w:hAnsi="Arial" w:cs="Arial"/>
          <w:sz w:val="24"/>
          <w:szCs w:val="24"/>
        </w:rPr>
      </w:pPr>
    </w:p>
    <w:p w14:paraId="2C3274DE" w14:textId="3DF6AF4B" w:rsidR="004568ED" w:rsidRDefault="004568ED" w:rsidP="003D0A3C">
      <w:pPr>
        <w:spacing w:line="360" w:lineRule="auto"/>
        <w:jc w:val="both"/>
        <w:rPr>
          <w:rFonts w:ascii="Arial" w:hAnsi="Arial" w:cs="Arial"/>
          <w:sz w:val="24"/>
          <w:szCs w:val="24"/>
        </w:rPr>
      </w:pPr>
    </w:p>
    <w:p w14:paraId="3BAFB001" w14:textId="7A2B7E0C" w:rsidR="004568ED" w:rsidRDefault="004568ED" w:rsidP="003D0A3C">
      <w:pPr>
        <w:spacing w:line="360" w:lineRule="auto"/>
        <w:jc w:val="both"/>
        <w:rPr>
          <w:rFonts w:ascii="Arial" w:hAnsi="Arial" w:cs="Arial"/>
          <w:sz w:val="24"/>
          <w:szCs w:val="24"/>
        </w:rPr>
      </w:pPr>
    </w:p>
    <w:p w14:paraId="718F7ACF" w14:textId="0C3BFBCB" w:rsidR="004568ED" w:rsidRDefault="004568ED" w:rsidP="003D0A3C">
      <w:pPr>
        <w:spacing w:line="360" w:lineRule="auto"/>
        <w:jc w:val="both"/>
        <w:rPr>
          <w:rFonts w:ascii="Arial" w:hAnsi="Arial" w:cs="Arial"/>
          <w:sz w:val="24"/>
          <w:szCs w:val="24"/>
        </w:rPr>
      </w:pPr>
    </w:p>
    <w:p w14:paraId="74374095" w14:textId="1D1845D0" w:rsidR="004568ED" w:rsidRDefault="004568ED" w:rsidP="003D0A3C">
      <w:pPr>
        <w:spacing w:line="360" w:lineRule="auto"/>
        <w:jc w:val="both"/>
        <w:rPr>
          <w:rFonts w:ascii="Arial" w:hAnsi="Arial" w:cs="Arial"/>
          <w:sz w:val="24"/>
          <w:szCs w:val="24"/>
        </w:rPr>
      </w:pPr>
    </w:p>
    <w:p w14:paraId="473AFD3A" w14:textId="5A90DF7B" w:rsidR="004568ED" w:rsidRDefault="004568ED" w:rsidP="003D0A3C">
      <w:pPr>
        <w:spacing w:line="360" w:lineRule="auto"/>
        <w:jc w:val="both"/>
        <w:rPr>
          <w:rFonts w:ascii="Arial" w:hAnsi="Arial" w:cs="Arial"/>
          <w:sz w:val="24"/>
          <w:szCs w:val="24"/>
        </w:rPr>
      </w:pPr>
    </w:p>
    <w:p w14:paraId="02DA5DCF" w14:textId="1B9FEDB3" w:rsidR="004568ED" w:rsidRDefault="004568ED" w:rsidP="003D0A3C">
      <w:pPr>
        <w:spacing w:line="360" w:lineRule="auto"/>
        <w:jc w:val="both"/>
        <w:rPr>
          <w:rFonts w:ascii="Arial" w:hAnsi="Arial" w:cs="Arial"/>
          <w:sz w:val="24"/>
          <w:szCs w:val="24"/>
        </w:rPr>
      </w:pPr>
    </w:p>
    <w:p w14:paraId="616E9F6D" w14:textId="29F9D0EB" w:rsidR="004568ED" w:rsidRDefault="004568ED" w:rsidP="003D0A3C">
      <w:pPr>
        <w:spacing w:line="360" w:lineRule="auto"/>
        <w:jc w:val="both"/>
        <w:rPr>
          <w:rFonts w:ascii="Arial" w:hAnsi="Arial" w:cs="Arial"/>
          <w:sz w:val="24"/>
          <w:szCs w:val="24"/>
        </w:rPr>
      </w:pPr>
    </w:p>
    <w:p w14:paraId="6FD096A5" w14:textId="19AF44F0" w:rsidR="004568ED" w:rsidRDefault="004568ED" w:rsidP="003D0A3C">
      <w:pPr>
        <w:spacing w:line="360" w:lineRule="auto"/>
        <w:jc w:val="both"/>
        <w:rPr>
          <w:rFonts w:ascii="Arial" w:hAnsi="Arial" w:cs="Arial"/>
          <w:sz w:val="24"/>
          <w:szCs w:val="24"/>
        </w:rPr>
      </w:pPr>
    </w:p>
    <w:p w14:paraId="73F470A5" w14:textId="1996D554" w:rsidR="004568ED" w:rsidRDefault="004568ED" w:rsidP="003D0A3C">
      <w:pPr>
        <w:spacing w:line="360" w:lineRule="auto"/>
        <w:jc w:val="both"/>
        <w:rPr>
          <w:rFonts w:ascii="Arial" w:hAnsi="Arial" w:cs="Arial"/>
          <w:sz w:val="24"/>
          <w:szCs w:val="24"/>
        </w:rPr>
      </w:pPr>
    </w:p>
    <w:p w14:paraId="4A82B9D4" w14:textId="44B10AB5" w:rsidR="004568ED" w:rsidRDefault="004568ED" w:rsidP="003D0A3C">
      <w:pPr>
        <w:spacing w:line="360" w:lineRule="auto"/>
        <w:jc w:val="both"/>
        <w:rPr>
          <w:rFonts w:ascii="Arial" w:hAnsi="Arial" w:cs="Arial"/>
          <w:sz w:val="24"/>
          <w:szCs w:val="24"/>
        </w:rPr>
      </w:pPr>
    </w:p>
    <w:p w14:paraId="56F4AD20" w14:textId="048C5505" w:rsidR="004568ED" w:rsidRDefault="004568ED" w:rsidP="003D0A3C">
      <w:pPr>
        <w:spacing w:line="360" w:lineRule="auto"/>
        <w:jc w:val="both"/>
        <w:rPr>
          <w:rFonts w:ascii="Arial" w:hAnsi="Arial" w:cs="Arial"/>
          <w:sz w:val="24"/>
          <w:szCs w:val="24"/>
        </w:rPr>
      </w:pPr>
    </w:p>
    <w:p w14:paraId="16A65A24" w14:textId="3858E8E2" w:rsidR="004568ED" w:rsidRDefault="004568ED" w:rsidP="003D0A3C">
      <w:pPr>
        <w:spacing w:line="360" w:lineRule="auto"/>
        <w:jc w:val="both"/>
        <w:rPr>
          <w:rFonts w:ascii="Arial" w:hAnsi="Arial" w:cs="Arial"/>
          <w:sz w:val="24"/>
          <w:szCs w:val="24"/>
        </w:rPr>
      </w:pPr>
    </w:p>
    <w:p w14:paraId="45EAEBB6" w14:textId="77777777" w:rsidR="004568ED" w:rsidRPr="00862DAB" w:rsidRDefault="004568ED" w:rsidP="003D0A3C">
      <w:pPr>
        <w:spacing w:line="360" w:lineRule="auto"/>
        <w:jc w:val="both"/>
        <w:rPr>
          <w:rFonts w:ascii="Arial" w:hAnsi="Arial" w:cs="Arial"/>
          <w:sz w:val="24"/>
          <w:szCs w:val="24"/>
        </w:rPr>
      </w:pPr>
    </w:p>
    <w:p w14:paraId="474B54E3" w14:textId="0984E15C" w:rsidR="003B0037" w:rsidRPr="00114C14" w:rsidRDefault="00114C14" w:rsidP="008F7F25">
      <w:pPr>
        <w:pStyle w:val="Heading1"/>
        <w:jc w:val="both"/>
        <w:rPr>
          <w:rFonts w:ascii="Arial" w:hAnsi="Arial" w:cs="Arial"/>
        </w:rPr>
      </w:pPr>
      <w:bookmarkStart w:id="1" w:name="_Toc66197753"/>
      <w:r w:rsidRPr="00114C14">
        <w:rPr>
          <w:rFonts w:ascii="Arial" w:hAnsi="Arial" w:cs="Arial"/>
        </w:rPr>
        <w:lastRenderedPageBreak/>
        <w:t>Introduction</w:t>
      </w:r>
      <w:bookmarkEnd w:id="1"/>
    </w:p>
    <w:p w14:paraId="49C64F1A" w14:textId="77777777" w:rsidR="00114C14" w:rsidRPr="00862DAB" w:rsidRDefault="00114C14" w:rsidP="008F7F25">
      <w:pPr>
        <w:spacing w:line="360" w:lineRule="auto"/>
        <w:jc w:val="both"/>
        <w:rPr>
          <w:rFonts w:ascii="Arial" w:hAnsi="Arial" w:cs="Arial"/>
          <w:sz w:val="24"/>
          <w:szCs w:val="24"/>
        </w:rPr>
      </w:pPr>
    </w:p>
    <w:p w14:paraId="25E65002" w14:textId="1D24E9F5" w:rsidR="00114C14" w:rsidRDefault="00114C14" w:rsidP="008F7F25">
      <w:pPr>
        <w:spacing w:line="360" w:lineRule="auto"/>
        <w:jc w:val="both"/>
        <w:rPr>
          <w:rFonts w:ascii="Arial" w:hAnsi="Arial" w:cs="Arial"/>
          <w:sz w:val="24"/>
          <w:szCs w:val="24"/>
        </w:rPr>
      </w:pPr>
      <w:r w:rsidRPr="00114C14">
        <w:rPr>
          <w:rFonts w:ascii="Arial" w:hAnsi="Arial" w:cs="Arial"/>
          <w:sz w:val="24"/>
          <w:szCs w:val="24"/>
        </w:rPr>
        <w:t>Health results throughout the life course when individuals' potentials –</w:t>
      </w:r>
      <w:r w:rsidR="00CD0AF9">
        <w:rPr>
          <w:rFonts w:ascii="Arial" w:hAnsi="Arial" w:cs="Arial"/>
          <w:sz w:val="24"/>
          <w:szCs w:val="24"/>
        </w:rPr>
        <w:t xml:space="preserve"> </w:t>
      </w:r>
      <w:r w:rsidRPr="00114C14">
        <w:rPr>
          <w:rFonts w:ascii="Arial" w:hAnsi="Arial" w:cs="Arial"/>
          <w:sz w:val="24"/>
          <w:szCs w:val="24"/>
        </w:rPr>
        <w:t>social and environmental factors – serve to respond agreeably to the demands of life. Life's demands can be a variety of physiological, psychosocial, or environmental factors, but in every case negative response leads to disease. This idea of the integrative nature of health could contribute to ongoing efforts to strengthen cooperation across sectors to improve health ((Bircher and Kuruvilla, 2014).</w:t>
      </w:r>
    </w:p>
    <w:p w14:paraId="361C617C" w14:textId="34A651CF" w:rsidR="00E764AD" w:rsidRDefault="00825A35" w:rsidP="008F7F25">
      <w:pPr>
        <w:spacing w:line="360" w:lineRule="auto"/>
        <w:jc w:val="both"/>
        <w:rPr>
          <w:rFonts w:ascii="Arial" w:hAnsi="Arial" w:cs="Arial"/>
          <w:sz w:val="24"/>
          <w:szCs w:val="24"/>
        </w:rPr>
      </w:pPr>
      <w:r>
        <w:rPr>
          <w:rFonts w:ascii="Arial" w:hAnsi="Arial" w:cs="Arial"/>
          <w:sz w:val="24"/>
          <w:szCs w:val="24"/>
        </w:rPr>
        <w:t xml:space="preserve">Health is a mix of the condition of mind, body, and social wellbeing and not merely the absence of disease. Every human being has the right to enjoy the highest attainable standard of health, regardless of their race, religion, political belief economic or social condition </w:t>
      </w:r>
      <w:sdt>
        <w:sdtPr>
          <w:rPr>
            <w:rFonts w:ascii="Arial" w:hAnsi="Arial" w:cs="Arial"/>
            <w:sz w:val="24"/>
            <w:szCs w:val="24"/>
          </w:rPr>
          <w:id w:val="-1429350318"/>
          <w:citation/>
        </w:sdtPr>
        <w:sdtEndPr/>
        <w:sdtContent>
          <w:r>
            <w:rPr>
              <w:rFonts w:ascii="Arial" w:hAnsi="Arial" w:cs="Arial"/>
              <w:sz w:val="24"/>
              <w:szCs w:val="24"/>
            </w:rPr>
            <w:fldChar w:fldCharType="begin"/>
          </w:r>
          <w:r>
            <w:rPr>
              <w:rFonts w:ascii="Arial" w:hAnsi="Arial" w:cs="Arial"/>
              <w:sz w:val="24"/>
              <w:szCs w:val="24"/>
            </w:rPr>
            <w:instrText xml:space="preserve"> CITATION WHO21 \l 2057 </w:instrText>
          </w:r>
          <w:r>
            <w:rPr>
              <w:rFonts w:ascii="Arial" w:hAnsi="Arial" w:cs="Arial"/>
              <w:sz w:val="24"/>
              <w:szCs w:val="24"/>
            </w:rPr>
            <w:fldChar w:fldCharType="separate"/>
          </w:r>
          <w:r w:rsidRPr="00825A35">
            <w:rPr>
              <w:rFonts w:ascii="Arial" w:hAnsi="Arial" w:cs="Arial"/>
              <w:noProof/>
              <w:sz w:val="24"/>
              <w:szCs w:val="24"/>
            </w:rPr>
            <w:t>(WHO, 2021)</w:t>
          </w:r>
          <w:r>
            <w:rPr>
              <w:rFonts w:ascii="Arial" w:hAnsi="Arial" w:cs="Arial"/>
              <w:sz w:val="24"/>
              <w:szCs w:val="24"/>
            </w:rPr>
            <w:fldChar w:fldCharType="end"/>
          </w:r>
        </w:sdtContent>
      </w:sdt>
      <w:r>
        <w:rPr>
          <w:rFonts w:ascii="Arial" w:hAnsi="Arial" w:cs="Arial"/>
          <w:sz w:val="24"/>
          <w:szCs w:val="24"/>
        </w:rPr>
        <w:t xml:space="preserve">. </w:t>
      </w:r>
      <w:r w:rsidR="00E764AD">
        <w:rPr>
          <w:rFonts w:ascii="Arial" w:hAnsi="Arial" w:cs="Arial"/>
          <w:sz w:val="24"/>
          <w:szCs w:val="24"/>
        </w:rPr>
        <w:t xml:space="preserve">Person-centred care can be traced back to the start of the National Health Service (NHS). It started with people being able to choose their own general practitioner, and </w:t>
      </w:r>
      <w:r w:rsidR="00B37350">
        <w:rPr>
          <w:rFonts w:ascii="Arial" w:hAnsi="Arial" w:cs="Arial"/>
          <w:sz w:val="24"/>
          <w:szCs w:val="24"/>
        </w:rPr>
        <w:t xml:space="preserve">they also had a choice to use the NHS or private treatment. In 2000, the NHS Plan baldly stated that in the next ten years the NHS will be redesigned to a patient centred care, where patients will have their say into what treatment they would prefer </w:t>
      </w:r>
      <w:sdt>
        <w:sdtPr>
          <w:rPr>
            <w:rFonts w:ascii="Arial" w:hAnsi="Arial" w:cs="Arial"/>
            <w:sz w:val="24"/>
            <w:szCs w:val="24"/>
          </w:rPr>
          <w:id w:val="1701356303"/>
          <w:citation/>
        </w:sdtPr>
        <w:sdtEndPr/>
        <w:sdtContent>
          <w:r w:rsidR="00B37350">
            <w:rPr>
              <w:rFonts w:ascii="Arial" w:hAnsi="Arial" w:cs="Arial"/>
              <w:sz w:val="24"/>
              <w:szCs w:val="24"/>
            </w:rPr>
            <w:fldChar w:fldCharType="begin"/>
          </w:r>
          <w:r w:rsidR="00B37350">
            <w:rPr>
              <w:rFonts w:ascii="Arial" w:hAnsi="Arial" w:cs="Arial"/>
              <w:sz w:val="24"/>
              <w:szCs w:val="24"/>
            </w:rPr>
            <w:instrText xml:space="preserve"> CITATION Cat14 \l 2057 </w:instrText>
          </w:r>
          <w:r w:rsidR="00B37350">
            <w:rPr>
              <w:rFonts w:ascii="Arial" w:hAnsi="Arial" w:cs="Arial"/>
              <w:sz w:val="24"/>
              <w:szCs w:val="24"/>
            </w:rPr>
            <w:fldChar w:fldCharType="separate"/>
          </w:r>
          <w:r w:rsidR="00B37350" w:rsidRPr="00B37350">
            <w:rPr>
              <w:rFonts w:ascii="Arial" w:hAnsi="Arial" w:cs="Arial"/>
              <w:noProof/>
              <w:sz w:val="24"/>
              <w:szCs w:val="24"/>
            </w:rPr>
            <w:t>(Foot, et al., 2014)</w:t>
          </w:r>
          <w:r w:rsidR="00B37350">
            <w:rPr>
              <w:rFonts w:ascii="Arial" w:hAnsi="Arial" w:cs="Arial"/>
              <w:sz w:val="24"/>
              <w:szCs w:val="24"/>
            </w:rPr>
            <w:fldChar w:fldCharType="end"/>
          </w:r>
        </w:sdtContent>
      </w:sdt>
      <w:r w:rsidR="00B37350">
        <w:rPr>
          <w:rFonts w:ascii="Arial" w:hAnsi="Arial" w:cs="Arial"/>
          <w:sz w:val="24"/>
          <w:szCs w:val="24"/>
        </w:rPr>
        <w:t xml:space="preserve">. </w:t>
      </w:r>
    </w:p>
    <w:p w14:paraId="74852391" w14:textId="3B133561" w:rsidR="0095424B" w:rsidRPr="00114C14" w:rsidRDefault="0095424B" w:rsidP="008F7F25">
      <w:pPr>
        <w:spacing w:line="360" w:lineRule="auto"/>
        <w:jc w:val="both"/>
        <w:rPr>
          <w:rFonts w:ascii="Arial" w:hAnsi="Arial" w:cs="Arial"/>
          <w:sz w:val="24"/>
          <w:szCs w:val="24"/>
        </w:rPr>
      </w:pPr>
      <w:r>
        <w:rPr>
          <w:rFonts w:ascii="Arial" w:hAnsi="Arial" w:cs="Arial"/>
          <w:sz w:val="24"/>
          <w:szCs w:val="24"/>
        </w:rPr>
        <w:t xml:space="preserve">This essay will look not only into the biomedical model of health, </w:t>
      </w:r>
      <w:r w:rsidR="00825A35">
        <w:rPr>
          <w:rFonts w:ascii="Arial" w:hAnsi="Arial" w:cs="Arial"/>
          <w:sz w:val="24"/>
          <w:szCs w:val="24"/>
        </w:rPr>
        <w:t>but</w:t>
      </w:r>
      <w:r>
        <w:rPr>
          <w:rFonts w:ascii="Arial" w:hAnsi="Arial" w:cs="Arial"/>
          <w:sz w:val="24"/>
          <w:szCs w:val="24"/>
        </w:rPr>
        <w:t xml:space="preserve"> will </w:t>
      </w:r>
      <w:r w:rsidR="00D17AB3">
        <w:rPr>
          <w:rFonts w:ascii="Arial" w:hAnsi="Arial" w:cs="Arial"/>
          <w:sz w:val="24"/>
          <w:szCs w:val="24"/>
        </w:rPr>
        <w:t xml:space="preserve">also </w:t>
      </w:r>
      <w:r>
        <w:rPr>
          <w:rFonts w:ascii="Arial" w:hAnsi="Arial" w:cs="Arial"/>
          <w:sz w:val="24"/>
          <w:szCs w:val="24"/>
        </w:rPr>
        <w:t xml:space="preserve">explore some other factors, like psychological, environmental, and social influences that can determine a person’s health and social care needs. Secondary research will be used to find evidence to theories about the above-mentioned factors and their influence on health. </w:t>
      </w:r>
    </w:p>
    <w:p w14:paraId="06ED9FE7" w14:textId="651C2583" w:rsidR="0095424B" w:rsidRDefault="0095424B" w:rsidP="00794AE8"/>
    <w:p w14:paraId="03D80AD1" w14:textId="4CC71076" w:rsidR="0095424B" w:rsidRPr="003D0A3C" w:rsidRDefault="0095424B" w:rsidP="003D0A3C">
      <w:pPr>
        <w:pStyle w:val="Heading1"/>
        <w:rPr>
          <w:rFonts w:ascii="Arial" w:hAnsi="Arial" w:cs="Arial"/>
        </w:rPr>
      </w:pPr>
      <w:bookmarkStart w:id="2" w:name="_Toc66197754"/>
      <w:r w:rsidRPr="003D0A3C">
        <w:rPr>
          <w:rFonts w:ascii="Arial" w:hAnsi="Arial" w:cs="Arial"/>
        </w:rPr>
        <w:t>Biomedical model of health</w:t>
      </w:r>
      <w:bookmarkEnd w:id="2"/>
    </w:p>
    <w:p w14:paraId="0BCF5A5C" w14:textId="2CCA2695" w:rsidR="0095424B" w:rsidRPr="0095424B" w:rsidRDefault="0095424B" w:rsidP="0095424B">
      <w:pPr>
        <w:spacing w:line="360" w:lineRule="auto"/>
        <w:rPr>
          <w:rFonts w:ascii="Arial" w:hAnsi="Arial" w:cs="Arial"/>
          <w:sz w:val="24"/>
          <w:szCs w:val="24"/>
        </w:rPr>
      </w:pPr>
    </w:p>
    <w:p w14:paraId="18DF98F7" w14:textId="556876F1" w:rsidR="003A57A0" w:rsidRDefault="0095424B" w:rsidP="0095424B">
      <w:pPr>
        <w:spacing w:line="360" w:lineRule="auto"/>
        <w:rPr>
          <w:rFonts w:ascii="Arial" w:hAnsi="Arial" w:cs="Arial"/>
          <w:sz w:val="24"/>
          <w:szCs w:val="24"/>
        </w:rPr>
      </w:pPr>
      <w:r>
        <w:rPr>
          <w:rFonts w:ascii="Arial" w:hAnsi="Arial" w:cs="Arial"/>
          <w:sz w:val="24"/>
          <w:szCs w:val="24"/>
        </w:rPr>
        <w:t xml:space="preserve">Disease and illness are two </w:t>
      </w:r>
      <w:r w:rsidR="00CC4B16">
        <w:rPr>
          <w:rFonts w:ascii="Arial" w:hAnsi="Arial" w:cs="Arial"/>
          <w:sz w:val="24"/>
          <w:szCs w:val="24"/>
        </w:rPr>
        <w:t>definitions used at understanding of people’s ill health. Disease ha</w:t>
      </w:r>
      <w:r w:rsidR="004E79CD">
        <w:rPr>
          <w:rFonts w:ascii="Arial" w:hAnsi="Arial" w:cs="Arial"/>
          <w:sz w:val="24"/>
          <w:szCs w:val="24"/>
        </w:rPr>
        <w:t>s</w:t>
      </w:r>
      <w:r w:rsidR="00CC4B16">
        <w:rPr>
          <w:rFonts w:ascii="Arial" w:hAnsi="Arial" w:cs="Arial"/>
          <w:sz w:val="24"/>
          <w:szCs w:val="24"/>
        </w:rPr>
        <w:t xml:space="preserve"> a strictly physiologically based </w:t>
      </w:r>
      <w:r w:rsidR="00B37350">
        <w:rPr>
          <w:rFonts w:ascii="Arial" w:hAnsi="Arial" w:cs="Arial"/>
          <w:sz w:val="24"/>
          <w:szCs w:val="24"/>
        </w:rPr>
        <w:t xml:space="preserve">(pathological) </w:t>
      </w:r>
      <w:r w:rsidR="003A57A0">
        <w:rPr>
          <w:rFonts w:ascii="Arial" w:hAnsi="Arial" w:cs="Arial"/>
          <w:sz w:val="24"/>
          <w:szCs w:val="24"/>
        </w:rPr>
        <w:t>definition;</w:t>
      </w:r>
      <w:r w:rsidR="00CC4B16">
        <w:rPr>
          <w:rFonts w:ascii="Arial" w:hAnsi="Arial" w:cs="Arial"/>
          <w:sz w:val="24"/>
          <w:szCs w:val="24"/>
        </w:rPr>
        <w:t xml:space="preserve"> illness is used to express a human’s ill health. In some </w:t>
      </w:r>
      <w:r w:rsidR="003A57A0">
        <w:rPr>
          <w:rFonts w:ascii="Arial" w:hAnsi="Arial" w:cs="Arial"/>
          <w:sz w:val="24"/>
          <w:szCs w:val="24"/>
        </w:rPr>
        <w:t>cases,</w:t>
      </w:r>
      <w:r w:rsidR="00CC4B16">
        <w:rPr>
          <w:rFonts w:ascii="Arial" w:hAnsi="Arial" w:cs="Arial"/>
          <w:sz w:val="24"/>
          <w:szCs w:val="24"/>
        </w:rPr>
        <w:t xml:space="preserve"> an individual could have a disease without symptoms, which would mean they are not ill (</w:t>
      </w:r>
      <w:r w:rsidR="00CC4B16" w:rsidRPr="00CC4B16">
        <w:rPr>
          <w:rFonts w:ascii="Arial" w:hAnsi="Arial" w:cs="Arial"/>
          <w:sz w:val="24"/>
          <w:szCs w:val="24"/>
        </w:rPr>
        <w:t xml:space="preserve">Farre </w:t>
      </w:r>
      <w:r w:rsidR="00CC4B16">
        <w:rPr>
          <w:rFonts w:ascii="Arial" w:hAnsi="Arial" w:cs="Arial"/>
          <w:sz w:val="24"/>
          <w:szCs w:val="24"/>
        </w:rPr>
        <w:t>and</w:t>
      </w:r>
      <w:r w:rsidR="00CC4B16" w:rsidRPr="00CC4B16">
        <w:rPr>
          <w:rFonts w:ascii="Arial" w:hAnsi="Arial" w:cs="Arial"/>
          <w:sz w:val="24"/>
          <w:szCs w:val="24"/>
        </w:rPr>
        <w:t xml:space="preserve"> Rapley, 2017</w:t>
      </w:r>
      <w:r w:rsidR="00CC4B16">
        <w:rPr>
          <w:rFonts w:ascii="Arial" w:hAnsi="Arial" w:cs="Arial"/>
          <w:sz w:val="24"/>
          <w:szCs w:val="24"/>
        </w:rPr>
        <w:t>).</w:t>
      </w:r>
    </w:p>
    <w:p w14:paraId="5F42BF5D" w14:textId="12FAF0E8" w:rsidR="003A57A0" w:rsidRDefault="003A57A0" w:rsidP="0095424B">
      <w:pPr>
        <w:spacing w:line="360" w:lineRule="auto"/>
        <w:rPr>
          <w:rFonts w:ascii="Arial" w:hAnsi="Arial" w:cs="Arial"/>
          <w:sz w:val="24"/>
          <w:szCs w:val="24"/>
        </w:rPr>
      </w:pPr>
      <w:r w:rsidRPr="003A57A0">
        <w:rPr>
          <w:rFonts w:ascii="Arial" w:hAnsi="Arial" w:cs="Arial"/>
          <w:sz w:val="24"/>
          <w:szCs w:val="24"/>
        </w:rPr>
        <w:t>A biomedical model is</w:t>
      </w:r>
      <w:r w:rsidR="00F50BEC">
        <w:rPr>
          <w:rFonts w:ascii="Arial" w:hAnsi="Arial" w:cs="Arial"/>
          <w:sz w:val="24"/>
          <w:szCs w:val="24"/>
        </w:rPr>
        <w:t xml:space="preserve"> used to understand normal and abnormal functions from gene to phenotype in a human biologic system, providing an understanding</w:t>
      </w:r>
      <w:r w:rsidRPr="003A57A0">
        <w:rPr>
          <w:rFonts w:ascii="Arial" w:hAnsi="Arial" w:cs="Arial"/>
          <w:sz w:val="24"/>
          <w:szCs w:val="24"/>
        </w:rPr>
        <w:t xml:space="preserve"> for preventive or therapeutic intervention in human diseases</w:t>
      </w:r>
      <w:r w:rsidR="00F50BEC">
        <w:rPr>
          <w:rFonts w:ascii="Arial" w:hAnsi="Arial" w:cs="Arial"/>
          <w:sz w:val="24"/>
          <w:szCs w:val="24"/>
        </w:rPr>
        <w:t xml:space="preserve"> </w:t>
      </w:r>
      <w:sdt>
        <w:sdtPr>
          <w:rPr>
            <w:rFonts w:ascii="Arial" w:hAnsi="Arial" w:cs="Arial"/>
            <w:sz w:val="24"/>
            <w:szCs w:val="24"/>
          </w:rPr>
          <w:id w:val="-246194821"/>
          <w:citation/>
        </w:sdtPr>
        <w:sdtEndPr/>
        <w:sdtContent>
          <w:r w:rsidR="00F50BEC">
            <w:rPr>
              <w:rFonts w:ascii="Arial" w:hAnsi="Arial" w:cs="Arial"/>
              <w:sz w:val="24"/>
              <w:szCs w:val="24"/>
            </w:rPr>
            <w:fldChar w:fldCharType="begin"/>
          </w:r>
          <w:r w:rsidR="00F50BEC">
            <w:rPr>
              <w:rFonts w:ascii="Arial" w:hAnsi="Arial" w:cs="Arial"/>
              <w:sz w:val="24"/>
              <w:szCs w:val="24"/>
            </w:rPr>
            <w:instrText xml:space="preserve"> CITATION Nat98 \l 2057 </w:instrText>
          </w:r>
          <w:r w:rsidR="00F50BEC">
            <w:rPr>
              <w:rFonts w:ascii="Arial" w:hAnsi="Arial" w:cs="Arial"/>
              <w:sz w:val="24"/>
              <w:szCs w:val="24"/>
            </w:rPr>
            <w:fldChar w:fldCharType="separate"/>
          </w:r>
          <w:r w:rsidR="00F50BEC" w:rsidRPr="00F50BEC">
            <w:rPr>
              <w:rFonts w:ascii="Arial" w:hAnsi="Arial" w:cs="Arial"/>
              <w:noProof/>
              <w:sz w:val="24"/>
              <w:szCs w:val="24"/>
            </w:rPr>
            <w:t>(National Research Council, 1998)</w:t>
          </w:r>
          <w:r w:rsidR="00F50BEC">
            <w:rPr>
              <w:rFonts w:ascii="Arial" w:hAnsi="Arial" w:cs="Arial"/>
              <w:sz w:val="24"/>
              <w:szCs w:val="24"/>
            </w:rPr>
            <w:fldChar w:fldCharType="end"/>
          </w:r>
        </w:sdtContent>
      </w:sdt>
      <w:r w:rsidR="00F50BEC">
        <w:rPr>
          <w:rFonts w:ascii="Arial" w:hAnsi="Arial" w:cs="Arial"/>
          <w:sz w:val="24"/>
          <w:szCs w:val="24"/>
        </w:rPr>
        <w:t>.</w:t>
      </w:r>
    </w:p>
    <w:p w14:paraId="3FF8B1F3" w14:textId="6E89E95E" w:rsidR="003D0A3C" w:rsidRDefault="003D0A3C" w:rsidP="0095424B">
      <w:pPr>
        <w:spacing w:line="360" w:lineRule="auto"/>
        <w:rPr>
          <w:rFonts w:ascii="Arial" w:hAnsi="Arial" w:cs="Arial"/>
          <w:sz w:val="24"/>
          <w:szCs w:val="24"/>
        </w:rPr>
      </w:pPr>
      <w:r>
        <w:rPr>
          <w:rFonts w:ascii="Arial" w:hAnsi="Arial" w:cs="Arial"/>
          <w:sz w:val="24"/>
          <w:szCs w:val="24"/>
        </w:rPr>
        <w:t xml:space="preserve">The traditional </w:t>
      </w:r>
      <w:r w:rsidR="00574996">
        <w:rPr>
          <w:rFonts w:ascii="Arial" w:hAnsi="Arial" w:cs="Arial"/>
          <w:sz w:val="24"/>
          <w:szCs w:val="24"/>
        </w:rPr>
        <w:t>medical model is based on lesion and symptom. There are four groups of patients distinguished within this idea.</w:t>
      </w:r>
    </w:p>
    <w:p w14:paraId="7D56641E" w14:textId="185D9494" w:rsidR="00574996" w:rsidRDefault="00574996" w:rsidP="0095424B">
      <w:pPr>
        <w:spacing w:line="360" w:lineRule="auto"/>
        <w:rPr>
          <w:rFonts w:ascii="Arial" w:hAnsi="Arial" w:cs="Arial"/>
          <w:sz w:val="24"/>
          <w:szCs w:val="24"/>
        </w:rPr>
      </w:pPr>
      <w:r>
        <w:rPr>
          <w:rFonts w:ascii="Arial" w:hAnsi="Arial" w:cs="Arial"/>
          <w:sz w:val="24"/>
          <w:szCs w:val="24"/>
        </w:rPr>
        <w:t>First group is people with symptoms due to a disease. This is dealt well by doctors</w:t>
      </w:r>
      <w:r w:rsidR="00B37350">
        <w:rPr>
          <w:rFonts w:ascii="Arial" w:hAnsi="Arial" w:cs="Arial"/>
          <w:sz w:val="24"/>
          <w:szCs w:val="24"/>
        </w:rPr>
        <w:t xml:space="preserve"> well</w:t>
      </w:r>
      <w:r>
        <w:rPr>
          <w:rFonts w:ascii="Arial" w:hAnsi="Arial" w:cs="Arial"/>
          <w:sz w:val="24"/>
          <w:szCs w:val="24"/>
        </w:rPr>
        <w:t xml:space="preserve">. The second group is the patients who have a disease, but they have no symptoms. Screening processes cover this territory. The third group is the people with no disease and no symptoms. In medicine, these are the healthy people. The fourth group consists of patients with symptoms and no disease. This group is the hardest to be dealt with. The symptoms are classified as syndromes such as schizophrenia, irritable bowel syndrome or depression </w:t>
      </w:r>
      <w:sdt>
        <w:sdtPr>
          <w:rPr>
            <w:rFonts w:ascii="Arial" w:hAnsi="Arial" w:cs="Arial"/>
            <w:sz w:val="24"/>
            <w:szCs w:val="24"/>
          </w:rPr>
          <w:id w:val="-143587695"/>
          <w:citation/>
        </w:sdtPr>
        <w:sdtEndPr/>
        <w:sdtContent>
          <w:r>
            <w:rPr>
              <w:rFonts w:ascii="Arial" w:hAnsi="Arial" w:cs="Arial"/>
              <w:sz w:val="24"/>
              <w:szCs w:val="24"/>
            </w:rPr>
            <w:fldChar w:fldCharType="begin"/>
          </w:r>
          <w:r>
            <w:rPr>
              <w:rFonts w:ascii="Arial" w:hAnsi="Arial" w:cs="Arial"/>
              <w:sz w:val="24"/>
              <w:szCs w:val="24"/>
            </w:rPr>
            <w:instrText xml:space="preserve"> CITATION Dav05 \l 2057 </w:instrText>
          </w:r>
          <w:r>
            <w:rPr>
              <w:rFonts w:ascii="Arial" w:hAnsi="Arial" w:cs="Arial"/>
              <w:sz w:val="24"/>
              <w:szCs w:val="24"/>
            </w:rPr>
            <w:fldChar w:fldCharType="separate"/>
          </w:r>
          <w:r w:rsidRPr="00574996">
            <w:rPr>
              <w:rFonts w:ascii="Arial" w:hAnsi="Arial" w:cs="Arial"/>
              <w:noProof/>
              <w:sz w:val="24"/>
              <w:szCs w:val="24"/>
            </w:rPr>
            <w:t>(Davies, 2005)</w:t>
          </w:r>
          <w:r>
            <w:rPr>
              <w:rFonts w:ascii="Arial" w:hAnsi="Arial" w:cs="Arial"/>
              <w:sz w:val="24"/>
              <w:szCs w:val="24"/>
            </w:rPr>
            <w:fldChar w:fldCharType="end"/>
          </w:r>
        </w:sdtContent>
      </w:sdt>
      <w:r>
        <w:rPr>
          <w:rFonts w:ascii="Arial" w:hAnsi="Arial" w:cs="Arial"/>
          <w:sz w:val="24"/>
          <w:szCs w:val="24"/>
        </w:rPr>
        <w:t xml:space="preserve">. </w:t>
      </w:r>
    </w:p>
    <w:p w14:paraId="3452F4B8" w14:textId="6DD75F22" w:rsidR="00C57B06" w:rsidRDefault="00C57B06" w:rsidP="0095424B">
      <w:pPr>
        <w:spacing w:line="360" w:lineRule="auto"/>
        <w:rPr>
          <w:rFonts w:ascii="Arial" w:hAnsi="Arial" w:cs="Arial"/>
          <w:sz w:val="24"/>
          <w:szCs w:val="24"/>
        </w:rPr>
      </w:pPr>
      <w:r>
        <w:rPr>
          <w:rFonts w:ascii="Arial" w:hAnsi="Arial" w:cs="Arial"/>
          <w:sz w:val="24"/>
          <w:szCs w:val="24"/>
        </w:rPr>
        <w:t xml:space="preserve">The biomedical model of illness, dominating the past century cannot sufficiently explain many forms of illness. The biomedical model is formed by three assumptions: </w:t>
      </w:r>
    </w:p>
    <w:p w14:paraId="7A698812" w14:textId="77E3BD31" w:rsidR="00C57B06" w:rsidRPr="00C57B06" w:rsidRDefault="00C57B06" w:rsidP="00C57B06">
      <w:pPr>
        <w:pStyle w:val="ListParagraph"/>
        <w:numPr>
          <w:ilvl w:val="0"/>
          <w:numId w:val="2"/>
        </w:numPr>
        <w:spacing w:line="360" w:lineRule="auto"/>
        <w:rPr>
          <w:rFonts w:ascii="Arial" w:hAnsi="Arial" w:cs="Arial"/>
          <w:sz w:val="24"/>
          <w:szCs w:val="24"/>
        </w:rPr>
      </w:pPr>
      <w:r w:rsidRPr="00C57B06">
        <w:rPr>
          <w:rFonts w:ascii="Arial" w:hAnsi="Arial" w:cs="Arial"/>
          <w:sz w:val="24"/>
          <w:szCs w:val="24"/>
        </w:rPr>
        <w:t>Illness has a single underlaying cause</w:t>
      </w:r>
      <w:r w:rsidR="00D17AB3">
        <w:rPr>
          <w:rFonts w:ascii="Arial" w:hAnsi="Arial" w:cs="Arial"/>
          <w:sz w:val="24"/>
          <w:szCs w:val="24"/>
        </w:rPr>
        <w:t>,</w:t>
      </w:r>
    </w:p>
    <w:p w14:paraId="1A3F4CF6" w14:textId="76DE0BA4" w:rsidR="00C57B06" w:rsidRPr="00C57B06" w:rsidRDefault="00C57B06" w:rsidP="00C57B06">
      <w:pPr>
        <w:pStyle w:val="ListParagraph"/>
        <w:numPr>
          <w:ilvl w:val="0"/>
          <w:numId w:val="2"/>
        </w:numPr>
        <w:spacing w:line="360" w:lineRule="auto"/>
        <w:rPr>
          <w:rFonts w:ascii="Arial" w:hAnsi="Arial" w:cs="Arial"/>
          <w:sz w:val="24"/>
          <w:szCs w:val="24"/>
        </w:rPr>
      </w:pPr>
      <w:r w:rsidRPr="00C57B06">
        <w:rPr>
          <w:rFonts w:ascii="Arial" w:hAnsi="Arial" w:cs="Arial"/>
          <w:sz w:val="24"/>
          <w:szCs w:val="24"/>
        </w:rPr>
        <w:t>Disease is always the single cause</w:t>
      </w:r>
      <w:r w:rsidR="00D17AB3">
        <w:rPr>
          <w:rFonts w:ascii="Arial" w:hAnsi="Arial" w:cs="Arial"/>
          <w:sz w:val="24"/>
          <w:szCs w:val="24"/>
        </w:rPr>
        <w:t>,</w:t>
      </w:r>
    </w:p>
    <w:p w14:paraId="36908FF0" w14:textId="5919B1FA" w:rsidR="00C57B06" w:rsidRDefault="00C57B06" w:rsidP="00C57B06">
      <w:pPr>
        <w:pStyle w:val="ListParagraph"/>
        <w:numPr>
          <w:ilvl w:val="0"/>
          <w:numId w:val="2"/>
        </w:numPr>
        <w:spacing w:line="360" w:lineRule="auto"/>
        <w:rPr>
          <w:rFonts w:ascii="Arial" w:hAnsi="Arial" w:cs="Arial"/>
          <w:sz w:val="24"/>
          <w:szCs w:val="24"/>
        </w:rPr>
      </w:pPr>
      <w:r w:rsidRPr="00C57B06">
        <w:rPr>
          <w:rFonts w:ascii="Arial" w:hAnsi="Arial" w:cs="Arial"/>
          <w:sz w:val="24"/>
          <w:szCs w:val="24"/>
        </w:rPr>
        <w:t>Removal of the disease results in a return of health</w:t>
      </w:r>
      <w:r w:rsidR="00D17AB3">
        <w:rPr>
          <w:rFonts w:ascii="Arial" w:hAnsi="Arial" w:cs="Arial"/>
          <w:sz w:val="24"/>
          <w:szCs w:val="24"/>
        </w:rPr>
        <w:t>.</w:t>
      </w:r>
    </w:p>
    <w:p w14:paraId="49CDB736" w14:textId="77777777" w:rsidR="00B37350" w:rsidRPr="00B37350" w:rsidRDefault="00B37350" w:rsidP="00B37350">
      <w:pPr>
        <w:spacing w:line="360" w:lineRule="auto"/>
        <w:rPr>
          <w:rFonts w:ascii="Arial" w:hAnsi="Arial" w:cs="Arial"/>
          <w:sz w:val="24"/>
          <w:szCs w:val="24"/>
        </w:rPr>
      </w:pPr>
    </w:p>
    <w:p w14:paraId="7B7D2BF0" w14:textId="4ACDF0D0" w:rsidR="00C57B06" w:rsidRDefault="00C57B06" w:rsidP="00C57B06">
      <w:pPr>
        <w:spacing w:line="360" w:lineRule="auto"/>
        <w:rPr>
          <w:rFonts w:ascii="Arial" w:hAnsi="Arial" w:cs="Arial"/>
          <w:sz w:val="24"/>
          <w:szCs w:val="24"/>
        </w:rPr>
      </w:pPr>
      <w:r>
        <w:rPr>
          <w:rFonts w:ascii="Arial" w:hAnsi="Arial" w:cs="Arial"/>
          <w:sz w:val="24"/>
          <w:szCs w:val="24"/>
        </w:rPr>
        <w:t xml:space="preserve">There are documented instances of illnesses without a definable cause, however, can be upsetting for patients to know that they have an illness without a disease and would </w:t>
      </w:r>
      <w:r w:rsidR="00D17AB3">
        <w:rPr>
          <w:rFonts w:ascii="Arial" w:hAnsi="Arial" w:cs="Arial"/>
          <w:sz w:val="24"/>
          <w:szCs w:val="24"/>
        </w:rPr>
        <w:t xml:space="preserve">make healthcare more difficult, not knowing the exact reason for illness. Most biomedical models seem to be linked to intuitive mind-body dualism. </w:t>
      </w:r>
    </w:p>
    <w:p w14:paraId="599C48BB" w14:textId="4A1848C9" w:rsidR="00D17AB3" w:rsidRPr="00C57B06" w:rsidRDefault="00D17AB3" w:rsidP="00C57B06">
      <w:pPr>
        <w:spacing w:line="360" w:lineRule="auto"/>
        <w:rPr>
          <w:rFonts w:ascii="Arial" w:hAnsi="Arial" w:cs="Arial"/>
          <w:sz w:val="24"/>
          <w:szCs w:val="24"/>
        </w:rPr>
      </w:pPr>
      <w:r>
        <w:rPr>
          <w:rFonts w:ascii="Arial" w:hAnsi="Arial" w:cs="Arial"/>
          <w:sz w:val="24"/>
          <w:szCs w:val="24"/>
        </w:rPr>
        <w:t>Two main factors contributed to develop a new model. Firstly</w:t>
      </w:r>
      <w:r w:rsidR="00B37350">
        <w:rPr>
          <w:rFonts w:ascii="Arial" w:hAnsi="Arial" w:cs="Arial"/>
          <w:sz w:val="24"/>
          <w:szCs w:val="24"/>
        </w:rPr>
        <w:t>,</w:t>
      </w:r>
      <w:r>
        <w:rPr>
          <w:rFonts w:ascii="Arial" w:hAnsi="Arial" w:cs="Arial"/>
          <w:sz w:val="24"/>
          <w:szCs w:val="24"/>
        </w:rPr>
        <w:t xml:space="preserve"> the World Health Organisation’s (WHO) classification of impairment, disability</w:t>
      </w:r>
      <w:r w:rsidR="00B37350">
        <w:rPr>
          <w:rFonts w:ascii="Arial" w:hAnsi="Arial" w:cs="Arial"/>
          <w:sz w:val="24"/>
          <w:szCs w:val="24"/>
        </w:rPr>
        <w:t>,</w:t>
      </w:r>
      <w:r>
        <w:rPr>
          <w:rFonts w:ascii="Arial" w:hAnsi="Arial" w:cs="Arial"/>
          <w:sz w:val="24"/>
          <w:szCs w:val="24"/>
        </w:rPr>
        <w:t xml:space="preserve"> and handicap, secondly, a system analytical approach to illness has been recognised </w:t>
      </w:r>
      <w:r w:rsidRPr="00D17AB3">
        <w:rPr>
          <w:rFonts w:ascii="Arial" w:hAnsi="Arial" w:cs="Arial"/>
          <w:sz w:val="24"/>
          <w:szCs w:val="24"/>
        </w:rPr>
        <w:t xml:space="preserve">(Wade </w:t>
      </w:r>
      <w:r>
        <w:rPr>
          <w:rFonts w:ascii="Arial" w:hAnsi="Arial" w:cs="Arial"/>
          <w:sz w:val="24"/>
          <w:szCs w:val="24"/>
        </w:rPr>
        <w:t>and</w:t>
      </w:r>
      <w:r w:rsidRPr="00D17AB3">
        <w:rPr>
          <w:rFonts w:ascii="Arial" w:hAnsi="Arial" w:cs="Arial"/>
          <w:sz w:val="24"/>
          <w:szCs w:val="24"/>
        </w:rPr>
        <w:t xml:space="preserve"> Halligan, 2004)</w:t>
      </w:r>
      <w:r>
        <w:rPr>
          <w:rFonts w:ascii="Arial" w:hAnsi="Arial" w:cs="Arial"/>
          <w:sz w:val="24"/>
          <w:szCs w:val="24"/>
        </w:rPr>
        <w:t>.</w:t>
      </w:r>
    </w:p>
    <w:p w14:paraId="7965EED4" w14:textId="39A20E27" w:rsidR="00F50BEC" w:rsidRDefault="00F50BEC" w:rsidP="0095424B">
      <w:pPr>
        <w:spacing w:line="360" w:lineRule="auto"/>
        <w:rPr>
          <w:rFonts w:ascii="Arial" w:hAnsi="Arial" w:cs="Arial"/>
          <w:sz w:val="24"/>
          <w:szCs w:val="24"/>
        </w:rPr>
      </w:pPr>
    </w:p>
    <w:p w14:paraId="1905CAEF" w14:textId="49D1EB8C" w:rsidR="004568ED" w:rsidRDefault="004568ED" w:rsidP="0095424B">
      <w:pPr>
        <w:spacing w:line="360" w:lineRule="auto"/>
        <w:rPr>
          <w:rFonts w:ascii="Arial" w:hAnsi="Arial" w:cs="Arial"/>
          <w:sz w:val="24"/>
          <w:szCs w:val="24"/>
        </w:rPr>
      </w:pPr>
    </w:p>
    <w:p w14:paraId="154635B9" w14:textId="72858B91" w:rsidR="004568ED" w:rsidRDefault="004568ED" w:rsidP="0095424B">
      <w:pPr>
        <w:spacing w:line="360" w:lineRule="auto"/>
        <w:rPr>
          <w:rFonts w:ascii="Arial" w:hAnsi="Arial" w:cs="Arial"/>
          <w:sz w:val="24"/>
          <w:szCs w:val="24"/>
        </w:rPr>
      </w:pPr>
    </w:p>
    <w:p w14:paraId="08483FCD" w14:textId="0E5AB8CC" w:rsidR="004568ED" w:rsidRDefault="004568ED" w:rsidP="0095424B">
      <w:pPr>
        <w:spacing w:line="360" w:lineRule="auto"/>
        <w:rPr>
          <w:rFonts w:ascii="Arial" w:hAnsi="Arial" w:cs="Arial"/>
          <w:sz w:val="24"/>
          <w:szCs w:val="24"/>
        </w:rPr>
      </w:pPr>
    </w:p>
    <w:p w14:paraId="49702CF2" w14:textId="6B39393F" w:rsidR="004568ED" w:rsidRDefault="004568ED" w:rsidP="0095424B">
      <w:pPr>
        <w:spacing w:line="360" w:lineRule="auto"/>
        <w:rPr>
          <w:rFonts w:ascii="Arial" w:hAnsi="Arial" w:cs="Arial"/>
          <w:sz w:val="24"/>
          <w:szCs w:val="24"/>
        </w:rPr>
      </w:pPr>
    </w:p>
    <w:p w14:paraId="0D56068C" w14:textId="4F9FE077" w:rsidR="004568ED" w:rsidRDefault="004568ED" w:rsidP="0095424B">
      <w:pPr>
        <w:spacing w:line="360" w:lineRule="auto"/>
        <w:rPr>
          <w:rFonts w:ascii="Arial" w:hAnsi="Arial" w:cs="Arial"/>
          <w:sz w:val="24"/>
          <w:szCs w:val="24"/>
        </w:rPr>
      </w:pPr>
    </w:p>
    <w:p w14:paraId="43731A9C" w14:textId="4AF0D62D" w:rsidR="004568ED" w:rsidRDefault="004568ED" w:rsidP="0095424B">
      <w:pPr>
        <w:spacing w:line="360" w:lineRule="auto"/>
        <w:rPr>
          <w:rFonts w:ascii="Arial" w:hAnsi="Arial" w:cs="Arial"/>
          <w:sz w:val="24"/>
          <w:szCs w:val="24"/>
        </w:rPr>
      </w:pPr>
    </w:p>
    <w:p w14:paraId="14556939" w14:textId="2AEBC2C0" w:rsidR="004568ED" w:rsidRDefault="004568ED" w:rsidP="0095424B">
      <w:pPr>
        <w:spacing w:line="360" w:lineRule="auto"/>
        <w:rPr>
          <w:rFonts w:ascii="Arial" w:hAnsi="Arial" w:cs="Arial"/>
          <w:sz w:val="24"/>
          <w:szCs w:val="24"/>
        </w:rPr>
      </w:pPr>
    </w:p>
    <w:p w14:paraId="319B18FE" w14:textId="261A8890" w:rsidR="00314736" w:rsidRDefault="00314736" w:rsidP="0095424B">
      <w:pPr>
        <w:spacing w:line="360" w:lineRule="auto"/>
        <w:rPr>
          <w:rFonts w:ascii="Arial" w:hAnsi="Arial" w:cs="Arial"/>
          <w:sz w:val="24"/>
          <w:szCs w:val="24"/>
        </w:rPr>
      </w:pPr>
    </w:p>
    <w:p w14:paraId="62F5D04E" w14:textId="77777777" w:rsidR="00314736" w:rsidRDefault="00314736" w:rsidP="0095424B">
      <w:pPr>
        <w:spacing w:line="360" w:lineRule="auto"/>
        <w:rPr>
          <w:rFonts w:ascii="Arial" w:hAnsi="Arial" w:cs="Arial"/>
          <w:sz w:val="24"/>
          <w:szCs w:val="24"/>
        </w:rPr>
      </w:pPr>
    </w:p>
    <w:p w14:paraId="4420BBFC" w14:textId="6AB89220" w:rsidR="00F50BEC" w:rsidRPr="003D0A3C" w:rsidRDefault="00F50BEC" w:rsidP="003D0A3C">
      <w:pPr>
        <w:pStyle w:val="Heading1"/>
        <w:rPr>
          <w:rFonts w:ascii="Arial" w:hAnsi="Arial" w:cs="Arial"/>
        </w:rPr>
      </w:pPr>
      <w:bookmarkStart w:id="3" w:name="_Toc66197755"/>
      <w:r w:rsidRPr="003D0A3C">
        <w:rPr>
          <w:rFonts w:ascii="Arial" w:hAnsi="Arial" w:cs="Arial"/>
        </w:rPr>
        <w:t>Biopsychosocial model</w:t>
      </w:r>
      <w:bookmarkEnd w:id="3"/>
    </w:p>
    <w:p w14:paraId="45CAD1A2" w14:textId="77777777" w:rsidR="00F50BEC" w:rsidRDefault="00F50BEC" w:rsidP="0095424B">
      <w:pPr>
        <w:spacing w:line="360" w:lineRule="auto"/>
        <w:rPr>
          <w:rFonts w:ascii="Arial" w:hAnsi="Arial" w:cs="Arial"/>
          <w:sz w:val="24"/>
          <w:szCs w:val="24"/>
        </w:rPr>
      </w:pPr>
    </w:p>
    <w:p w14:paraId="6236ED94" w14:textId="728F0B91" w:rsidR="0095424B" w:rsidRDefault="003A57A0" w:rsidP="0095424B">
      <w:pPr>
        <w:spacing w:line="360" w:lineRule="auto"/>
        <w:rPr>
          <w:rFonts w:ascii="Arial" w:hAnsi="Arial" w:cs="Arial"/>
          <w:sz w:val="24"/>
          <w:szCs w:val="24"/>
        </w:rPr>
      </w:pPr>
      <w:r>
        <w:rPr>
          <w:rFonts w:ascii="Arial" w:hAnsi="Arial" w:cs="Arial"/>
          <w:sz w:val="24"/>
          <w:szCs w:val="24"/>
        </w:rPr>
        <w:t xml:space="preserve">George L Engel has questioned the dominancy of biomedical model, and he called out for a new model to accompany the biomedical model outlining the limitations of such approach. He called it biopsychosocial model </w:t>
      </w:r>
      <w:sdt>
        <w:sdtPr>
          <w:rPr>
            <w:rFonts w:ascii="Arial" w:hAnsi="Arial" w:cs="Arial"/>
            <w:sz w:val="24"/>
            <w:szCs w:val="24"/>
          </w:rPr>
          <w:id w:val="-1247423412"/>
          <w:citation/>
        </w:sdtPr>
        <w:sdtEndPr/>
        <w:sdtContent>
          <w:r>
            <w:rPr>
              <w:rFonts w:ascii="Arial" w:hAnsi="Arial" w:cs="Arial"/>
              <w:sz w:val="24"/>
              <w:szCs w:val="24"/>
            </w:rPr>
            <w:fldChar w:fldCharType="begin"/>
          </w:r>
          <w:r>
            <w:rPr>
              <w:rFonts w:ascii="Arial" w:hAnsi="Arial" w:cs="Arial"/>
              <w:sz w:val="24"/>
              <w:szCs w:val="24"/>
            </w:rPr>
            <w:instrText xml:space="preserve"> CITATION Eng77 \l 2057 </w:instrText>
          </w:r>
          <w:r>
            <w:rPr>
              <w:rFonts w:ascii="Arial" w:hAnsi="Arial" w:cs="Arial"/>
              <w:sz w:val="24"/>
              <w:szCs w:val="24"/>
            </w:rPr>
            <w:fldChar w:fldCharType="separate"/>
          </w:r>
          <w:r w:rsidRPr="003A57A0">
            <w:rPr>
              <w:rFonts w:ascii="Arial" w:hAnsi="Arial" w:cs="Arial"/>
              <w:noProof/>
              <w:sz w:val="24"/>
              <w:szCs w:val="24"/>
            </w:rPr>
            <w:t>(Engel, 1977)</w:t>
          </w:r>
          <w:r>
            <w:rPr>
              <w:rFonts w:ascii="Arial" w:hAnsi="Arial" w:cs="Arial"/>
              <w:sz w:val="24"/>
              <w:szCs w:val="24"/>
            </w:rPr>
            <w:fldChar w:fldCharType="end"/>
          </w:r>
        </w:sdtContent>
      </w:sdt>
      <w:r>
        <w:rPr>
          <w:rFonts w:ascii="Arial" w:hAnsi="Arial" w:cs="Arial"/>
          <w:sz w:val="24"/>
          <w:szCs w:val="24"/>
        </w:rPr>
        <w:t>.</w:t>
      </w:r>
    </w:p>
    <w:p w14:paraId="74BBBE5F" w14:textId="77777777" w:rsidR="00DA6B3E" w:rsidRDefault="00DA6B3E" w:rsidP="0095424B">
      <w:pPr>
        <w:spacing w:line="360" w:lineRule="auto"/>
        <w:rPr>
          <w:rFonts w:ascii="Arial" w:hAnsi="Arial" w:cs="Arial"/>
          <w:sz w:val="24"/>
          <w:szCs w:val="24"/>
        </w:rPr>
      </w:pPr>
    </w:p>
    <w:p w14:paraId="5452DB9B" w14:textId="3BAEBAEC" w:rsidR="00F50BEC" w:rsidRDefault="00F50BEC" w:rsidP="00DA6B3E">
      <w:pPr>
        <w:spacing w:line="360" w:lineRule="auto"/>
        <w:jc w:val="center"/>
        <w:rPr>
          <w:rFonts w:ascii="Arial" w:hAnsi="Arial" w:cs="Arial"/>
          <w:sz w:val="24"/>
          <w:szCs w:val="24"/>
        </w:rPr>
      </w:pPr>
      <w:r w:rsidRPr="00F50BEC">
        <w:rPr>
          <w:rFonts w:ascii="Arial" w:hAnsi="Arial" w:cs="Arial"/>
          <w:noProof/>
          <w:sz w:val="24"/>
          <w:szCs w:val="24"/>
        </w:rPr>
        <w:drawing>
          <wp:inline distT="0" distB="0" distL="0" distR="0" wp14:anchorId="5CA23FF2" wp14:editId="577C14C2">
            <wp:extent cx="5306165" cy="4496427"/>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6165" cy="4496427"/>
                    </a:xfrm>
                    <a:prstGeom prst="rect">
                      <a:avLst/>
                    </a:prstGeom>
                  </pic:spPr>
                </pic:pic>
              </a:graphicData>
            </a:graphic>
          </wp:inline>
        </w:drawing>
      </w:r>
    </w:p>
    <w:p w14:paraId="3945CAA0" w14:textId="1931E61F" w:rsidR="00DA6B3E" w:rsidRPr="004568ED" w:rsidRDefault="00DA6B3E" w:rsidP="00DA6B3E">
      <w:pPr>
        <w:spacing w:line="360" w:lineRule="auto"/>
        <w:jc w:val="both"/>
        <w:rPr>
          <w:rFonts w:ascii="Arial" w:hAnsi="Arial" w:cs="Arial"/>
          <w:sz w:val="22"/>
          <w:szCs w:val="22"/>
        </w:rPr>
      </w:pPr>
      <w:r w:rsidRPr="004568ED">
        <w:rPr>
          <w:rFonts w:ascii="Arial" w:hAnsi="Arial" w:cs="Arial"/>
          <w:sz w:val="22"/>
          <w:szCs w:val="22"/>
        </w:rPr>
        <w:t>Figure 1. Schematic representation of the hierarchy and continuum of natural systems as applicable to Engel’s definition of the biopsychosocial model—adapted from ‘The clinical application of the biopsychosocial model’ (Farre and Rapley, 2017)</w:t>
      </w:r>
      <w:r w:rsidR="00D07D4F" w:rsidRPr="004568ED">
        <w:rPr>
          <w:rFonts w:ascii="Arial" w:hAnsi="Arial" w:cs="Arial"/>
          <w:sz w:val="22"/>
          <w:szCs w:val="22"/>
        </w:rPr>
        <w:t>.</w:t>
      </w:r>
    </w:p>
    <w:p w14:paraId="2A55EF5B" w14:textId="77777777" w:rsidR="00AE4927" w:rsidRDefault="00AE4927" w:rsidP="00DA6B3E">
      <w:pPr>
        <w:spacing w:line="360" w:lineRule="auto"/>
        <w:jc w:val="both"/>
        <w:rPr>
          <w:rFonts w:ascii="Arial" w:hAnsi="Arial" w:cs="Arial"/>
          <w:sz w:val="24"/>
          <w:szCs w:val="24"/>
        </w:rPr>
      </w:pPr>
    </w:p>
    <w:p w14:paraId="1CAFD124" w14:textId="6239759E" w:rsidR="00816305" w:rsidRPr="0095424B" w:rsidRDefault="00DF5A83" w:rsidP="00314736">
      <w:pPr>
        <w:spacing w:line="360" w:lineRule="auto"/>
        <w:jc w:val="both"/>
        <w:rPr>
          <w:rFonts w:ascii="Arial" w:hAnsi="Arial" w:cs="Arial"/>
          <w:sz w:val="24"/>
          <w:szCs w:val="24"/>
        </w:rPr>
      </w:pPr>
      <w:r>
        <w:rPr>
          <w:rFonts w:ascii="Arial" w:hAnsi="Arial" w:cs="Arial"/>
          <w:sz w:val="24"/>
          <w:szCs w:val="24"/>
        </w:rPr>
        <w:t xml:space="preserve">Engel criticised the separation of body and mind in medicine. His research pointed towards a more </w:t>
      </w:r>
      <w:r w:rsidR="004E79CD">
        <w:rPr>
          <w:rFonts w:ascii="Arial" w:hAnsi="Arial" w:cs="Arial"/>
          <w:sz w:val="24"/>
          <w:szCs w:val="24"/>
        </w:rPr>
        <w:t>consolidative</w:t>
      </w:r>
      <w:r>
        <w:rPr>
          <w:rFonts w:ascii="Arial" w:hAnsi="Arial" w:cs="Arial"/>
          <w:sz w:val="24"/>
          <w:szCs w:val="24"/>
        </w:rPr>
        <w:t xml:space="preserve"> view, showing that emotions can have effect on the whole organism in a human body. Secondly, he criticised the ignorance of anything that could not be explained at the level of cellular and molecular processes. His third argument was that a system cannot be understood from inside, without disturbing the whole system in some way </w:t>
      </w:r>
      <w:r w:rsidR="0026001E">
        <w:rPr>
          <w:rFonts w:ascii="Arial" w:hAnsi="Arial" w:cs="Arial"/>
          <w:sz w:val="24"/>
          <w:szCs w:val="24"/>
        </w:rPr>
        <w:t>(</w:t>
      </w:r>
      <w:r w:rsidR="0026001E" w:rsidRPr="0026001E">
        <w:rPr>
          <w:rFonts w:ascii="Arial" w:hAnsi="Arial" w:cs="Arial"/>
          <w:sz w:val="24"/>
          <w:szCs w:val="24"/>
        </w:rPr>
        <w:t>Borrell-Carrió, Suchman</w:t>
      </w:r>
      <w:r w:rsidR="0026001E">
        <w:rPr>
          <w:rFonts w:ascii="Arial" w:hAnsi="Arial" w:cs="Arial"/>
          <w:sz w:val="24"/>
          <w:szCs w:val="24"/>
        </w:rPr>
        <w:t xml:space="preserve"> and</w:t>
      </w:r>
      <w:r w:rsidR="0026001E" w:rsidRPr="0026001E">
        <w:rPr>
          <w:rFonts w:ascii="Arial" w:hAnsi="Arial" w:cs="Arial"/>
          <w:sz w:val="24"/>
          <w:szCs w:val="24"/>
        </w:rPr>
        <w:t xml:space="preserve"> Epstein, 2004)</w:t>
      </w:r>
      <w:r w:rsidR="0026001E">
        <w:rPr>
          <w:rFonts w:ascii="Arial" w:hAnsi="Arial" w:cs="Arial"/>
          <w:sz w:val="24"/>
          <w:szCs w:val="24"/>
        </w:rPr>
        <w:t>.</w:t>
      </w:r>
    </w:p>
    <w:p w14:paraId="2AF68144" w14:textId="61BF886F" w:rsidR="00AC7FCC" w:rsidRDefault="00164591" w:rsidP="008F7F25">
      <w:pPr>
        <w:pStyle w:val="Heading2"/>
        <w:jc w:val="both"/>
        <w:rPr>
          <w:rFonts w:ascii="Arial" w:hAnsi="Arial" w:cs="Arial"/>
          <w:sz w:val="24"/>
          <w:szCs w:val="24"/>
        </w:rPr>
      </w:pPr>
      <w:bookmarkStart w:id="4" w:name="_Toc66197756"/>
      <w:r w:rsidRPr="009B2389">
        <w:rPr>
          <w:rFonts w:ascii="Arial" w:hAnsi="Arial" w:cs="Arial"/>
          <w:sz w:val="24"/>
          <w:szCs w:val="24"/>
        </w:rPr>
        <w:t>Individual circumstances</w:t>
      </w:r>
      <w:bookmarkEnd w:id="4"/>
    </w:p>
    <w:p w14:paraId="0BE200DD" w14:textId="1AEF2D60" w:rsidR="009B2389" w:rsidRDefault="009B2389" w:rsidP="005E2A58">
      <w:pPr>
        <w:spacing w:line="360" w:lineRule="auto"/>
        <w:jc w:val="both"/>
      </w:pPr>
    </w:p>
    <w:p w14:paraId="18437200" w14:textId="77777777" w:rsidR="005E2A58" w:rsidRDefault="005E2A58" w:rsidP="005E2A58">
      <w:pPr>
        <w:spacing w:line="360" w:lineRule="auto"/>
        <w:jc w:val="both"/>
      </w:pPr>
    </w:p>
    <w:p w14:paraId="61CEBFDC" w14:textId="5162271B" w:rsidR="004568ED" w:rsidRDefault="005E2A58" w:rsidP="004568ED">
      <w:pPr>
        <w:spacing w:line="360" w:lineRule="auto"/>
        <w:jc w:val="both"/>
        <w:rPr>
          <w:rFonts w:ascii="Arial" w:hAnsi="Arial" w:cs="Arial"/>
          <w:sz w:val="24"/>
          <w:szCs w:val="24"/>
        </w:rPr>
      </w:pPr>
      <w:r w:rsidRPr="005E2A58">
        <w:rPr>
          <w:rFonts w:ascii="Arial" w:hAnsi="Arial" w:cs="Arial"/>
          <w:sz w:val="24"/>
          <w:szCs w:val="24"/>
        </w:rPr>
        <w:t>The life expectancy gap between the most and least deprived parts of the United Kingdom is 19 years. The index of multiple deprivation includes housing, employment</w:t>
      </w:r>
      <w:r w:rsidR="004E79CD">
        <w:rPr>
          <w:rFonts w:ascii="Arial" w:hAnsi="Arial" w:cs="Arial"/>
          <w:sz w:val="24"/>
          <w:szCs w:val="24"/>
        </w:rPr>
        <w:t>,</w:t>
      </w:r>
      <w:r w:rsidRPr="005E2A58">
        <w:rPr>
          <w:rFonts w:ascii="Arial" w:hAnsi="Arial" w:cs="Arial"/>
          <w:sz w:val="24"/>
          <w:szCs w:val="24"/>
        </w:rPr>
        <w:t xml:space="preserve"> and education as well as poverty, and all of these are contributors to health. </w:t>
      </w:r>
      <w:r>
        <w:rPr>
          <w:rFonts w:ascii="Arial" w:hAnsi="Arial" w:cs="Arial"/>
          <w:sz w:val="24"/>
          <w:szCs w:val="24"/>
        </w:rPr>
        <w:t>An adequate income helps people feel in control and adopt and maintain healthy behaviours. Through this mechanism, people can access meaningful work, secure housing, financial safety net and high self-esteem. All these affect long-term physical and mental health. Tackling poverty requires a series of actions. Education and skills, well</w:t>
      </w:r>
      <w:r w:rsidR="004568ED">
        <w:rPr>
          <w:rFonts w:ascii="Arial" w:hAnsi="Arial" w:cs="Arial"/>
          <w:sz w:val="24"/>
          <w:szCs w:val="24"/>
        </w:rPr>
        <w:t>-</w:t>
      </w:r>
      <w:r>
        <w:rPr>
          <w:rFonts w:ascii="Arial" w:hAnsi="Arial" w:cs="Arial"/>
          <w:sz w:val="24"/>
          <w:szCs w:val="24"/>
        </w:rPr>
        <w:t xml:space="preserve">built benefit system, debt support and good work are all contributing towards a healthy living </w:t>
      </w:r>
      <w:sdt>
        <w:sdtPr>
          <w:rPr>
            <w:rFonts w:ascii="Arial" w:hAnsi="Arial" w:cs="Arial"/>
            <w:sz w:val="24"/>
            <w:szCs w:val="24"/>
          </w:rPr>
          <w:id w:val="-1994944443"/>
          <w:citation/>
        </w:sdtPr>
        <w:sdtEndPr/>
        <w:sdtContent>
          <w:r>
            <w:rPr>
              <w:rFonts w:ascii="Arial" w:hAnsi="Arial" w:cs="Arial"/>
              <w:sz w:val="24"/>
              <w:szCs w:val="24"/>
            </w:rPr>
            <w:fldChar w:fldCharType="begin"/>
          </w:r>
          <w:r>
            <w:rPr>
              <w:rFonts w:ascii="Arial" w:hAnsi="Arial" w:cs="Arial"/>
              <w:sz w:val="24"/>
              <w:szCs w:val="24"/>
            </w:rPr>
            <w:instrText xml:space="preserve"> CITATION Law18 \l 2057 </w:instrText>
          </w:r>
          <w:r>
            <w:rPr>
              <w:rFonts w:ascii="Arial" w:hAnsi="Arial" w:cs="Arial"/>
              <w:sz w:val="24"/>
              <w:szCs w:val="24"/>
            </w:rPr>
            <w:fldChar w:fldCharType="separate"/>
          </w:r>
          <w:r w:rsidRPr="005E2A58">
            <w:rPr>
              <w:rFonts w:ascii="Arial" w:hAnsi="Arial" w:cs="Arial"/>
              <w:noProof/>
              <w:sz w:val="24"/>
              <w:szCs w:val="24"/>
            </w:rPr>
            <w:t>(Lawson, 2018)</w:t>
          </w:r>
          <w:r>
            <w:rPr>
              <w:rFonts w:ascii="Arial" w:hAnsi="Arial" w:cs="Arial"/>
              <w:sz w:val="24"/>
              <w:szCs w:val="24"/>
            </w:rPr>
            <w:fldChar w:fldCharType="end"/>
          </w:r>
        </w:sdtContent>
      </w:sdt>
      <w:r w:rsidR="004568ED">
        <w:rPr>
          <w:rFonts w:ascii="Arial" w:hAnsi="Arial" w:cs="Arial"/>
          <w:sz w:val="24"/>
          <w:szCs w:val="24"/>
        </w:rPr>
        <w:t xml:space="preserve">. </w:t>
      </w:r>
    </w:p>
    <w:p w14:paraId="57E107CB" w14:textId="16CA1686" w:rsidR="009B2389" w:rsidRDefault="005B2BAF" w:rsidP="004568ED">
      <w:pPr>
        <w:spacing w:line="360" w:lineRule="auto"/>
        <w:jc w:val="both"/>
        <w:rPr>
          <w:rFonts w:ascii="Arial" w:hAnsi="Arial" w:cs="Arial"/>
          <w:sz w:val="24"/>
          <w:szCs w:val="24"/>
        </w:rPr>
      </w:pPr>
      <w:r w:rsidRPr="008F7F25">
        <w:rPr>
          <w:rFonts w:ascii="Arial" w:hAnsi="Arial" w:cs="Arial"/>
          <w:sz w:val="24"/>
          <w:szCs w:val="24"/>
        </w:rPr>
        <w:t>Individual circumstances are</w:t>
      </w:r>
      <w:r w:rsidR="00816305">
        <w:rPr>
          <w:rFonts w:ascii="Arial" w:hAnsi="Arial" w:cs="Arial"/>
          <w:sz w:val="24"/>
          <w:szCs w:val="24"/>
        </w:rPr>
        <w:t xml:space="preserve"> </w:t>
      </w:r>
      <w:r w:rsidRPr="008F7F25">
        <w:rPr>
          <w:rFonts w:ascii="Arial" w:hAnsi="Arial" w:cs="Arial"/>
          <w:sz w:val="24"/>
          <w:szCs w:val="24"/>
        </w:rPr>
        <w:t>determined</w:t>
      </w:r>
      <w:r w:rsidR="008F7F25">
        <w:rPr>
          <w:rFonts w:ascii="Arial" w:hAnsi="Arial" w:cs="Arial"/>
          <w:sz w:val="24"/>
          <w:szCs w:val="24"/>
        </w:rPr>
        <w:t xml:space="preserve"> by</w:t>
      </w:r>
      <w:r w:rsidRPr="008F7F25">
        <w:rPr>
          <w:rFonts w:ascii="Arial" w:hAnsi="Arial" w:cs="Arial"/>
          <w:sz w:val="24"/>
          <w:szCs w:val="24"/>
        </w:rPr>
        <w:t xml:space="preserve"> </w:t>
      </w:r>
      <w:r w:rsidR="008F7F25" w:rsidRPr="008F7F25">
        <w:rPr>
          <w:rFonts w:ascii="Arial" w:hAnsi="Arial" w:cs="Arial"/>
          <w:sz w:val="24"/>
          <w:szCs w:val="24"/>
        </w:rPr>
        <w:t>a range of non-medical</w:t>
      </w:r>
      <w:r w:rsidRPr="008F7F25">
        <w:rPr>
          <w:rFonts w:ascii="Arial" w:hAnsi="Arial" w:cs="Arial"/>
          <w:sz w:val="24"/>
          <w:szCs w:val="24"/>
        </w:rPr>
        <w:t xml:space="preserve"> factors. Non-medical factors are individual characteristics such as education, income</w:t>
      </w:r>
      <w:r w:rsidR="008F7F25" w:rsidRPr="008F7F25">
        <w:rPr>
          <w:rFonts w:ascii="Arial" w:hAnsi="Arial" w:cs="Arial"/>
          <w:sz w:val="24"/>
          <w:szCs w:val="24"/>
        </w:rPr>
        <w:t>,</w:t>
      </w:r>
      <w:r w:rsidRPr="008F7F25">
        <w:rPr>
          <w:rFonts w:ascii="Arial" w:hAnsi="Arial" w:cs="Arial"/>
          <w:sz w:val="24"/>
          <w:szCs w:val="24"/>
        </w:rPr>
        <w:t xml:space="preserve"> and health beliefs; social and physical context, such as families, schools, workplaces</w:t>
      </w:r>
      <w:r w:rsidR="00CD0AF9">
        <w:rPr>
          <w:rFonts w:ascii="Arial" w:hAnsi="Arial" w:cs="Arial"/>
          <w:sz w:val="24"/>
          <w:szCs w:val="24"/>
        </w:rPr>
        <w:t>,</w:t>
      </w:r>
      <w:r w:rsidRPr="008F7F25">
        <w:rPr>
          <w:rFonts w:ascii="Arial" w:hAnsi="Arial" w:cs="Arial"/>
          <w:sz w:val="24"/>
          <w:szCs w:val="24"/>
        </w:rPr>
        <w:t xml:space="preserve"> and neighbourhoods. </w:t>
      </w:r>
      <w:r w:rsidR="008F7F25" w:rsidRPr="008F7F25">
        <w:rPr>
          <w:rFonts w:ascii="Arial" w:hAnsi="Arial" w:cs="Arial"/>
          <w:sz w:val="24"/>
          <w:szCs w:val="24"/>
        </w:rPr>
        <w:t>Institutional and ideational contexts that have an impact on environments can also contribute to health</w:t>
      </w:r>
      <w:r w:rsidR="008F7F25">
        <w:rPr>
          <w:rFonts w:ascii="Arial" w:hAnsi="Arial" w:cs="Arial"/>
          <w:sz w:val="24"/>
          <w:szCs w:val="24"/>
        </w:rPr>
        <w:t xml:space="preserve"> (</w:t>
      </w:r>
      <w:r w:rsidR="008F7F25" w:rsidRPr="008F7F25">
        <w:rPr>
          <w:rFonts w:ascii="Arial" w:hAnsi="Arial" w:cs="Arial"/>
          <w:sz w:val="24"/>
          <w:szCs w:val="24"/>
        </w:rPr>
        <w:t>Short</w:t>
      </w:r>
      <w:r w:rsidR="008F7F25">
        <w:rPr>
          <w:rFonts w:ascii="Arial" w:hAnsi="Arial" w:cs="Arial"/>
          <w:sz w:val="24"/>
          <w:szCs w:val="24"/>
        </w:rPr>
        <w:t xml:space="preserve"> and</w:t>
      </w:r>
      <w:r w:rsidR="008F7F25" w:rsidRPr="008F7F25">
        <w:rPr>
          <w:rFonts w:ascii="Arial" w:hAnsi="Arial" w:cs="Arial"/>
          <w:sz w:val="24"/>
          <w:szCs w:val="24"/>
        </w:rPr>
        <w:t xml:space="preserve"> Mollborn, 2015</w:t>
      </w:r>
      <w:r w:rsidR="008F7F25">
        <w:rPr>
          <w:rFonts w:ascii="Arial" w:hAnsi="Arial" w:cs="Arial"/>
          <w:sz w:val="24"/>
          <w:szCs w:val="24"/>
        </w:rPr>
        <w:t>)</w:t>
      </w:r>
      <w:r w:rsidR="00816305">
        <w:rPr>
          <w:rFonts w:ascii="Arial" w:hAnsi="Arial" w:cs="Arial"/>
          <w:sz w:val="24"/>
          <w:szCs w:val="24"/>
        </w:rPr>
        <w:t xml:space="preserve">. </w:t>
      </w:r>
      <w:r w:rsidR="005D3B43">
        <w:rPr>
          <w:rFonts w:ascii="Arial" w:hAnsi="Arial" w:cs="Arial"/>
          <w:sz w:val="24"/>
          <w:szCs w:val="24"/>
        </w:rPr>
        <w:t xml:space="preserve"> </w:t>
      </w:r>
    </w:p>
    <w:p w14:paraId="56AB1E82" w14:textId="6044D1B1" w:rsidR="009837D6" w:rsidRDefault="009837D6" w:rsidP="008F7F25">
      <w:pPr>
        <w:spacing w:before="240" w:line="360" w:lineRule="auto"/>
        <w:jc w:val="both"/>
        <w:rPr>
          <w:rFonts w:ascii="Arial" w:hAnsi="Arial" w:cs="Arial"/>
          <w:sz w:val="24"/>
          <w:szCs w:val="24"/>
        </w:rPr>
      </w:pPr>
    </w:p>
    <w:p w14:paraId="4B1A928D" w14:textId="77777777" w:rsidR="004568ED" w:rsidRDefault="00DA6B3E" w:rsidP="004568ED">
      <w:pPr>
        <w:spacing w:before="240" w:line="360" w:lineRule="auto"/>
        <w:jc w:val="center"/>
        <w:rPr>
          <w:rFonts w:ascii="Arial" w:hAnsi="Arial" w:cs="Arial"/>
          <w:sz w:val="24"/>
          <w:szCs w:val="24"/>
        </w:rPr>
      </w:pPr>
      <w:r w:rsidRPr="00DA6B3E">
        <w:rPr>
          <w:rFonts w:ascii="Arial" w:hAnsi="Arial" w:cs="Arial"/>
          <w:noProof/>
          <w:sz w:val="24"/>
          <w:szCs w:val="24"/>
        </w:rPr>
        <w:drawing>
          <wp:inline distT="0" distB="0" distL="0" distR="0" wp14:anchorId="492DBFC6" wp14:editId="1CE94A8B">
            <wp:extent cx="4704144" cy="333842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5040" cy="3459704"/>
                    </a:xfrm>
                    <a:prstGeom prst="rect">
                      <a:avLst/>
                    </a:prstGeom>
                  </pic:spPr>
                </pic:pic>
              </a:graphicData>
            </a:graphic>
          </wp:inline>
        </w:drawing>
      </w:r>
    </w:p>
    <w:p w14:paraId="1BF4B503" w14:textId="7E1A1EBF" w:rsidR="009837D6" w:rsidRPr="004568ED" w:rsidRDefault="00DA6B3E" w:rsidP="004568ED">
      <w:pPr>
        <w:spacing w:before="240" w:line="360" w:lineRule="auto"/>
        <w:jc w:val="center"/>
        <w:rPr>
          <w:rFonts w:ascii="Arial" w:hAnsi="Arial" w:cs="Arial"/>
          <w:sz w:val="22"/>
          <w:szCs w:val="22"/>
        </w:rPr>
      </w:pPr>
      <w:r w:rsidRPr="004568ED">
        <w:rPr>
          <w:rFonts w:ascii="Arial" w:hAnsi="Arial" w:cs="Arial"/>
          <w:sz w:val="22"/>
          <w:szCs w:val="22"/>
        </w:rPr>
        <w:t xml:space="preserve">Figure 2. The causal chain. Major causes of ischaemic heart disease are shown. Arrows indicate some (but not all) of the pathways by which these causes interact </w:t>
      </w:r>
      <w:sdt>
        <w:sdtPr>
          <w:rPr>
            <w:rFonts w:ascii="Arial" w:hAnsi="Arial" w:cs="Arial"/>
            <w:sz w:val="22"/>
            <w:szCs w:val="22"/>
          </w:rPr>
          <w:id w:val="-1535732455"/>
          <w:citation/>
        </w:sdtPr>
        <w:sdtEndPr/>
        <w:sdtContent>
          <w:r w:rsidR="009837D6" w:rsidRPr="004568ED">
            <w:rPr>
              <w:rFonts w:ascii="Arial" w:hAnsi="Arial" w:cs="Arial"/>
              <w:sz w:val="22"/>
              <w:szCs w:val="22"/>
            </w:rPr>
            <w:fldChar w:fldCharType="begin"/>
          </w:r>
          <w:r w:rsidR="009837D6" w:rsidRPr="004568ED">
            <w:rPr>
              <w:rFonts w:ascii="Arial" w:hAnsi="Arial" w:cs="Arial"/>
              <w:sz w:val="22"/>
              <w:szCs w:val="22"/>
            </w:rPr>
            <w:instrText xml:space="preserve"> CITATION WHO09 \l 2057 </w:instrText>
          </w:r>
          <w:r w:rsidR="009837D6" w:rsidRPr="004568ED">
            <w:rPr>
              <w:rFonts w:ascii="Arial" w:hAnsi="Arial" w:cs="Arial"/>
              <w:sz w:val="22"/>
              <w:szCs w:val="22"/>
            </w:rPr>
            <w:fldChar w:fldCharType="separate"/>
          </w:r>
          <w:r w:rsidR="009837D6" w:rsidRPr="004568ED">
            <w:rPr>
              <w:rFonts w:ascii="Arial" w:hAnsi="Arial" w:cs="Arial"/>
              <w:noProof/>
              <w:sz w:val="22"/>
              <w:szCs w:val="22"/>
            </w:rPr>
            <w:t>(WHO, 2009)</w:t>
          </w:r>
          <w:r w:rsidR="009837D6" w:rsidRPr="004568ED">
            <w:rPr>
              <w:rFonts w:ascii="Arial" w:hAnsi="Arial" w:cs="Arial"/>
              <w:sz w:val="22"/>
              <w:szCs w:val="22"/>
            </w:rPr>
            <w:fldChar w:fldCharType="end"/>
          </w:r>
        </w:sdtContent>
      </w:sdt>
      <w:r w:rsidR="00CD0AF9" w:rsidRPr="004568ED">
        <w:rPr>
          <w:rFonts w:ascii="Arial" w:hAnsi="Arial" w:cs="Arial"/>
          <w:sz w:val="22"/>
          <w:szCs w:val="22"/>
        </w:rPr>
        <w:t>.</w:t>
      </w:r>
    </w:p>
    <w:p w14:paraId="45B21460" w14:textId="25A229F2" w:rsidR="007256CF" w:rsidRDefault="007256CF" w:rsidP="007256CF">
      <w:pPr>
        <w:spacing w:line="360" w:lineRule="auto"/>
        <w:jc w:val="both"/>
        <w:rPr>
          <w:rFonts w:ascii="Arial" w:hAnsi="Arial" w:cs="Arial"/>
          <w:sz w:val="24"/>
          <w:szCs w:val="24"/>
        </w:rPr>
      </w:pPr>
      <w:r>
        <w:rPr>
          <w:rFonts w:ascii="Arial" w:hAnsi="Arial" w:cs="Arial"/>
          <w:sz w:val="24"/>
          <w:szCs w:val="24"/>
        </w:rPr>
        <w:t xml:space="preserve">Reports show that there are environmental factors that contribute towards an individual’s health. These are: </w:t>
      </w:r>
    </w:p>
    <w:p w14:paraId="27684C44" w14:textId="592FDE43"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Outdoor air quality</w:t>
      </w:r>
    </w:p>
    <w:p w14:paraId="1C6E96C5" w14:textId="4F6B235A"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Surface and ground water quality</w:t>
      </w:r>
    </w:p>
    <w:p w14:paraId="5C3817DF" w14:textId="0D0D6D49"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Toxic substances and hazardous waste</w:t>
      </w:r>
    </w:p>
    <w:p w14:paraId="572639B3" w14:textId="38359C51"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Homes and communities</w:t>
      </w:r>
    </w:p>
    <w:p w14:paraId="7BBAAD3C" w14:textId="1FBAEAEA"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Infrastructure and surveillance</w:t>
      </w:r>
    </w:p>
    <w:p w14:paraId="1DC3050A" w14:textId="074D0220" w:rsidR="007256CF" w:rsidRPr="007256CF" w:rsidRDefault="007256CF" w:rsidP="007256CF">
      <w:pPr>
        <w:pStyle w:val="ListParagraph"/>
        <w:numPr>
          <w:ilvl w:val="0"/>
          <w:numId w:val="3"/>
        </w:numPr>
        <w:spacing w:line="360" w:lineRule="auto"/>
        <w:jc w:val="both"/>
        <w:rPr>
          <w:rFonts w:ascii="Arial" w:hAnsi="Arial" w:cs="Arial"/>
          <w:sz w:val="24"/>
          <w:szCs w:val="24"/>
        </w:rPr>
      </w:pPr>
      <w:r w:rsidRPr="007256CF">
        <w:rPr>
          <w:rFonts w:ascii="Arial" w:hAnsi="Arial" w:cs="Arial"/>
          <w:sz w:val="24"/>
          <w:szCs w:val="24"/>
        </w:rPr>
        <w:t>Global environmental health</w:t>
      </w:r>
    </w:p>
    <w:p w14:paraId="5D3FE611" w14:textId="22401CD6" w:rsidR="007256CF" w:rsidRDefault="007256CF" w:rsidP="007256CF">
      <w:pPr>
        <w:spacing w:line="360" w:lineRule="auto"/>
        <w:jc w:val="both"/>
        <w:rPr>
          <w:rFonts w:ascii="Arial" w:hAnsi="Arial" w:cs="Arial"/>
          <w:sz w:val="24"/>
          <w:szCs w:val="24"/>
        </w:rPr>
      </w:pPr>
      <w:r>
        <w:rPr>
          <w:rFonts w:ascii="Arial" w:hAnsi="Arial" w:cs="Arial"/>
          <w:sz w:val="24"/>
          <w:szCs w:val="24"/>
        </w:rPr>
        <w:t xml:space="preserve">Maintaining a healthy environment is vital to increasing a good quality healthy life. Globally, 23% of deaths are due to preventable factors. Poor environmental factors have the greatest impact on people’s health who are already at risk </w:t>
      </w:r>
      <w:sdt>
        <w:sdtPr>
          <w:rPr>
            <w:rFonts w:ascii="Arial" w:hAnsi="Arial" w:cs="Arial"/>
            <w:sz w:val="24"/>
            <w:szCs w:val="24"/>
          </w:rPr>
          <w:id w:val="-1118455246"/>
          <w:citation/>
        </w:sdtPr>
        <w:sdtEndPr/>
        <w:sdtContent>
          <w:r>
            <w:rPr>
              <w:rFonts w:ascii="Arial" w:hAnsi="Arial" w:cs="Arial"/>
              <w:sz w:val="24"/>
              <w:szCs w:val="24"/>
            </w:rPr>
            <w:fldChar w:fldCharType="begin"/>
          </w:r>
          <w:r>
            <w:rPr>
              <w:rFonts w:ascii="Arial" w:hAnsi="Arial" w:cs="Arial"/>
              <w:sz w:val="24"/>
              <w:szCs w:val="24"/>
            </w:rPr>
            <w:instrText xml:space="preserve"> CITATION Off21 \l 2057 </w:instrText>
          </w:r>
          <w:r>
            <w:rPr>
              <w:rFonts w:ascii="Arial" w:hAnsi="Arial" w:cs="Arial"/>
              <w:sz w:val="24"/>
              <w:szCs w:val="24"/>
            </w:rPr>
            <w:fldChar w:fldCharType="separate"/>
          </w:r>
          <w:r w:rsidRPr="007256CF">
            <w:rPr>
              <w:rFonts w:ascii="Arial" w:hAnsi="Arial" w:cs="Arial"/>
              <w:noProof/>
              <w:sz w:val="24"/>
              <w:szCs w:val="24"/>
            </w:rPr>
            <w:t>(Office of Disease Prevention and Health Promotion, 2021)</w:t>
          </w:r>
          <w:r>
            <w:rPr>
              <w:rFonts w:ascii="Arial" w:hAnsi="Arial" w:cs="Arial"/>
              <w:sz w:val="24"/>
              <w:szCs w:val="24"/>
            </w:rPr>
            <w:fldChar w:fldCharType="end"/>
          </w:r>
        </w:sdtContent>
      </w:sdt>
      <w:r>
        <w:rPr>
          <w:rFonts w:ascii="Arial" w:hAnsi="Arial" w:cs="Arial"/>
          <w:sz w:val="24"/>
          <w:szCs w:val="24"/>
        </w:rPr>
        <w:t xml:space="preserve">. </w:t>
      </w:r>
    </w:p>
    <w:p w14:paraId="60337277" w14:textId="77777777" w:rsidR="00AE4927" w:rsidRPr="007256CF" w:rsidRDefault="00AE4927" w:rsidP="007256CF">
      <w:pPr>
        <w:spacing w:line="360" w:lineRule="auto"/>
        <w:jc w:val="both"/>
        <w:rPr>
          <w:rFonts w:ascii="Arial" w:hAnsi="Arial" w:cs="Arial"/>
          <w:sz w:val="24"/>
          <w:szCs w:val="24"/>
        </w:rPr>
      </w:pPr>
    </w:p>
    <w:p w14:paraId="2E466C6E" w14:textId="77777777" w:rsidR="00114C14" w:rsidRPr="009B2389" w:rsidRDefault="00114C14" w:rsidP="008F7F25">
      <w:pPr>
        <w:jc w:val="both"/>
      </w:pPr>
    </w:p>
    <w:p w14:paraId="06328B45" w14:textId="559DA427" w:rsidR="00164591" w:rsidRDefault="00164591" w:rsidP="008F7F25">
      <w:pPr>
        <w:pStyle w:val="Heading2"/>
        <w:jc w:val="both"/>
        <w:rPr>
          <w:rFonts w:ascii="Arial" w:hAnsi="Arial" w:cs="Arial"/>
          <w:sz w:val="24"/>
          <w:szCs w:val="24"/>
        </w:rPr>
      </w:pPr>
      <w:bookmarkStart w:id="5" w:name="_Toc66197757"/>
      <w:r w:rsidRPr="009B2389">
        <w:rPr>
          <w:rFonts w:ascii="Arial" w:hAnsi="Arial" w:cs="Arial"/>
          <w:sz w:val="24"/>
          <w:szCs w:val="24"/>
        </w:rPr>
        <w:t>Lifestyle choices</w:t>
      </w:r>
      <w:bookmarkEnd w:id="5"/>
    </w:p>
    <w:p w14:paraId="066BD8A0" w14:textId="72622333" w:rsidR="009B2389" w:rsidRDefault="009B2389" w:rsidP="008F7F25">
      <w:pPr>
        <w:jc w:val="both"/>
      </w:pPr>
    </w:p>
    <w:p w14:paraId="39ED5AC2" w14:textId="77777777" w:rsidR="009B2389" w:rsidRPr="009B2389" w:rsidRDefault="009B2389" w:rsidP="008F7F25">
      <w:pPr>
        <w:jc w:val="both"/>
      </w:pPr>
    </w:p>
    <w:p w14:paraId="2F33C140" w14:textId="2E52BE94" w:rsidR="00F756E8" w:rsidRDefault="005D3B43" w:rsidP="00E326BA">
      <w:pPr>
        <w:spacing w:line="360" w:lineRule="auto"/>
        <w:jc w:val="both"/>
        <w:rPr>
          <w:rFonts w:ascii="Arial" w:hAnsi="Arial" w:cs="Arial"/>
          <w:sz w:val="24"/>
          <w:szCs w:val="24"/>
        </w:rPr>
      </w:pPr>
      <w:r w:rsidRPr="00E326BA">
        <w:rPr>
          <w:rFonts w:ascii="Arial" w:hAnsi="Arial" w:cs="Arial"/>
          <w:sz w:val="24"/>
          <w:szCs w:val="24"/>
        </w:rPr>
        <w:t xml:space="preserve">There is a strong </w:t>
      </w:r>
      <w:r w:rsidR="00F756E8" w:rsidRPr="00E326BA">
        <w:rPr>
          <w:rFonts w:ascii="Arial" w:hAnsi="Arial" w:cs="Arial"/>
          <w:sz w:val="24"/>
          <w:szCs w:val="24"/>
        </w:rPr>
        <w:t xml:space="preserve">connection between physical activities and health. A physically active person will benefit from numerous health benefits. Physical development and less alcohol consumption are related to sports. Arguably there is also a negative factor to sports. The risk of failure and injury is great, but eating disorders and burnout is also present. As physical activity is increasingly conducted in an organised manner, sports became important for both, individual and public health. A </w:t>
      </w:r>
      <w:r w:rsidR="00E326BA" w:rsidRPr="00E326BA">
        <w:rPr>
          <w:rFonts w:ascii="Arial" w:hAnsi="Arial" w:cs="Arial"/>
          <w:sz w:val="24"/>
          <w:szCs w:val="24"/>
        </w:rPr>
        <w:t>human’s</w:t>
      </w:r>
      <w:r w:rsidR="00F756E8" w:rsidRPr="00E326BA">
        <w:rPr>
          <w:rFonts w:ascii="Arial" w:hAnsi="Arial" w:cs="Arial"/>
          <w:sz w:val="24"/>
          <w:szCs w:val="24"/>
        </w:rPr>
        <w:t xml:space="preserve"> average daily energy intake shows an incline, and that creates an energy surplus that, with the daily life becoming physically less active, it leads to an increase in number of people becoming overweight or even obese. Physical activity has a positive </w:t>
      </w:r>
      <w:r w:rsidR="00E326BA">
        <w:rPr>
          <w:rFonts w:ascii="Arial" w:hAnsi="Arial" w:cs="Arial"/>
          <w:sz w:val="24"/>
          <w:szCs w:val="24"/>
        </w:rPr>
        <w:t>i</w:t>
      </w:r>
      <w:r w:rsidR="00F756E8" w:rsidRPr="00E326BA">
        <w:rPr>
          <w:rFonts w:ascii="Arial" w:hAnsi="Arial" w:cs="Arial"/>
          <w:sz w:val="24"/>
          <w:szCs w:val="24"/>
        </w:rPr>
        <w:t xml:space="preserve">mpact not only on physical, but also on the persons mental health. </w:t>
      </w:r>
      <w:r w:rsidR="00E326BA" w:rsidRPr="00E326BA">
        <w:rPr>
          <w:rFonts w:ascii="Arial" w:hAnsi="Arial" w:cs="Arial"/>
          <w:sz w:val="24"/>
          <w:szCs w:val="24"/>
        </w:rPr>
        <w:t>It releases stress and can prevent depression and anxiety</w:t>
      </w:r>
      <w:r w:rsidR="00E326BA">
        <w:rPr>
          <w:rFonts w:ascii="Arial" w:hAnsi="Arial" w:cs="Arial"/>
          <w:sz w:val="24"/>
          <w:szCs w:val="24"/>
        </w:rPr>
        <w:t xml:space="preserve"> </w:t>
      </w:r>
      <w:r w:rsidR="004B12E9">
        <w:rPr>
          <w:rFonts w:ascii="Arial" w:hAnsi="Arial" w:cs="Arial"/>
          <w:sz w:val="24"/>
          <w:szCs w:val="24"/>
        </w:rPr>
        <w:t>(</w:t>
      </w:r>
      <w:r w:rsidR="004B12E9" w:rsidRPr="004B12E9">
        <w:rPr>
          <w:rFonts w:ascii="Arial" w:hAnsi="Arial" w:cs="Arial"/>
          <w:sz w:val="24"/>
          <w:szCs w:val="24"/>
        </w:rPr>
        <w:t>(Malm, Jakobsson</w:t>
      </w:r>
      <w:r w:rsidR="004B12E9">
        <w:rPr>
          <w:rFonts w:ascii="Arial" w:hAnsi="Arial" w:cs="Arial"/>
          <w:sz w:val="24"/>
          <w:szCs w:val="24"/>
        </w:rPr>
        <w:t xml:space="preserve"> and</w:t>
      </w:r>
      <w:r w:rsidR="004B12E9" w:rsidRPr="004B12E9">
        <w:rPr>
          <w:rFonts w:ascii="Arial" w:hAnsi="Arial" w:cs="Arial"/>
          <w:sz w:val="24"/>
          <w:szCs w:val="24"/>
        </w:rPr>
        <w:t xml:space="preserve"> Isaksson, 2019</w:t>
      </w:r>
      <w:r w:rsidR="004B12E9">
        <w:rPr>
          <w:rFonts w:ascii="Arial" w:hAnsi="Arial" w:cs="Arial"/>
          <w:sz w:val="24"/>
          <w:szCs w:val="24"/>
        </w:rPr>
        <w:t>).</w:t>
      </w:r>
    </w:p>
    <w:p w14:paraId="4ACAB0E0" w14:textId="5B929697" w:rsidR="00F756E8" w:rsidRDefault="004B12E9" w:rsidP="00E326BA">
      <w:pPr>
        <w:spacing w:line="360" w:lineRule="auto"/>
        <w:jc w:val="both"/>
        <w:rPr>
          <w:rFonts w:ascii="Arial" w:hAnsi="Arial" w:cs="Arial"/>
          <w:sz w:val="24"/>
          <w:szCs w:val="24"/>
        </w:rPr>
      </w:pPr>
      <w:r>
        <w:rPr>
          <w:rFonts w:ascii="Arial" w:hAnsi="Arial" w:cs="Arial"/>
          <w:sz w:val="24"/>
          <w:szCs w:val="24"/>
        </w:rPr>
        <w:t xml:space="preserve">Illegal drugs, alcohol and tobacco have been dealt with as public health problem for a number of years </w:t>
      </w:r>
      <w:sdt>
        <w:sdtPr>
          <w:rPr>
            <w:rFonts w:ascii="Arial" w:hAnsi="Arial" w:cs="Arial"/>
            <w:sz w:val="24"/>
            <w:szCs w:val="24"/>
          </w:rPr>
          <w:id w:val="-159163252"/>
          <w:citation/>
        </w:sdtPr>
        <w:sdtEndPr/>
        <w:sdtContent>
          <w:r>
            <w:rPr>
              <w:rFonts w:ascii="Arial" w:hAnsi="Arial" w:cs="Arial"/>
              <w:sz w:val="24"/>
              <w:szCs w:val="24"/>
            </w:rPr>
            <w:fldChar w:fldCharType="begin"/>
          </w:r>
          <w:r>
            <w:rPr>
              <w:rFonts w:ascii="Arial" w:hAnsi="Arial" w:cs="Arial"/>
              <w:sz w:val="24"/>
              <w:szCs w:val="24"/>
            </w:rPr>
            <w:instrText xml:space="preserve"> CITATION Mol18 \l 2057 </w:instrText>
          </w:r>
          <w:r>
            <w:rPr>
              <w:rFonts w:ascii="Arial" w:hAnsi="Arial" w:cs="Arial"/>
              <w:sz w:val="24"/>
              <w:szCs w:val="24"/>
            </w:rPr>
            <w:fldChar w:fldCharType="separate"/>
          </w:r>
          <w:r w:rsidRPr="004B12E9">
            <w:rPr>
              <w:rFonts w:ascii="Arial" w:hAnsi="Arial" w:cs="Arial"/>
              <w:noProof/>
              <w:sz w:val="24"/>
              <w:szCs w:val="24"/>
            </w:rPr>
            <w:t>(Mold, 2018)</w:t>
          </w:r>
          <w:r>
            <w:rPr>
              <w:rFonts w:ascii="Arial" w:hAnsi="Arial" w:cs="Arial"/>
              <w:sz w:val="24"/>
              <w:szCs w:val="24"/>
            </w:rPr>
            <w:fldChar w:fldCharType="end"/>
          </w:r>
        </w:sdtContent>
      </w:sdt>
      <w:r>
        <w:rPr>
          <w:rFonts w:ascii="Arial" w:hAnsi="Arial" w:cs="Arial"/>
          <w:sz w:val="24"/>
          <w:szCs w:val="24"/>
        </w:rPr>
        <w:t xml:space="preserve">. </w:t>
      </w:r>
      <w:r w:rsidR="00A901C8">
        <w:rPr>
          <w:rFonts w:ascii="Arial" w:hAnsi="Arial" w:cs="Arial"/>
          <w:sz w:val="24"/>
          <w:szCs w:val="24"/>
        </w:rPr>
        <w:t xml:space="preserve"> Alcohol is a necessary underlying factor for over thirty health conditions and is a contributing factor to many more </w:t>
      </w:r>
      <w:sdt>
        <w:sdtPr>
          <w:rPr>
            <w:rFonts w:ascii="Arial" w:hAnsi="Arial" w:cs="Arial"/>
            <w:sz w:val="24"/>
            <w:szCs w:val="24"/>
          </w:rPr>
          <w:id w:val="-1717348548"/>
          <w:citation/>
        </w:sdtPr>
        <w:sdtEndPr/>
        <w:sdtContent>
          <w:r w:rsidR="00A901C8">
            <w:rPr>
              <w:rFonts w:ascii="Arial" w:hAnsi="Arial" w:cs="Arial"/>
              <w:sz w:val="24"/>
              <w:szCs w:val="24"/>
            </w:rPr>
            <w:fldChar w:fldCharType="begin"/>
          </w:r>
          <w:r w:rsidR="00A901C8">
            <w:rPr>
              <w:rFonts w:ascii="Arial" w:hAnsi="Arial" w:cs="Arial"/>
              <w:sz w:val="24"/>
              <w:szCs w:val="24"/>
            </w:rPr>
            <w:instrText xml:space="preserve"> CITATION Reh11 \l 2057 </w:instrText>
          </w:r>
          <w:r w:rsidR="00A901C8">
            <w:rPr>
              <w:rFonts w:ascii="Arial" w:hAnsi="Arial" w:cs="Arial"/>
              <w:sz w:val="24"/>
              <w:szCs w:val="24"/>
            </w:rPr>
            <w:fldChar w:fldCharType="separate"/>
          </w:r>
          <w:r w:rsidR="00A901C8" w:rsidRPr="00A901C8">
            <w:rPr>
              <w:rFonts w:ascii="Arial" w:hAnsi="Arial" w:cs="Arial"/>
              <w:noProof/>
              <w:sz w:val="24"/>
              <w:szCs w:val="24"/>
            </w:rPr>
            <w:t>(Rehm, 2011)</w:t>
          </w:r>
          <w:r w:rsidR="00A901C8">
            <w:rPr>
              <w:rFonts w:ascii="Arial" w:hAnsi="Arial" w:cs="Arial"/>
              <w:sz w:val="24"/>
              <w:szCs w:val="24"/>
            </w:rPr>
            <w:fldChar w:fldCharType="end"/>
          </w:r>
        </w:sdtContent>
      </w:sdt>
      <w:r w:rsidR="00A901C8">
        <w:rPr>
          <w:rFonts w:ascii="Arial" w:hAnsi="Arial" w:cs="Arial"/>
          <w:sz w:val="24"/>
          <w:szCs w:val="24"/>
        </w:rPr>
        <w:t>. It has been identified as an important factor for illness, disability</w:t>
      </w:r>
      <w:r w:rsidR="009837D6">
        <w:rPr>
          <w:rFonts w:ascii="Arial" w:hAnsi="Arial" w:cs="Arial"/>
          <w:sz w:val="24"/>
          <w:szCs w:val="24"/>
        </w:rPr>
        <w:t>,</w:t>
      </w:r>
      <w:r w:rsidR="00A901C8">
        <w:rPr>
          <w:rFonts w:ascii="Arial" w:hAnsi="Arial" w:cs="Arial"/>
          <w:sz w:val="24"/>
          <w:szCs w:val="24"/>
        </w:rPr>
        <w:t xml:space="preserve"> and mortality (</w:t>
      </w:r>
      <w:r w:rsidR="00A901C8" w:rsidRPr="00A901C8">
        <w:rPr>
          <w:rFonts w:ascii="Arial" w:hAnsi="Arial" w:cs="Arial"/>
          <w:sz w:val="24"/>
          <w:szCs w:val="24"/>
        </w:rPr>
        <w:t xml:space="preserve">Rehm </w:t>
      </w:r>
      <w:r w:rsidR="00A901C8">
        <w:rPr>
          <w:rFonts w:ascii="Arial" w:hAnsi="Arial" w:cs="Arial"/>
          <w:sz w:val="24"/>
          <w:szCs w:val="24"/>
        </w:rPr>
        <w:t>and</w:t>
      </w:r>
      <w:r w:rsidR="00A901C8" w:rsidRPr="00A901C8">
        <w:rPr>
          <w:rFonts w:ascii="Arial" w:hAnsi="Arial" w:cs="Arial"/>
          <w:sz w:val="24"/>
          <w:szCs w:val="24"/>
        </w:rPr>
        <w:t xml:space="preserve"> Parry, 2009)</w:t>
      </w:r>
      <w:r w:rsidR="00A901C8">
        <w:rPr>
          <w:rFonts w:ascii="Arial" w:hAnsi="Arial" w:cs="Arial"/>
          <w:sz w:val="24"/>
          <w:szCs w:val="24"/>
        </w:rPr>
        <w:t xml:space="preserve">. </w:t>
      </w:r>
    </w:p>
    <w:p w14:paraId="21A7F733" w14:textId="77777777" w:rsidR="00786F19" w:rsidRDefault="00786F19" w:rsidP="00E326BA">
      <w:pPr>
        <w:spacing w:line="360" w:lineRule="auto"/>
        <w:jc w:val="both"/>
        <w:rPr>
          <w:rFonts w:ascii="Arial" w:hAnsi="Arial" w:cs="Arial"/>
          <w:sz w:val="24"/>
          <w:szCs w:val="24"/>
        </w:rPr>
      </w:pPr>
    </w:p>
    <w:p w14:paraId="31BE02A1" w14:textId="61779920" w:rsidR="0026001E" w:rsidRDefault="0026001E" w:rsidP="00E326BA">
      <w:pPr>
        <w:spacing w:line="360" w:lineRule="auto"/>
        <w:jc w:val="both"/>
        <w:rPr>
          <w:rFonts w:ascii="Arial" w:hAnsi="Arial" w:cs="Arial"/>
          <w:sz w:val="24"/>
          <w:szCs w:val="24"/>
        </w:rPr>
      </w:pPr>
    </w:p>
    <w:p w14:paraId="443A5B22" w14:textId="6894EE3A" w:rsidR="0026001E" w:rsidRPr="0026001E" w:rsidRDefault="0026001E" w:rsidP="0026001E">
      <w:pPr>
        <w:pStyle w:val="Heading2"/>
        <w:spacing w:line="360" w:lineRule="auto"/>
        <w:rPr>
          <w:rFonts w:ascii="Arial" w:hAnsi="Arial" w:cs="Arial"/>
          <w:sz w:val="24"/>
          <w:szCs w:val="24"/>
        </w:rPr>
      </w:pPr>
      <w:bookmarkStart w:id="6" w:name="_Toc66197758"/>
      <w:r w:rsidRPr="0026001E">
        <w:rPr>
          <w:rFonts w:ascii="Arial" w:hAnsi="Arial" w:cs="Arial"/>
          <w:sz w:val="24"/>
          <w:szCs w:val="24"/>
        </w:rPr>
        <w:t>Religion</w:t>
      </w:r>
      <w:bookmarkEnd w:id="6"/>
    </w:p>
    <w:p w14:paraId="3484063B" w14:textId="47EFD322" w:rsidR="0026001E" w:rsidRPr="0026001E" w:rsidRDefault="0026001E" w:rsidP="0026001E">
      <w:pPr>
        <w:spacing w:line="360" w:lineRule="auto"/>
        <w:rPr>
          <w:rFonts w:ascii="Arial" w:hAnsi="Arial" w:cs="Arial"/>
          <w:sz w:val="24"/>
          <w:szCs w:val="24"/>
        </w:rPr>
      </w:pPr>
    </w:p>
    <w:p w14:paraId="5683A70D" w14:textId="34A1BCDA" w:rsidR="0026001E" w:rsidRDefault="004C068E" w:rsidP="0026001E">
      <w:pPr>
        <w:spacing w:line="360" w:lineRule="auto"/>
        <w:rPr>
          <w:rFonts w:ascii="Arial" w:hAnsi="Arial" w:cs="Arial"/>
          <w:sz w:val="24"/>
          <w:szCs w:val="24"/>
        </w:rPr>
      </w:pPr>
      <w:r>
        <w:rPr>
          <w:rFonts w:ascii="Arial" w:hAnsi="Arial" w:cs="Arial"/>
          <w:sz w:val="24"/>
          <w:szCs w:val="24"/>
        </w:rPr>
        <w:t>Research was conducted by the Office of National Statistics (ONS) in late 2010’s. After adjusting other factors, it has been shown that:</w:t>
      </w:r>
    </w:p>
    <w:p w14:paraId="3BD6D0CF" w14:textId="2FF8CCEB" w:rsidR="004C068E" w:rsidRPr="004C068E" w:rsidRDefault="004C068E" w:rsidP="004C068E">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People identifying as non-religious were less satisfied with their health compared to people identifying themselves as Christian, Jewish or Hindu</w:t>
      </w:r>
    </w:p>
    <w:p w14:paraId="76DA12D5" w14:textId="148F289C" w:rsidR="004C068E" w:rsidRPr="004C068E" w:rsidRDefault="004C068E" w:rsidP="004C068E">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Amongst people who identified as Sikh there was a lower presence of long-term illnesses, disabilities, or impairments</w:t>
      </w:r>
    </w:p>
    <w:p w14:paraId="084685FE" w14:textId="403F3351" w:rsidR="004C068E" w:rsidRPr="004C068E" w:rsidRDefault="004C068E" w:rsidP="004C068E">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Non-religious people seem to be smoking more than those of several other religious groups</w:t>
      </w:r>
    </w:p>
    <w:p w14:paraId="53A07B6C" w14:textId="57E72D83" w:rsidR="004C068E" w:rsidRPr="004C068E" w:rsidRDefault="004C068E" w:rsidP="004C068E">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 xml:space="preserve">Jewish, Christian, and non-religious people reported a greater level </w:t>
      </w:r>
      <w:r w:rsidR="008673FA">
        <w:rPr>
          <w:rFonts w:ascii="Arial" w:hAnsi="Arial" w:cs="Arial"/>
          <w:sz w:val="24"/>
          <w:szCs w:val="24"/>
        </w:rPr>
        <w:t>o</w:t>
      </w:r>
      <w:r w:rsidRPr="004C068E">
        <w:rPr>
          <w:rFonts w:ascii="Arial" w:hAnsi="Arial" w:cs="Arial"/>
          <w:sz w:val="24"/>
          <w:szCs w:val="24"/>
        </w:rPr>
        <w:t>f physical functioning</w:t>
      </w:r>
    </w:p>
    <w:p w14:paraId="138A5F42" w14:textId="06916EEA" w:rsidR="004C068E" w:rsidRPr="004C068E" w:rsidRDefault="004C068E" w:rsidP="004C068E">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Sikh, Hindu</w:t>
      </w:r>
      <w:r w:rsidR="008673FA">
        <w:rPr>
          <w:rFonts w:ascii="Arial" w:hAnsi="Arial" w:cs="Arial"/>
          <w:sz w:val="24"/>
          <w:szCs w:val="24"/>
        </w:rPr>
        <w:t xml:space="preserve">, </w:t>
      </w:r>
      <w:r w:rsidRPr="004C068E">
        <w:rPr>
          <w:rFonts w:ascii="Arial" w:hAnsi="Arial" w:cs="Arial"/>
          <w:sz w:val="24"/>
          <w:szCs w:val="24"/>
        </w:rPr>
        <w:t>and Christian people reported a greater level of mental functioning</w:t>
      </w:r>
    </w:p>
    <w:p w14:paraId="41FCE09E" w14:textId="4A8C1D45" w:rsidR="009B2389" w:rsidRPr="00765764" w:rsidRDefault="004C068E" w:rsidP="00765764">
      <w:pPr>
        <w:pStyle w:val="ListParagraph"/>
        <w:numPr>
          <w:ilvl w:val="0"/>
          <w:numId w:val="1"/>
        </w:numPr>
        <w:spacing w:line="360" w:lineRule="auto"/>
        <w:rPr>
          <w:rFonts w:ascii="Arial" w:hAnsi="Arial" w:cs="Arial"/>
          <w:sz w:val="24"/>
          <w:szCs w:val="24"/>
        </w:rPr>
      </w:pPr>
      <w:r w:rsidRPr="004C068E">
        <w:rPr>
          <w:rFonts w:ascii="Arial" w:hAnsi="Arial" w:cs="Arial"/>
          <w:sz w:val="24"/>
          <w:szCs w:val="24"/>
        </w:rPr>
        <w:t>Sikh people seem to have a lower probability of mental illness than people from some other religions</w:t>
      </w:r>
      <w:r w:rsidR="008673FA">
        <w:rPr>
          <w:rFonts w:ascii="Arial" w:hAnsi="Arial" w:cs="Arial"/>
          <w:sz w:val="24"/>
          <w:szCs w:val="24"/>
        </w:rPr>
        <w:t xml:space="preserve"> </w:t>
      </w:r>
      <w:sdt>
        <w:sdtPr>
          <w:rPr>
            <w:rFonts w:ascii="Arial" w:hAnsi="Arial" w:cs="Arial"/>
            <w:sz w:val="24"/>
            <w:szCs w:val="24"/>
          </w:rPr>
          <w:id w:val="-1214190592"/>
          <w:citation/>
        </w:sdtPr>
        <w:sdtEndPr/>
        <w:sdtContent>
          <w:r w:rsidR="008673FA">
            <w:rPr>
              <w:rFonts w:ascii="Arial" w:hAnsi="Arial" w:cs="Arial"/>
              <w:sz w:val="24"/>
              <w:szCs w:val="24"/>
            </w:rPr>
            <w:fldChar w:fldCharType="begin"/>
          </w:r>
          <w:r w:rsidR="008673FA">
            <w:rPr>
              <w:rFonts w:ascii="Arial" w:hAnsi="Arial" w:cs="Arial"/>
              <w:sz w:val="24"/>
              <w:szCs w:val="24"/>
            </w:rPr>
            <w:instrText xml:space="preserve"> CITATION ONS201 \l 2057 </w:instrText>
          </w:r>
          <w:r w:rsidR="008673FA">
            <w:rPr>
              <w:rFonts w:ascii="Arial" w:hAnsi="Arial" w:cs="Arial"/>
              <w:sz w:val="24"/>
              <w:szCs w:val="24"/>
            </w:rPr>
            <w:fldChar w:fldCharType="separate"/>
          </w:r>
          <w:r w:rsidR="008673FA" w:rsidRPr="008673FA">
            <w:rPr>
              <w:rFonts w:ascii="Arial" w:hAnsi="Arial" w:cs="Arial"/>
              <w:noProof/>
              <w:sz w:val="24"/>
              <w:szCs w:val="24"/>
            </w:rPr>
            <w:t>(ONS, 2020)</w:t>
          </w:r>
          <w:r w:rsidR="008673FA">
            <w:rPr>
              <w:rFonts w:ascii="Arial" w:hAnsi="Arial" w:cs="Arial"/>
              <w:sz w:val="24"/>
              <w:szCs w:val="24"/>
            </w:rPr>
            <w:fldChar w:fldCharType="end"/>
          </w:r>
        </w:sdtContent>
      </w:sdt>
    </w:p>
    <w:p w14:paraId="2957861D" w14:textId="3F20B6CB" w:rsidR="00164591" w:rsidRDefault="00765764" w:rsidP="0026001E">
      <w:pPr>
        <w:spacing w:line="360" w:lineRule="auto"/>
        <w:jc w:val="both"/>
        <w:rPr>
          <w:rFonts w:ascii="Arial" w:hAnsi="Arial" w:cs="Arial"/>
          <w:sz w:val="24"/>
          <w:szCs w:val="24"/>
        </w:rPr>
      </w:pPr>
      <w:r>
        <w:rPr>
          <w:rFonts w:ascii="Arial" w:hAnsi="Arial" w:cs="Arial"/>
          <w:sz w:val="24"/>
          <w:szCs w:val="24"/>
        </w:rPr>
        <w:t xml:space="preserve">Research shows that the fasting period during Ramadan has some health benefits, such as: cholesterol and triglyceride decrease, it is favouring the immune system and </w:t>
      </w:r>
      <w:r w:rsidR="009309F8">
        <w:rPr>
          <w:rFonts w:ascii="Arial" w:hAnsi="Arial" w:cs="Arial"/>
          <w:sz w:val="24"/>
          <w:szCs w:val="24"/>
        </w:rPr>
        <w:t>results in weight loss, however the latter was shown to be gained back after the fasting period has finished (</w:t>
      </w:r>
      <w:r w:rsidR="009309F8" w:rsidRPr="009309F8">
        <w:rPr>
          <w:rFonts w:ascii="Arial" w:hAnsi="Arial" w:cs="Arial"/>
          <w:sz w:val="24"/>
          <w:szCs w:val="24"/>
        </w:rPr>
        <w:t xml:space="preserve">Rouhani </w:t>
      </w:r>
      <w:r w:rsidR="009309F8">
        <w:rPr>
          <w:rFonts w:ascii="Arial" w:hAnsi="Arial" w:cs="Arial"/>
          <w:sz w:val="24"/>
          <w:szCs w:val="24"/>
        </w:rPr>
        <w:t>and</w:t>
      </w:r>
      <w:r w:rsidR="009309F8" w:rsidRPr="009309F8">
        <w:rPr>
          <w:rFonts w:ascii="Arial" w:hAnsi="Arial" w:cs="Arial"/>
          <w:sz w:val="24"/>
          <w:szCs w:val="24"/>
        </w:rPr>
        <w:t xml:space="preserve"> Azadbakht, 2014</w:t>
      </w:r>
      <w:r w:rsidR="009309F8">
        <w:rPr>
          <w:rFonts w:ascii="Arial" w:hAnsi="Arial" w:cs="Arial"/>
          <w:sz w:val="24"/>
          <w:szCs w:val="24"/>
        </w:rPr>
        <w:t>).</w:t>
      </w:r>
    </w:p>
    <w:p w14:paraId="7F6173DF" w14:textId="3AC35E36" w:rsidR="00765764" w:rsidRDefault="009309F8" w:rsidP="0026001E">
      <w:pPr>
        <w:spacing w:line="360" w:lineRule="auto"/>
        <w:jc w:val="both"/>
        <w:rPr>
          <w:rFonts w:ascii="Arial" w:hAnsi="Arial" w:cs="Arial"/>
          <w:sz w:val="24"/>
          <w:szCs w:val="24"/>
        </w:rPr>
      </w:pPr>
      <w:r>
        <w:rPr>
          <w:rFonts w:ascii="Arial" w:hAnsi="Arial" w:cs="Arial"/>
          <w:sz w:val="24"/>
          <w:szCs w:val="24"/>
        </w:rPr>
        <w:t xml:space="preserve">The Biblical based Daniel Fast prohibits the consumption of animal products, refined carbohydrates, food additives, preservatives, sweeteners, flavourings, caffeine, and alcohol. This fasting method has positive effects on health, namely on blood pressure, blood lipids, </w:t>
      </w:r>
      <w:r w:rsidR="003D0A3C">
        <w:rPr>
          <w:rFonts w:ascii="Arial" w:hAnsi="Arial" w:cs="Arial"/>
          <w:sz w:val="24"/>
          <w:szCs w:val="24"/>
        </w:rPr>
        <w:t xml:space="preserve">insulin sensitivity, and biomarkers of oxidative stress </w:t>
      </w:r>
      <w:r w:rsidR="003D0A3C" w:rsidRPr="003D0A3C">
        <w:rPr>
          <w:rFonts w:ascii="Arial" w:hAnsi="Arial" w:cs="Arial"/>
          <w:sz w:val="24"/>
          <w:szCs w:val="24"/>
        </w:rPr>
        <w:t xml:space="preserve">(Trepanowski </w:t>
      </w:r>
      <w:r w:rsidR="003D0A3C">
        <w:rPr>
          <w:rFonts w:ascii="Arial" w:hAnsi="Arial" w:cs="Arial"/>
          <w:sz w:val="24"/>
          <w:szCs w:val="24"/>
        </w:rPr>
        <w:t>and</w:t>
      </w:r>
      <w:r w:rsidR="003D0A3C" w:rsidRPr="003D0A3C">
        <w:rPr>
          <w:rFonts w:ascii="Arial" w:hAnsi="Arial" w:cs="Arial"/>
          <w:sz w:val="24"/>
          <w:szCs w:val="24"/>
        </w:rPr>
        <w:t xml:space="preserve"> Bloomer, 2010)</w:t>
      </w:r>
      <w:r w:rsidR="003D0A3C">
        <w:rPr>
          <w:rFonts w:ascii="Arial" w:hAnsi="Arial" w:cs="Arial"/>
          <w:sz w:val="24"/>
          <w:szCs w:val="24"/>
        </w:rPr>
        <w:t>.</w:t>
      </w:r>
    </w:p>
    <w:p w14:paraId="238E5F17" w14:textId="77777777" w:rsidR="00765764" w:rsidRPr="0026001E" w:rsidRDefault="00765764" w:rsidP="0026001E">
      <w:pPr>
        <w:spacing w:line="360" w:lineRule="auto"/>
        <w:jc w:val="both"/>
        <w:rPr>
          <w:rFonts w:ascii="Arial" w:hAnsi="Arial" w:cs="Arial"/>
          <w:sz w:val="24"/>
          <w:szCs w:val="24"/>
        </w:rPr>
      </w:pPr>
    </w:p>
    <w:p w14:paraId="4E044482" w14:textId="4C8E854F" w:rsidR="00862DAB" w:rsidRPr="009B2389" w:rsidRDefault="00AC7FCC" w:rsidP="008F7F25">
      <w:pPr>
        <w:pStyle w:val="Heading2"/>
        <w:jc w:val="both"/>
        <w:rPr>
          <w:rFonts w:ascii="Arial" w:hAnsi="Arial" w:cs="Arial"/>
        </w:rPr>
      </w:pPr>
      <w:bookmarkStart w:id="7" w:name="_Toc66197759"/>
      <w:r w:rsidRPr="009B2389">
        <w:rPr>
          <w:rFonts w:ascii="Arial" w:hAnsi="Arial" w:cs="Arial"/>
        </w:rPr>
        <w:t>Health inequalities</w:t>
      </w:r>
      <w:bookmarkEnd w:id="7"/>
    </w:p>
    <w:p w14:paraId="129D1147" w14:textId="77777777" w:rsidR="00AC7FCC" w:rsidRPr="00862DAB" w:rsidRDefault="00AC7FCC" w:rsidP="008F7F25">
      <w:pPr>
        <w:spacing w:line="360" w:lineRule="auto"/>
        <w:jc w:val="both"/>
        <w:rPr>
          <w:rFonts w:ascii="Arial" w:hAnsi="Arial" w:cs="Arial"/>
          <w:sz w:val="24"/>
          <w:szCs w:val="24"/>
        </w:rPr>
      </w:pPr>
    </w:p>
    <w:p w14:paraId="4E4C3DF2" w14:textId="6467E32D" w:rsidR="00862DAB" w:rsidRDefault="00862DAB" w:rsidP="008F7F25">
      <w:pPr>
        <w:spacing w:line="360" w:lineRule="auto"/>
        <w:jc w:val="both"/>
        <w:rPr>
          <w:rFonts w:ascii="Arial" w:hAnsi="Arial" w:cs="Arial"/>
          <w:sz w:val="24"/>
          <w:szCs w:val="24"/>
        </w:rPr>
      </w:pPr>
      <w:r w:rsidRPr="00862DAB">
        <w:rPr>
          <w:rFonts w:ascii="Arial" w:hAnsi="Arial" w:cs="Arial"/>
          <w:sz w:val="24"/>
          <w:szCs w:val="24"/>
        </w:rPr>
        <w:t>Health inequalities</w:t>
      </w:r>
      <w:r>
        <w:rPr>
          <w:rFonts w:ascii="Arial" w:hAnsi="Arial" w:cs="Arial"/>
          <w:sz w:val="24"/>
          <w:szCs w:val="24"/>
        </w:rPr>
        <w:t xml:space="preserve"> are influences of the differential social and population groups </w:t>
      </w:r>
      <w:r w:rsidR="00C83FC3">
        <w:rPr>
          <w:rFonts w:ascii="Arial" w:hAnsi="Arial" w:cs="Arial"/>
          <w:sz w:val="24"/>
          <w:szCs w:val="24"/>
        </w:rPr>
        <w:t>that will affect people’s health. The quality of place</w:t>
      </w:r>
      <w:r w:rsidR="00102790">
        <w:rPr>
          <w:rFonts w:ascii="Arial" w:hAnsi="Arial" w:cs="Arial"/>
          <w:sz w:val="24"/>
          <w:szCs w:val="24"/>
        </w:rPr>
        <w:t>,</w:t>
      </w:r>
      <w:r w:rsidR="00C83FC3">
        <w:rPr>
          <w:rFonts w:ascii="Arial" w:hAnsi="Arial" w:cs="Arial"/>
          <w:sz w:val="24"/>
          <w:szCs w:val="24"/>
        </w:rPr>
        <w:t xml:space="preserve"> people live in</w:t>
      </w:r>
      <w:r w:rsidR="00102790">
        <w:rPr>
          <w:rFonts w:ascii="Arial" w:hAnsi="Arial" w:cs="Arial"/>
          <w:sz w:val="24"/>
          <w:szCs w:val="24"/>
        </w:rPr>
        <w:t>,</w:t>
      </w:r>
      <w:r w:rsidR="00C83FC3">
        <w:rPr>
          <w:rFonts w:ascii="Arial" w:hAnsi="Arial" w:cs="Arial"/>
          <w:sz w:val="24"/>
          <w:szCs w:val="24"/>
        </w:rPr>
        <w:t xml:space="preserve"> can improve health and wellbeing. A place is a combination of social, economic, physical, and historical characteristics that includes both the physical and social environment of someone’s living area </w:t>
      </w:r>
      <w:sdt>
        <w:sdtPr>
          <w:rPr>
            <w:rFonts w:ascii="Arial" w:hAnsi="Arial" w:cs="Arial"/>
            <w:sz w:val="24"/>
            <w:szCs w:val="24"/>
          </w:rPr>
          <w:id w:val="1527442670"/>
          <w:citation/>
        </w:sdtPr>
        <w:sdtEndPr/>
        <w:sdtContent>
          <w:r w:rsidR="00C83FC3">
            <w:rPr>
              <w:rFonts w:ascii="Arial" w:hAnsi="Arial" w:cs="Arial"/>
              <w:sz w:val="24"/>
              <w:szCs w:val="24"/>
            </w:rPr>
            <w:fldChar w:fldCharType="begin"/>
          </w:r>
          <w:r w:rsidR="00C83FC3">
            <w:rPr>
              <w:rFonts w:ascii="Arial" w:hAnsi="Arial" w:cs="Arial"/>
              <w:sz w:val="24"/>
              <w:szCs w:val="24"/>
            </w:rPr>
            <w:instrText xml:space="preserve"> CITATION Hea17 \l 2057 </w:instrText>
          </w:r>
          <w:r w:rsidR="00C83FC3">
            <w:rPr>
              <w:rFonts w:ascii="Arial" w:hAnsi="Arial" w:cs="Arial"/>
              <w:sz w:val="24"/>
              <w:szCs w:val="24"/>
            </w:rPr>
            <w:fldChar w:fldCharType="separate"/>
          </w:r>
          <w:r w:rsidR="00C83FC3" w:rsidRPr="00C83FC3">
            <w:rPr>
              <w:rFonts w:ascii="Arial" w:hAnsi="Arial" w:cs="Arial"/>
              <w:noProof/>
              <w:sz w:val="24"/>
              <w:szCs w:val="24"/>
            </w:rPr>
            <w:t>(Health Scotland, 2017)</w:t>
          </w:r>
          <w:r w:rsidR="00C83FC3">
            <w:rPr>
              <w:rFonts w:ascii="Arial" w:hAnsi="Arial" w:cs="Arial"/>
              <w:sz w:val="24"/>
              <w:szCs w:val="24"/>
            </w:rPr>
            <w:fldChar w:fldCharType="end"/>
          </w:r>
        </w:sdtContent>
      </w:sdt>
      <w:r w:rsidR="00AC7FCC">
        <w:rPr>
          <w:rFonts w:ascii="Arial" w:hAnsi="Arial" w:cs="Arial"/>
          <w:sz w:val="24"/>
          <w:szCs w:val="24"/>
        </w:rPr>
        <w:t xml:space="preserve">. From birth to old age, a safe home, sufficient income, and support networks make a significant contribution to a healthy life. There is increasingly persuasive evidence of how important greenspace and the impact of it in people’s health is. Green environment is being recognised to have a great impact in people’s mental wellbeing reducing levels of anxiety, depression, and fatigue </w:t>
      </w:r>
      <w:sdt>
        <w:sdtPr>
          <w:rPr>
            <w:rFonts w:ascii="Arial" w:hAnsi="Arial" w:cs="Arial"/>
            <w:sz w:val="24"/>
            <w:szCs w:val="24"/>
          </w:rPr>
          <w:id w:val="1733031672"/>
          <w:citation/>
        </w:sdtPr>
        <w:sdtEndPr/>
        <w:sdtContent>
          <w:r w:rsidR="00AC7FCC">
            <w:rPr>
              <w:rFonts w:ascii="Arial" w:hAnsi="Arial" w:cs="Arial"/>
              <w:sz w:val="24"/>
              <w:szCs w:val="24"/>
            </w:rPr>
            <w:fldChar w:fldCharType="begin"/>
          </w:r>
          <w:r w:rsidR="00E731F8">
            <w:rPr>
              <w:rFonts w:ascii="Arial" w:hAnsi="Arial" w:cs="Arial"/>
              <w:sz w:val="24"/>
              <w:szCs w:val="24"/>
            </w:rPr>
            <w:instrText xml:space="preserve">CITATION Imp20 \l 2057 </w:instrText>
          </w:r>
          <w:r w:rsidR="00AC7FCC">
            <w:rPr>
              <w:rFonts w:ascii="Arial" w:hAnsi="Arial" w:cs="Arial"/>
              <w:sz w:val="24"/>
              <w:szCs w:val="24"/>
            </w:rPr>
            <w:fldChar w:fldCharType="separate"/>
          </w:r>
          <w:r w:rsidR="00E731F8" w:rsidRPr="00E731F8">
            <w:rPr>
              <w:rFonts w:ascii="Arial" w:hAnsi="Arial" w:cs="Arial"/>
              <w:noProof/>
              <w:sz w:val="24"/>
              <w:szCs w:val="24"/>
            </w:rPr>
            <w:t>(Lowell, 2020)</w:t>
          </w:r>
          <w:r w:rsidR="00AC7FCC">
            <w:rPr>
              <w:rFonts w:ascii="Arial" w:hAnsi="Arial" w:cs="Arial"/>
              <w:sz w:val="24"/>
              <w:szCs w:val="24"/>
            </w:rPr>
            <w:fldChar w:fldCharType="end"/>
          </w:r>
        </w:sdtContent>
      </w:sdt>
      <w:r w:rsidR="00AC7FCC">
        <w:rPr>
          <w:rFonts w:ascii="Arial" w:hAnsi="Arial" w:cs="Arial"/>
          <w:sz w:val="24"/>
          <w:szCs w:val="24"/>
        </w:rPr>
        <w:t xml:space="preserve">. </w:t>
      </w:r>
    </w:p>
    <w:p w14:paraId="454A8508" w14:textId="00831EA0" w:rsidR="00862DAB" w:rsidRDefault="002E6FF3" w:rsidP="008F7F25">
      <w:pPr>
        <w:spacing w:line="360" w:lineRule="auto"/>
        <w:jc w:val="both"/>
        <w:rPr>
          <w:rFonts w:ascii="Arial" w:hAnsi="Arial" w:cs="Arial"/>
          <w:sz w:val="24"/>
          <w:szCs w:val="24"/>
        </w:rPr>
      </w:pPr>
      <w:r>
        <w:rPr>
          <w:rFonts w:ascii="Arial" w:hAnsi="Arial" w:cs="Arial"/>
          <w:sz w:val="24"/>
          <w:szCs w:val="24"/>
        </w:rPr>
        <w:t xml:space="preserve">Education and health are also strongly related for three reasons: 1. work and economic reason: people with higher education are less likely to be unemployed, therefore more likely will have sufficient income; 2. social-psychological resources: people who have been well educated will have better personal control and social support; and 3. health lifestyle: more educated people will maintain a healthier lifestyle, will consume less alcohol, smoke less, will exercise more and are more likely to get preventative medical care (Ross and Wu, </w:t>
      </w:r>
      <w:r w:rsidR="00102790">
        <w:rPr>
          <w:rFonts w:ascii="Arial" w:hAnsi="Arial" w:cs="Arial"/>
          <w:sz w:val="24"/>
          <w:szCs w:val="24"/>
        </w:rPr>
        <w:t xml:space="preserve">1995). </w:t>
      </w:r>
    </w:p>
    <w:p w14:paraId="0E06D8F0" w14:textId="3BCA0003" w:rsidR="00CD0AF9" w:rsidRDefault="00102790" w:rsidP="008F7F25">
      <w:pPr>
        <w:spacing w:line="360" w:lineRule="auto"/>
        <w:jc w:val="both"/>
        <w:rPr>
          <w:rFonts w:ascii="Arial" w:hAnsi="Arial" w:cs="Arial"/>
          <w:sz w:val="24"/>
          <w:szCs w:val="24"/>
        </w:rPr>
      </w:pPr>
      <w:r>
        <w:rPr>
          <w:rFonts w:ascii="Arial" w:hAnsi="Arial" w:cs="Arial"/>
          <w:sz w:val="24"/>
          <w:szCs w:val="24"/>
        </w:rPr>
        <w:t xml:space="preserve">Studies show that housing refurbishments and modifications, heating and insulation qualities ventilation and water supply affect both, physical and mental health </w:t>
      </w:r>
      <w:sdt>
        <w:sdtPr>
          <w:rPr>
            <w:rFonts w:ascii="Arial" w:hAnsi="Arial" w:cs="Arial"/>
            <w:sz w:val="24"/>
            <w:szCs w:val="24"/>
          </w:rPr>
          <w:id w:val="-209645021"/>
          <w:citation/>
        </w:sdtPr>
        <w:sdtEndPr/>
        <w:sdtContent>
          <w:r>
            <w:rPr>
              <w:rFonts w:ascii="Arial" w:hAnsi="Arial" w:cs="Arial"/>
              <w:sz w:val="24"/>
              <w:szCs w:val="24"/>
            </w:rPr>
            <w:fldChar w:fldCharType="begin"/>
          </w:r>
          <w:r>
            <w:rPr>
              <w:rFonts w:ascii="Arial" w:hAnsi="Arial" w:cs="Arial"/>
              <w:sz w:val="24"/>
              <w:szCs w:val="24"/>
            </w:rPr>
            <w:instrText xml:space="preserve"> CITATION Ige19 \l 2057 </w:instrText>
          </w:r>
          <w:r>
            <w:rPr>
              <w:rFonts w:ascii="Arial" w:hAnsi="Arial" w:cs="Arial"/>
              <w:sz w:val="24"/>
              <w:szCs w:val="24"/>
            </w:rPr>
            <w:fldChar w:fldCharType="separate"/>
          </w:r>
          <w:r w:rsidRPr="00102790">
            <w:rPr>
              <w:rFonts w:ascii="Arial" w:hAnsi="Arial" w:cs="Arial"/>
              <w:noProof/>
              <w:sz w:val="24"/>
              <w:szCs w:val="24"/>
            </w:rPr>
            <w:t>(Ige, et al., 2019)</w:t>
          </w:r>
          <w:r>
            <w:rPr>
              <w:rFonts w:ascii="Arial" w:hAnsi="Arial" w:cs="Arial"/>
              <w:sz w:val="24"/>
              <w:szCs w:val="24"/>
            </w:rPr>
            <w:fldChar w:fldCharType="end"/>
          </w:r>
        </w:sdtContent>
      </w:sdt>
      <w:r w:rsidR="00DE145F">
        <w:rPr>
          <w:rFonts w:ascii="Arial" w:hAnsi="Arial" w:cs="Arial"/>
          <w:sz w:val="24"/>
          <w:szCs w:val="24"/>
        </w:rPr>
        <w:t>. Further studies argue that occupiers of houses with visible mould and dampness are more likely to have asthma, allergic rhinitis, and atopic dermatitis. They are also more likely to get common cold at least four times a year (</w:t>
      </w:r>
      <w:r w:rsidR="00DE145F" w:rsidRPr="00DE145F">
        <w:rPr>
          <w:rFonts w:ascii="Arial" w:hAnsi="Arial" w:cs="Arial"/>
          <w:sz w:val="24"/>
          <w:szCs w:val="24"/>
        </w:rPr>
        <w:t>Kilpeläinena</w:t>
      </w:r>
      <w:r w:rsidR="00DE145F">
        <w:rPr>
          <w:rFonts w:ascii="Arial" w:hAnsi="Arial" w:cs="Arial"/>
          <w:sz w:val="24"/>
          <w:szCs w:val="24"/>
        </w:rPr>
        <w:t xml:space="preserve"> et al, 2001). </w:t>
      </w:r>
    </w:p>
    <w:p w14:paraId="4F6F431D" w14:textId="77777777" w:rsidR="00314736" w:rsidRDefault="00314736" w:rsidP="008F7F25">
      <w:pPr>
        <w:spacing w:line="360" w:lineRule="auto"/>
        <w:jc w:val="both"/>
        <w:rPr>
          <w:rFonts w:ascii="Arial" w:hAnsi="Arial" w:cs="Arial"/>
          <w:sz w:val="24"/>
          <w:szCs w:val="24"/>
        </w:rPr>
      </w:pPr>
    </w:p>
    <w:p w14:paraId="6122017E" w14:textId="1435DD91" w:rsidR="00786F19" w:rsidRDefault="00786F19" w:rsidP="00786F19">
      <w:pPr>
        <w:pStyle w:val="Heading1"/>
        <w:spacing w:line="360" w:lineRule="auto"/>
        <w:jc w:val="both"/>
        <w:rPr>
          <w:rFonts w:ascii="Arial" w:hAnsi="Arial" w:cs="Arial"/>
        </w:rPr>
      </w:pPr>
      <w:bookmarkStart w:id="8" w:name="_Toc66197760"/>
      <w:r w:rsidRPr="00786F19">
        <w:rPr>
          <w:rFonts w:ascii="Arial" w:hAnsi="Arial" w:cs="Arial"/>
        </w:rPr>
        <w:t>Maintaining a healthy life</w:t>
      </w:r>
      <w:bookmarkEnd w:id="8"/>
    </w:p>
    <w:p w14:paraId="7181C1DD" w14:textId="77777777" w:rsidR="00E074F9" w:rsidRPr="00E074F9" w:rsidRDefault="00E074F9" w:rsidP="00E074F9">
      <w:pPr>
        <w:jc w:val="both"/>
        <w:rPr>
          <w:rFonts w:ascii="Arial" w:hAnsi="Arial" w:cs="Arial"/>
          <w:sz w:val="24"/>
          <w:szCs w:val="24"/>
        </w:rPr>
      </w:pPr>
    </w:p>
    <w:p w14:paraId="59D9CB91" w14:textId="693E8964" w:rsidR="00786F19" w:rsidRDefault="00786F19" w:rsidP="00786F19">
      <w:pPr>
        <w:spacing w:line="360" w:lineRule="auto"/>
        <w:jc w:val="both"/>
        <w:rPr>
          <w:rFonts w:ascii="Arial" w:hAnsi="Arial" w:cs="Arial"/>
          <w:sz w:val="24"/>
          <w:szCs w:val="24"/>
        </w:rPr>
      </w:pPr>
      <w:r>
        <w:rPr>
          <w:rFonts w:ascii="Arial" w:hAnsi="Arial" w:cs="Arial"/>
          <w:sz w:val="24"/>
          <w:szCs w:val="24"/>
        </w:rPr>
        <w:t>It is understood that access to healthcare providers is important social responsibility, however, societies can promote health in many other ways. These include sanitation, pollution control, food and drug safety, health education, disease surveillance, urban planning</w:t>
      </w:r>
      <w:r w:rsidR="00C54C45">
        <w:rPr>
          <w:rFonts w:ascii="Arial" w:hAnsi="Arial" w:cs="Arial"/>
          <w:sz w:val="24"/>
          <w:szCs w:val="24"/>
        </w:rPr>
        <w:t>,</w:t>
      </w:r>
      <w:r>
        <w:rPr>
          <w:rFonts w:ascii="Arial" w:hAnsi="Arial" w:cs="Arial"/>
          <w:sz w:val="24"/>
          <w:szCs w:val="24"/>
        </w:rPr>
        <w:t xml:space="preserve"> and occupational health. Health promotion should be emphasised, environmental and public health and health research should be promoted more. Six out of the ten leading factors contributing to global disease burden are lifestyle related: unsafe sex, high blood pressure, tobacco and alcohol use, high cholesterol and obesity. </w:t>
      </w:r>
      <w:r w:rsidR="00C54C45">
        <w:rPr>
          <w:rFonts w:ascii="Arial" w:hAnsi="Arial" w:cs="Arial"/>
          <w:sz w:val="24"/>
          <w:szCs w:val="24"/>
        </w:rPr>
        <w:t>The clear relationship</w:t>
      </w:r>
      <w:r>
        <w:rPr>
          <w:rFonts w:ascii="Arial" w:hAnsi="Arial" w:cs="Arial"/>
          <w:sz w:val="24"/>
          <w:szCs w:val="24"/>
        </w:rPr>
        <w:t xml:space="preserve"> </w:t>
      </w:r>
      <w:r w:rsidR="00C54C45">
        <w:rPr>
          <w:rFonts w:ascii="Arial" w:hAnsi="Arial" w:cs="Arial"/>
          <w:sz w:val="24"/>
          <w:szCs w:val="24"/>
        </w:rPr>
        <w:t xml:space="preserve">between lifestyle, disease burden and healthcare costs, suggests that the individuals should be maid morally responsible for their health-related choices. While for some, this would make perfect sense, others may argue that it would be unfair to hold individuals responsible for their own health, if they are not able to make sound health-related choices due to mental incompetence, ignorance, addiction or cultural pressures. It is also highlighted that would be difficult to implement a system that holds individuals responsible for their own health, when is known that diseases and disabilities result from a mix of complex genetic and environmental factors </w:t>
      </w:r>
      <w:sdt>
        <w:sdtPr>
          <w:rPr>
            <w:rFonts w:ascii="Arial" w:hAnsi="Arial" w:cs="Arial"/>
            <w:sz w:val="24"/>
            <w:szCs w:val="24"/>
          </w:rPr>
          <w:id w:val="-1770301054"/>
          <w:citation/>
        </w:sdtPr>
        <w:sdtEndPr/>
        <w:sdtContent>
          <w:r w:rsidR="00C54C45">
            <w:rPr>
              <w:rFonts w:ascii="Arial" w:hAnsi="Arial" w:cs="Arial"/>
              <w:sz w:val="24"/>
              <w:szCs w:val="24"/>
            </w:rPr>
            <w:fldChar w:fldCharType="begin"/>
          </w:r>
          <w:r w:rsidR="00C54C45">
            <w:rPr>
              <w:rFonts w:ascii="Arial" w:hAnsi="Arial" w:cs="Arial"/>
              <w:sz w:val="24"/>
              <w:szCs w:val="24"/>
            </w:rPr>
            <w:instrText xml:space="preserve"> CITATION Res07 \l 2057 </w:instrText>
          </w:r>
          <w:r w:rsidR="00C54C45">
            <w:rPr>
              <w:rFonts w:ascii="Arial" w:hAnsi="Arial" w:cs="Arial"/>
              <w:sz w:val="24"/>
              <w:szCs w:val="24"/>
            </w:rPr>
            <w:fldChar w:fldCharType="separate"/>
          </w:r>
          <w:r w:rsidR="00C54C45" w:rsidRPr="00C54C45">
            <w:rPr>
              <w:rFonts w:ascii="Arial" w:hAnsi="Arial" w:cs="Arial"/>
              <w:noProof/>
              <w:sz w:val="24"/>
              <w:szCs w:val="24"/>
            </w:rPr>
            <w:t>(Resnik, 2007)</w:t>
          </w:r>
          <w:r w:rsidR="00C54C45">
            <w:rPr>
              <w:rFonts w:ascii="Arial" w:hAnsi="Arial" w:cs="Arial"/>
              <w:sz w:val="24"/>
              <w:szCs w:val="24"/>
            </w:rPr>
            <w:fldChar w:fldCharType="end"/>
          </w:r>
        </w:sdtContent>
      </w:sdt>
      <w:r w:rsidR="00C54C45">
        <w:rPr>
          <w:rFonts w:ascii="Arial" w:hAnsi="Arial" w:cs="Arial"/>
          <w:sz w:val="24"/>
          <w:szCs w:val="24"/>
        </w:rPr>
        <w:t xml:space="preserve">. </w:t>
      </w:r>
    </w:p>
    <w:p w14:paraId="1F29AA3B" w14:textId="77777777" w:rsidR="00314736" w:rsidRPr="00786F19" w:rsidRDefault="00314736" w:rsidP="00786F19">
      <w:pPr>
        <w:spacing w:line="360" w:lineRule="auto"/>
        <w:jc w:val="both"/>
        <w:rPr>
          <w:rFonts w:ascii="Arial" w:hAnsi="Arial" w:cs="Arial"/>
          <w:sz w:val="24"/>
          <w:szCs w:val="24"/>
        </w:rPr>
      </w:pPr>
    </w:p>
    <w:p w14:paraId="2D154AAC" w14:textId="7292D431" w:rsidR="00862DAB" w:rsidRDefault="00CD0AF9" w:rsidP="00CD0AF9">
      <w:pPr>
        <w:pStyle w:val="Heading1"/>
        <w:rPr>
          <w:rFonts w:ascii="Arial" w:hAnsi="Arial" w:cs="Arial"/>
        </w:rPr>
      </w:pPr>
      <w:bookmarkStart w:id="9" w:name="_Toc66197761"/>
      <w:r w:rsidRPr="00CD0AF9">
        <w:rPr>
          <w:rFonts w:ascii="Arial" w:hAnsi="Arial" w:cs="Arial"/>
        </w:rPr>
        <w:t>Interprofessional working</w:t>
      </w:r>
      <w:bookmarkEnd w:id="9"/>
    </w:p>
    <w:p w14:paraId="05E362FA" w14:textId="77777777" w:rsidR="00314736" w:rsidRPr="00314736" w:rsidRDefault="00314736" w:rsidP="00314736"/>
    <w:p w14:paraId="77CA456E" w14:textId="25D68F7D" w:rsidR="00CD0AF9" w:rsidRDefault="00CD0AF9" w:rsidP="00CD0AF9"/>
    <w:p w14:paraId="460F577D" w14:textId="203D0B08" w:rsidR="00CD0AF9" w:rsidRDefault="004C4AA4" w:rsidP="0028344F">
      <w:pPr>
        <w:spacing w:line="360" w:lineRule="auto"/>
        <w:jc w:val="both"/>
        <w:rPr>
          <w:rFonts w:ascii="Arial" w:hAnsi="Arial" w:cs="Arial"/>
          <w:sz w:val="24"/>
          <w:szCs w:val="24"/>
        </w:rPr>
      </w:pPr>
      <w:r>
        <w:rPr>
          <w:rFonts w:ascii="Arial" w:hAnsi="Arial" w:cs="Arial"/>
          <w:sz w:val="24"/>
          <w:szCs w:val="24"/>
        </w:rPr>
        <w:t xml:space="preserve">As science is developing, and there are relations shown between illnesses, interprofessional collaboration became a commanding force. </w:t>
      </w:r>
      <w:r w:rsidR="00F711B0">
        <w:rPr>
          <w:rFonts w:ascii="Arial" w:hAnsi="Arial" w:cs="Arial"/>
          <w:sz w:val="24"/>
          <w:szCs w:val="24"/>
        </w:rPr>
        <w:t>In the United Kingdom both, interdisciplinary</w:t>
      </w:r>
      <w:r w:rsidR="0087280B">
        <w:rPr>
          <w:rFonts w:ascii="Arial" w:hAnsi="Arial" w:cs="Arial"/>
          <w:sz w:val="24"/>
          <w:szCs w:val="24"/>
        </w:rPr>
        <w:t xml:space="preserve"> (IDT)</w:t>
      </w:r>
      <w:r w:rsidR="00F711B0">
        <w:rPr>
          <w:rFonts w:ascii="Arial" w:hAnsi="Arial" w:cs="Arial"/>
          <w:sz w:val="24"/>
          <w:szCs w:val="24"/>
        </w:rPr>
        <w:t xml:space="preserve"> and multidisciplinary</w:t>
      </w:r>
      <w:r w:rsidR="0087280B">
        <w:rPr>
          <w:rFonts w:ascii="Arial" w:hAnsi="Arial" w:cs="Arial"/>
          <w:sz w:val="24"/>
          <w:szCs w:val="24"/>
        </w:rPr>
        <w:t xml:space="preserve"> (MDT)</w:t>
      </w:r>
      <w:r w:rsidR="00F711B0">
        <w:rPr>
          <w:rFonts w:ascii="Arial" w:hAnsi="Arial" w:cs="Arial"/>
          <w:sz w:val="24"/>
          <w:szCs w:val="24"/>
        </w:rPr>
        <w:t xml:space="preserve"> teams are related to a group of individuals with different medical background working together to achieve a common goal </w:t>
      </w:r>
      <w:sdt>
        <w:sdtPr>
          <w:rPr>
            <w:rFonts w:ascii="Arial" w:hAnsi="Arial" w:cs="Arial"/>
            <w:sz w:val="24"/>
            <w:szCs w:val="24"/>
          </w:rPr>
          <w:id w:val="-2089223030"/>
          <w:citation/>
        </w:sdtPr>
        <w:sdtEndPr/>
        <w:sdtContent>
          <w:r w:rsidR="00F711B0">
            <w:rPr>
              <w:rFonts w:ascii="Arial" w:hAnsi="Arial" w:cs="Arial"/>
              <w:sz w:val="24"/>
              <w:szCs w:val="24"/>
            </w:rPr>
            <w:fldChar w:fldCharType="begin"/>
          </w:r>
          <w:r w:rsidR="00F711B0">
            <w:rPr>
              <w:rFonts w:ascii="Arial" w:hAnsi="Arial" w:cs="Arial"/>
              <w:sz w:val="24"/>
              <w:szCs w:val="24"/>
            </w:rPr>
            <w:instrText xml:space="preserve"> CITATION Aud03 \l 2057 </w:instrText>
          </w:r>
          <w:r w:rsidR="00F711B0">
            <w:rPr>
              <w:rFonts w:ascii="Arial" w:hAnsi="Arial" w:cs="Arial"/>
              <w:sz w:val="24"/>
              <w:szCs w:val="24"/>
            </w:rPr>
            <w:fldChar w:fldCharType="separate"/>
          </w:r>
          <w:r w:rsidR="00F711B0" w:rsidRPr="00F711B0">
            <w:rPr>
              <w:rFonts w:ascii="Arial" w:hAnsi="Arial" w:cs="Arial"/>
              <w:noProof/>
              <w:sz w:val="24"/>
              <w:szCs w:val="24"/>
            </w:rPr>
            <w:t>(Leathard, 2003)</w:t>
          </w:r>
          <w:r w:rsidR="00F711B0">
            <w:rPr>
              <w:rFonts w:ascii="Arial" w:hAnsi="Arial" w:cs="Arial"/>
              <w:sz w:val="24"/>
              <w:szCs w:val="24"/>
            </w:rPr>
            <w:fldChar w:fldCharType="end"/>
          </w:r>
        </w:sdtContent>
      </w:sdt>
      <w:r w:rsidR="00F711B0">
        <w:rPr>
          <w:rFonts w:ascii="Arial" w:hAnsi="Arial" w:cs="Arial"/>
          <w:sz w:val="24"/>
          <w:szCs w:val="24"/>
        </w:rPr>
        <w:t xml:space="preserve">. </w:t>
      </w:r>
    </w:p>
    <w:p w14:paraId="3DA293A9" w14:textId="4E225ADE" w:rsidR="00D17AB3" w:rsidRDefault="00D17AB3" w:rsidP="0028344F">
      <w:pPr>
        <w:spacing w:line="360" w:lineRule="auto"/>
        <w:jc w:val="both"/>
        <w:rPr>
          <w:rFonts w:ascii="Arial" w:hAnsi="Arial" w:cs="Arial"/>
          <w:sz w:val="24"/>
          <w:szCs w:val="24"/>
        </w:rPr>
      </w:pPr>
      <w:r>
        <w:rPr>
          <w:rFonts w:ascii="Arial" w:hAnsi="Arial" w:cs="Arial"/>
          <w:sz w:val="24"/>
          <w:szCs w:val="24"/>
        </w:rPr>
        <w:t>I</w:t>
      </w:r>
      <w:r w:rsidR="0087280B">
        <w:rPr>
          <w:rFonts w:ascii="Arial" w:hAnsi="Arial" w:cs="Arial"/>
          <w:sz w:val="24"/>
          <w:szCs w:val="24"/>
        </w:rPr>
        <w:t>DT</w:t>
      </w:r>
      <w:r>
        <w:rPr>
          <w:rFonts w:ascii="Arial" w:hAnsi="Arial" w:cs="Arial"/>
          <w:sz w:val="24"/>
          <w:szCs w:val="24"/>
        </w:rPr>
        <w:t xml:space="preserve"> teamwork is a complex</w:t>
      </w:r>
      <w:r w:rsidR="00F14D37">
        <w:rPr>
          <w:rFonts w:ascii="Arial" w:hAnsi="Arial" w:cs="Arial"/>
          <w:sz w:val="24"/>
          <w:szCs w:val="24"/>
        </w:rPr>
        <w:t xml:space="preserve"> process of people with different expertise, knowledge, and skills working together to impact on patient care. It is difficult to find the best way for </w:t>
      </w:r>
      <w:r w:rsidR="0087280B">
        <w:rPr>
          <w:rFonts w:ascii="Arial" w:hAnsi="Arial" w:cs="Arial"/>
          <w:sz w:val="24"/>
          <w:szCs w:val="24"/>
        </w:rPr>
        <w:t>IDT</w:t>
      </w:r>
      <w:r w:rsidR="00F14D37">
        <w:rPr>
          <w:rFonts w:ascii="Arial" w:hAnsi="Arial" w:cs="Arial"/>
          <w:sz w:val="24"/>
          <w:szCs w:val="24"/>
        </w:rPr>
        <w:t xml:space="preserve"> to work, due to skill mix, setting of care, service organisation, individual relationships, and management structures. There is literature that suggests that the outcomes of </w:t>
      </w:r>
      <w:r w:rsidR="0087280B">
        <w:rPr>
          <w:rFonts w:ascii="Arial" w:hAnsi="Arial" w:cs="Arial"/>
          <w:sz w:val="24"/>
          <w:szCs w:val="24"/>
        </w:rPr>
        <w:t>IDT</w:t>
      </w:r>
      <w:r w:rsidR="00F14D37">
        <w:rPr>
          <w:rFonts w:ascii="Arial" w:hAnsi="Arial" w:cs="Arial"/>
          <w:sz w:val="24"/>
          <w:szCs w:val="24"/>
        </w:rPr>
        <w:t xml:space="preserve"> are felt in three levels: healthcare professionals, patients, and healthcare organisations. These outcomes have an impact on staff satisfaction, quality of care and control of costs.</w:t>
      </w:r>
    </w:p>
    <w:p w14:paraId="58880950" w14:textId="581CD7AF" w:rsidR="00F14D37" w:rsidRDefault="00F14D37" w:rsidP="0028344F">
      <w:pPr>
        <w:spacing w:line="360" w:lineRule="auto"/>
        <w:jc w:val="both"/>
        <w:rPr>
          <w:rFonts w:ascii="Arial" w:hAnsi="Arial" w:cs="Arial"/>
          <w:sz w:val="24"/>
          <w:szCs w:val="24"/>
        </w:rPr>
      </w:pPr>
      <w:r>
        <w:rPr>
          <w:rFonts w:ascii="Arial" w:hAnsi="Arial" w:cs="Arial"/>
          <w:sz w:val="24"/>
          <w:szCs w:val="24"/>
        </w:rPr>
        <w:t>The effectiveness of teamwork is also impacted by team structure and team processes. Team premises, size and composition, organisational support, goals</w:t>
      </w:r>
      <w:r w:rsidR="0028344F">
        <w:rPr>
          <w:rFonts w:ascii="Arial" w:hAnsi="Arial" w:cs="Arial"/>
          <w:sz w:val="24"/>
          <w:szCs w:val="24"/>
        </w:rPr>
        <w:t>,</w:t>
      </w:r>
      <w:r>
        <w:rPr>
          <w:rFonts w:ascii="Arial" w:hAnsi="Arial" w:cs="Arial"/>
          <w:sz w:val="24"/>
          <w:szCs w:val="24"/>
        </w:rPr>
        <w:t xml:space="preserve"> and objectives are also contributory factors</w:t>
      </w:r>
      <w:r w:rsidR="0028344F">
        <w:rPr>
          <w:rFonts w:ascii="Arial" w:hAnsi="Arial" w:cs="Arial"/>
          <w:sz w:val="24"/>
          <w:szCs w:val="24"/>
        </w:rPr>
        <w:t xml:space="preserve"> </w:t>
      </w:r>
      <w:sdt>
        <w:sdtPr>
          <w:rPr>
            <w:rFonts w:ascii="Arial" w:hAnsi="Arial" w:cs="Arial"/>
            <w:sz w:val="24"/>
            <w:szCs w:val="24"/>
          </w:rPr>
          <w:id w:val="1594053362"/>
          <w:citation/>
        </w:sdtPr>
        <w:sdtEndPr/>
        <w:sdtContent>
          <w:r w:rsidR="00825A35">
            <w:rPr>
              <w:rFonts w:ascii="Arial" w:hAnsi="Arial" w:cs="Arial"/>
              <w:sz w:val="24"/>
              <w:szCs w:val="24"/>
            </w:rPr>
            <w:fldChar w:fldCharType="begin"/>
          </w:r>
          <w:r w:rsidR="00825A35">
            <w:rPr>
              <w:rFonts w:ascii="Arial" w:hAnsi="Arial" w:cs="Arial"/>
              <w:sz w:val="24"/>
              <w:szCs w:val="24"/>
            </w:rPr>
            <w:instrText xml:space="preserve"> CITATION Nan13 \l 2057 </w:instrText>
          </w:r>
          <w:r w:rsidR="00825A35">
            <w:rPr>
              <w:rFonts w:ascii="Arial" w:hAnsi="Arial" w:cs="Arial"/>
              <w:sz w:val="24"/>
              <w:szCs w:val="24"/>
            </w:rPr>
            <w:fldChar w:fldCharType="separate"/>
          </w:r>
          <w:r w:rsidR="00825A35" w:rsidRPr="00825A35">
            <w:rPr>
              <w:rFonts w:ascii="Arial" w:hAnsi="Arial" w:cs="Arial"/>
              <w:noProof/>
              <w:sz w:val="24"/>
              <w:szCs w:val="24"/>
            </w:rPr>
            <w:t>(Nancarrow, et al., 2013)</w:t>
          </w:r>
          <w:r w:rsidR="00825A35">
            <w:rPr>
              <w:rFonts w:ascii="Arial" w:hAnsi="Arial" w:cs="Arial"/>
              <w:sz w:val="24"/>
              <w:szCs w:val="24"/>
            </w:rPr>
            <w:fldChar w:fldCharType="end"/>
          </w:r>
        </w:sdtContent>
      </w:sdt>
      <w:r w:rsidR="00825A35">
        <w:rPr>
          <w:rFonts w:ascii="Arial" w:hAnsi="Arial" w:cs="Arial"/>
          <w:sz w:val="24"/>
          <w:szCs w:val="24"/>
        </w:rPr>
        <w:t xml:space="preserve">. </w:t>
      </w:r>
    </w:p>
    <w:p w14:paraId="658B48B6" w14:textId="728750CE" w:rsidR="00EC10A6" w:rsidRPr="00CD0AF9" w:rsidRDefault="00EC10A6" w:rsidP="0028344F">
      <w:pPr>
        <w:spacing w:line="360" w:lineRule="auto"/>
        <w:jc w:val="both"/>
        <w:rPr>
          <w:rFonts w:ascii="Arial" w:hAnsi="Arial" w:cs="Arial"/>
          <w:sz w:val="24"/>
          <w:szCs w:val="24"/>
        </w:rPr>
      </w:pPr>
      <w:r>
        <w:rPr>
          <w:rFonts w:ascii="Arial" w:hAnsi="Arial" w:cs="Arial"/>
          <w:sz w:val="24"/>
          <w:szCs w:val="24"/>
        </w:rPr>
        <w:t xml:space="preserve">Decisions taken within a </w:t>
      </w:r>
      <w:r w:rsidR="0087280B">
        <w:rPr>
          <w:rFonts w:ascii="Arial" w:hAnsi="Arial" w:cs="Arial"/>
          <w:sz w:val="24"/>
          <w:szCs w:val="24"/>
        </w:rPr>
        <w:t>MDT</w:t>
      </w:r>
      <w:r>
        <w:rPr>
          <w:rFonts w:ascii="Arial" w:hAnsi="Arial" w:cs="Arial"/>
          <w:sz w:val="24"/>
          <w:szCs w:val="24"/>
        </w:rPr>
        <w:t xml:space="preserve"> are formed by the professional and personal values of the members of the team. Patients have their input, providing that they have the mental capacity to do so (Haines et al, 2018).</w:t>
      </w:r>
    </w:p>
    <w:p w14:paraId="6EB510BF" w14:textId="4E4D4B77" w:rsidR="00862DAB" w:rsidRDefault="00862DAB" w:rsidP="008F7F25">
      <w:pPr>
        <w:spacing w:line="360" w:lineRule="auto"/>
        <w:jc w:val="both"/>
        <w:rPr>
          <w:rFonts w:ascii="Arial" w:hAnsi="Arial" w:cs="Arial"/>
          <w:sz w:val="24"/>
          <w:szCs w:val="24"/>
        </w:rPr>
      </w:pPr>
    </w:p>
    <w:p w14:paraId="0654F7D0" w14:textId="6FEDE321" w:rsidR="00E731F8" w:rsidRDefault="00E731F8" w:rsidP="008F7F25">
      <w:pPr>
        <w:spacing w:line="360" w:lineRule="auto"/>
        <w:jc w:val="both"/>
        <w:rPr>
          <w:rFonts w:ascii="Arial" w:hAnsi="Arial" w:cs="Arial"/>
          <w:sz w:val="24"/>
          <w:szCs w:val="24"/>
        </w:rPr>
      </w:pPr>
    </w:p>
    <w:p w14:paraId="142F6718" w14:textId="7992D22A" w:rsidR="004568ED" w:rsidRDefault="004568ED" w:rsidP="008F7F25">
      <w:pPr>
        <w:spacing w:line="360" w:lineRule="auto"/>
        <w:jc w:val="both"/>
        <w:rPr>
          <w:rFonts w:ascii="Arial" w:hAnsi="Arial" w:cs="Arial"/>
          <w:sz w:val="24"/>
          <w:szCs w:val="24"/>
        </w:rPr>
      </w:pPr>
    </w:p>
    <w:p w14:paraId="10959C48" w14:textId="569935EB" w:rsidR="004568ED" w:rsidRDefault="004568ED" w:rsidP="008F7F25">
      <w:pPr>
        <w:spacing w:line="360" w:lineRule="auto"/>
        <w:jc w:val="both"/>
        <w:rPr>
          <w:rFonts w:ascii="Arial" w:hAnsi="Arial" w:cs="Arial"/>
          <w:sz w:val="24"/>
          <w:szCs w:val="24"/>
        </w:rPr>
      </w:pPr>
    </w:p>
    <w:p w14:paraId="4EB66850" w14:textId="2BE46C40" w:rsidR="004568ED" w:rsidRDefault="004568ED" w:rsidP="008F7F25">
      <w:pPr>
        <w:spacing w:line="360" w:lineRule="auto"/>
        <w:jc w:val="both"/>
        <w:rPr>
          <w:rFonts w:ascii="Arial" w:hAnsi="Arial" w:cs="Arial"/>
          <w:sz w:val="24"/>
          <w:szCs w:val="24"/>
        </w:rPr>
      </w:pPr>
    </w:p>
    <w:p w14:paraId="7519A18C" w14:textId="70F455E5" w:rsidR="00314736" w:rsidRDefault="00314736" w:rsidP="008F7F25">
      <w:pPr>
        <w:spacing w:line="360" w:lineRule="auto"/>
        <w:jc w:val="both"/>
        <w:rPr>
          <w:rFonts w:ascii="Arial" w:hAnsi="Arial" w:cs="Arial"/>
          <w:sz w:val="24"/>
          <w:szCs w:val="24"/>
        </w:rPr>
      </w:pPr>
    </w:p>
    <w:p w14:paraId="68903098" w14:textId="7EA5218A" w:rsidR="00314736" w:rsidRDefault="00314736" w:rsidP="008F7F25">
      <w:pPr>
        <w:spacing w:line="360" w:lineRule="auto"/>
        <w:jc w:val="both"/>
        <w:rPr>
          <w:rFonts w:ascii="Arial" w:hAnsi="Arial" w:cs="Arial"/>
          <w:sz w:val="24"/>
          <w:szCs w:val="24"/>
        </w:rPr>
      </w:pPr>
    </w:p>
    <w:p w14:paraId="2004A1AC" w14:textId="6CBB04BF" w:rsidR="00314736" w:rsidRDefault="00314736" w:rsidP="008F7F25">
      <w:pPr>
        <w:spacing w:line="360" w:lineRule="auto"/>
        <w:jc w:val="both"/>
        <w:rPr>
          <w:rFonts w:ascii="Arial" w:hAnsi="Arial" w:cs="Arial"/>
          <w:sz w:val="24"/>
          <w:szCs w:val="24"/>
        </w:rPr>
      </w:pPr>
    </w:p>
    <w:p w14:paraId="50614783" w14:textId="6012B62E" w:rsidR="00E731F8" w:rsidRPr="00E326BA" w:rsidRDefault="005B2BAF" w:rsidP="00E326BA">
      <w:pPr>
        <w:pStyle w:val="Heading1"/>
        <w:rPr>
          <w:rFonts w:ascii="Arial" w:hAnsi="Arial" w:cs="Arial"/>
        </w:rPr>
      </w:pPr>
      <w:bookmarkStart w:id="10" w:name="_Toc66197762"/>
      <w:r w:rsidRPr="00E326BA">
        <w:rPr>
          <w:rFonts w:ascii="Arial" w:hAnsi="Arial" w:cs="Arial"/>
        </w:rPr>
        <w:t>Conclusion</w:t>
      </w:r>
      <w:bookmarkEnd w:id="10"/>
    </w:p>
    <w:p w14:paraId="48E3DF79" w14:textId="6900F9D9" w:rsidR="005B2BAF" w:rsidRDefault="005B2BAF" w:rsidP="008F7F25">
      <w:pPr>
        <w:spacing w:line="360" w:lineRule="auto"/>
        <w:jc w:val="both"/>
        <w:rPr>
          <w:rFonts w:ascii="Arial" w:hAnsi="Arial" w:cs="Arial"/>
          <w:sz w:val="24"/>
          <w:szCs w:val="24"/>
        </w:rPr>
      </w:pPr>
    </w:p>
    <w:p w14:paraId="657DF251" w14:textId="3A59704C" w:rsidR="005B2BAF" w:rsidRDefault="005B2BAF" w:rsidP="008F7F25">
      <w:pPr>
        <w:spacing w:line="360" w:lineRule="auto"/>
        <w:jc w:val="both"/>
        <w:rPr>
          <w:rFonts w:ascii="Arial" w:hAnsi="Arial" w:cs="Arial"/>
          <w:sz w:val="24"/>
          <w:szCs w:val="24"/>
        </w:rPr>
      </w:pPr>
      <w:r>
        <w:rPr>
          <w:rFonts w:ascii="Arial" w:hAnsi="Arial" w:cs="Arial"/>
          <w:sz w:val="24"/>
          <w:szCs w:val="24"/>
        </w:rPr>
        <w:t>As shown above, an individual’s health is determined by a complex mix of factors. That includes their way of living from their diet to their housing, education</w:t>
      </w:r>
      <w:r w:rsidR="00816305">
        <w:rPr>
          <w:rFonts w:ascii="Arial" w:hAnsi="Arial" w:cs="Arial"/>
          <w:sz w:val="24"/>
          <w:szCs w:val="24"/>
        </w:rPr>
        <w:t>,</w:t>
      </w:r>
      <w:r>
        <w:rPr>
          <w:rFonts w:ascii="Arial" w:hAnsi="Arial" w:cs="Arial"/>
          <w:sz w:val="24"/>
          <w:szCs w:val="24"/>
        </w:rPr>
        <w:t xml:space="preserve"> and career choice</w:t>
      </w:r>
      <w:r w:rsidR="008544E2">
        <w:rPr>
          <w:rFonts w:ascii="Arial" w:hAnsi="Arial" w:cs="Arial"/>
          <w:sz w:val="24"/>
          <w:szCs w:val="24"/>
        </w:rPr>
        <w:t xml:space="preserve"> or even their religion. Until the late 1970’s health was determined as the absence of disease. There was also no knowledge of any relation between mental and physical health. This was called the biomedical model of health. One of the big pioneers of biopsychological model, where it is recognised that a person’s health is determined by a lot more than just the absence of disease, was George L. Engel. </w:t>
      </w:r>
      <w:r w:rsidR="00825A35">
        <w:rPr>
          <w:rFonts w:ascii="Arial" w:hAnsi="Arial" w:cs="Arial"/>
          <w:sz w:val="24"/>
          <w:szCs w:val="24"/>
        </w:rPr>
        <w:t xml:space="preserve">As biopsychological model of health emerged, </w:t>
      </w:r>
      <w:r w:rsidR="00C14FF4">
        <w:rPr>
          <w:rFonts w:ascii="Arial" w:hAnsi="Arial" w:cs="Arial"/>
          <w:sz w:val="24"/>
          <w:szCs w:val="24"/>
        </w:rPr>
        <w:t xml:space="preserve">the use of </w:t>
      </w:r>
      <w:r w:rsidR="00825A35">
        <w:rPr>
          <w:rFonts w:ascii="Arial" w:hAnsi="Arial" w:cs="Arial"/>
          <w:sz w:val="24"/>
          <w:szCs w:val="24"/>
        </w:rPr>
        <w:t xml:space="preserve">interdisciplinary and multidisciplinary </w:t>
      </w:r>
      <w:r w:rsidR="00C14FF4">
        <w:rPr>
          <w:rFonts w:ascii="Arial" w:hAnsi="Arial" w:cs="Arial"/>
          <w:sz w:val="24"/>
          <w:szCs w:val="24"/>
        </w:rPr>
        <w:t xml:space="preserve">teams deemed necessary. These teams will look into not only curing the patient but will investigate how the disease or illness has occurred and try to find a way of preventing it in the future. As these team consist of professionals from different backgrounds, they allow to examine a patient from different angles, giving the healthcare professionals a better view, and better understanding of the patients state and also the environment that may have contributed to development of the illness. </w:t>
      </w:r>
    </w:p>
    <w:p w14:paraId="39D052B0" w14:textId="10DEEC90" w:rsidR="00C54C45" w:rsidRDefault="00C54C45" w:rsidP="008F7F25">
      <w:pPr>
        <w:spacing w:line="360" w:lineRule="auto"/>
        <w:jc w:val="both"/>
        <w:rPr>
          <w:rFonts w:ascii="Arial" w:hAnsi="Arial" w:cs="Arial"/>
          <w:sz w:val="24"/>
          <w:szCs w:val="24"/>
        </w:rPr>
      </w:pPr>
      <w:r>
        <w:rPr>
          <w:rFonts w:ascii="Arial" w:hAnsi="Arial" w:cs="Arial"/>
          <w:sz w:val="24"/>
          <w:szCs w:val="24"/>
        </w:rPr>
        <w:t xml:space="preserve">While it is voiced that ultimately the individual is responsible for their own health, it is argued that this cannot be the case due to some factors that are out of the individuals hand, but have a contributory factor towards their health. </w:t>
      </w:r>
    </w:p>
    <w:p w14:paraId="532613D2" w14:textId="46CCAD23" w:rsidR="004568ED" w:rsidRDefault="004568ED" w:rsidP="008F7F25">
      <w:pPr>
        <w:spacing w:line="360" w:lineRule="auto"/>
        <w:jc w:val="both"/>
        <w:rPr>
          <w:rFonts w:ascii="Arial" w:hAnsi="Arial" w:cs="Arial"/>
          <w:sz w:val="24"/>
          <w:szCs w:val="24"/>
        </w:rPr>
      </w:pPr>
    </w:p>
    <w:p w14:paraId="351AFD05" w14:textId="5253DA26" w:rsidR="004568ED" w:rsidRDefault="004568ED" w:rsidP="008F7F25">
      <w:pPr>
        <w:spacing w:line="360" w:lineRule="auto"/>
        <w:jc w:val="both"/>
        <w:rPr>
          <w:rFonts w:ascii="Arial" w:hAnsi="Arial" w:cs="Arial"/>
          <w:sz w:val="24"/>
          <w:szCs w:val="24"/>
        </w:rPr>
      </w:pPr>
    </w:p>
    <w:p w14:paraId="75E4D6BE" w14:textId="5DA34A14" w:rsidR="004568ED" w:rsidRDefault="004568ED" w:rsidP="008F7F25">
      <w:pPr>
        <w:spacing w:line="360" w:lineRule="auto"/>
        <w:jc w:val="both"/>
        <w:rPr>
          <w:rFonts w:ascii="Arial" w:hAnsi="Arial" w:cs="Arial"/>
          <w:sz w:val="24"/>
          <w:szCs w:val="24"/>
        </w:rPr>
      </w:pPr>
    </w:p>
    <w:p w14:paraId="5C5DD3F1" w14:textId="71CD481C" w:rsidR="004568ED" w:rsidRDefault="004568ED" w:rsidP="008F7F25">
      <w:pPr>
        <w:spacing w:line="360" w:lineRule="auto"/>
        <w:jc w:val="both"/>
        <w:rPr>
          <w:rFonts w:ascii="Arial" w:hAnsi="Arial" w:cs="Arial"/>
          <w:sz w:val="24"/>
          <w:szCs w:val="24"/>
        </w:rPr>
      </w:pPr>
    </w:p>
    <w:p w14:paraId="6B545B1F" w14:textId="71D6FB92" w:rsidR="004568ED" w:rsidRDefault="004568ED" w:rsidP="008F7F25">
      <w:pPr>
        <w:spacing w:line="360" w:lineRule="auto"/>
        <w:jc w:val="both"/>
        <w:rPr>
          <w:rFonts w:ascii="Arial" w:hAnsi="Arial" w:cs="Arial"/>
          <w:sz w:val="24"/>
          <w:szCs w:val="24"/>
        </w:rPr>
      </w:pPr>
    </w:p>
    <w:p w14:paraId="5F7E01DB" w14:textId="081C76B0" w:rsidR="004568ED" w:rsidRDefault="004568ED" w:rsidP="008F7F25">
      <w:pPr>
        <w:spacing w:line="360" w:lineRule="auto"/>
        <w:jc w:val="both"/>
        <w:rPr>
          <w:rFonts w:ascii="Arial" w:hAnsi="Arial" w:cs="Arial"/>
          <w:sz w:val="24"/>
          <w:szCs w:val="24"/>
        </w:rPr>
      </w:pPr>
    </w:p>
    <w:p w14:paraId="4701F024" w14:textId="561B0930" w:rsidR="004568ED" w:rsidRDefault="004568ED" w:rsidP="008F7F25">
      <w:pPr>
        <w:spacing w:line="360" w:lineRule="auto"/>
        <w:jc w:val="both"/>
        <w:rPr>
          <w:rFonts w:ascii="Arial" w:hAnsi="Arial" w:cs="Arial"/>
          <w:sz w:val="24"/>
          <w:szCs w:val="24"/>
        </w:rPr>
      </w:pPr>
    </w:p>
    <w:p w14:paraId="663C65EE" w14:textId="18DAE302" w:rsidR="004568ED" w:rsidRDefault="004568ED" w:rsidP="008F7F25">
      <w:pPr>
        <w:spacing w:line="360" w:lineRule="auto"/>
        <w:jc w:val="both"/>
        <w:rPr>
          <w:rFonts w:ascii="Arial" w:hAnsi="Arial" w:cs="Arial"/>
          <w:sz w:val="24"/>
          <w:szCs w:val="24"/>
        </w:rPr>
      </w:pPr>
    </w:p>
    <w:p w14:paraId="204394A7" w14:textId="7A527773" w:rsidR="004568ED" w:rsidRDefault="004568ED" w:rsidP="008F7F25">
      <w:pPr>
        <w:spacing w:line="360" w:lineRule="auto"/>
        <w:jc w:val="both"/>
        <w:rPr>
          <w:rFonts w:ascii="Arial" w:hAnsi="Arial" w:cs="Arial"/>
          <w:sz w:val="24"/>
          <w:szCs w:val="24"/>
        </w:rPr>
      </w:pPr>
    </w:p>
    <w:p w14:paraId="48BD62C0" w14:textId="4A3EC3E9" w:rsidR="004568ED" w:rsidRDefault="004568ED" w:rsidP="008F7F25">
      <w:pPr>
        <w:spacing w:line="360" w:lineRule="auto"/>
        <w:jc w:val="both"/>
        <w:rPr>
          <w:rFonts w:ascii="Arial" w:hAnsi="Arial" w:cs="Arial"/>
          <w:sz w:val="24"/>
          <w:szCs w:val="24"/>
        </w:rPr>
      </w:pPr>
    </w:p>
    <w:p w14:paraId="64EEAFCA" w14:textId="531640BD" w:rsidR="004568ED" w:rsidRDefault="004568ED" w:rsidP="008F7F25">
      <w:pPr>
        <w:spacing w:line="360" w:lineRule="auto"/>
        <w:jc w:val="both"/>
        <w:rPr>
          <w:rFonts w:ascii="Arial" w:hAnsi="Arial" w:cs="Arial"/>
          <w:sz w:val="24"/>
          <w:szCs w:val="24"/>
        </w:rPr>
      </w:pPr>
    </w:p>
    <w:p w14:paraId="17BE709F" w14:textId="7068BAAD" w:rsidR="004568ED" w:rsidRDefault="004568ED" w:rsidP="008F7F25">
      <w:pPr>
        <w:spacing w:line="360" w:lineRule="auto"/>
        <w:jc w:val="both"/>
        <w:rPr>
          <w:rFonts w:ascii="Arial" w:hAnsi="Arial" w:cs="Arial"/>
          <w:sz w:val="24"/>
          <w:szCs w:val="24"/>
        </w:rPr>
      </w:pPr>
    </w:p>
    <w:p w14:paraId="7CCE5FCD" w14:textId="77777777" w:rsidR="004568ED" w:rsidRDefault="004568ED" w:rsidP="008F7F25">
      <w:pPr>
        <w:spacing w:line="360" w:lineRule="auto"/>
        <w:jc w:val="both"/>
        <w:rPr>
          <w:rFonts w:ascii="Arial" w:hAnsi="Arial" w:cs="Arial"/>
          <w:sz w:val="24"/>
          <w:szCs w:val="24"/>
        </w:rPr>
      </w:pPr>
    </w:p>
    <w:bookmarkStart w:id="11" w:name="_Toc66197763" w:displacedByCustomXml="next"/>
    <w:sdt>
      <w:sdtPr>
        <w:rPr>
          <w:rFonts w:ascii="Arial" w:eastAsia="Times New Roman" w:hAnsi="Arial" w:cs="Arial"/>
          <w:color w:val="auto"/>
          <w:sz w:val="20"/>
          <w:szCs w:val="20"/>
        </w:rPr>
        <w:id w:val="-1317800333"/>
        <w:docPartObj>
          <w:docPartGallery w:val="Bibliographies"/>
          <w:docPartUnique/>
        </w:docPartObj>
      </w:sdtPr>
      <w:sdtEndPr>
        <w:rPr>
          <w:rFonts w:ascii="Times New Roman" w:hAnsi="Times New Roman" w:cs="Times New Roman"/>
        </w:rPr>
      </w:sdtEndPr>
      <w:sdtContent>
        <w:p w14:paraId="136426E3" w14:textId="1799FE6D" w:rsidR="004568ED" w:rsidRDefault="004568ED" w:rsidP="00314736">
          <w:pPr>
            <w:pStyle w:val="Heading1"/>
            <w:rPr>
              <w:rFonts w:ascii="Arial" w:hAnsi="Arial" w:cs="Arial"/>
            </w:rPr>
          </w:pPr>
          <w:r w:rsidRPr="00314736">
            <w:rPr>
              <w:rFonts w:ascii="Arial" w:hAnsi="Arial" w:cs="Arial"/>
            </w:rPr>
            <w:t>References</w:t>
          </w:r>
          <w:bookmarkEnd w:id="11"/>
        </w:p>
        <w:p w14:paraId="09C25D50" w14:textId="77777777" w:rsidR="00314736" w:rsidRPr="00314736" w:rsidRDefault="00314736" w:rsidP="00314736"/>
        <w:sdt>
          <w:sdtPr>
            <w:id w:val="-573587230"/>
            <w:bibliography/>
          </w:sdtPr>
          <w:sdtEndPr/>
          <w:sdtContent>
            <w:p w14:paraId="3E71FA87" w14:textId="77777777" w:rsidR="004568ED" w:rsidRDefault="004568ED" w:rsidP="004568ED">
              <w:pPr>
                <w:pStyle w:val="Bibliography"/>
                <w:ind w:left="720" w:hanging="720"/>
                <w:rPr>
                  <w:noProof/>
                  <w:sz w:val="24"/>
                  <w:szCs w:val="24"/>
                </w:rPr>
              </w:pPr>
              <w:r>
                <w:fldChar w:fldCharType="begin"/>
              </w:r>
              <w:r>
                <w:instrText xml:space="preserve"> BIBLIOGRAPHY </w:instrText>
              </w:r>
              <w:r>
                <w:fldChar w:fldCharType="separate"/>
              </w:r>
              <w:r>
                <w:rPr>
                  <w:noProof/>
                </w:rPr>
                <w:t xml:space="preserve">Bircher, J., &amp; Kuruvilla, S. (2014, 06 19). Defining health by addressing individual, social, and environmental determinants: New opportunities for health care and public health. </w:t>
              </w:r>
              <w:r>
                <w:rPr>
                  <w:i/>
                  <w:iCs/>
                  <w:noProof/>
                </w:rPr>
                <w:t>Journal of Public Health Policy, 35</w:t>
              </w:r>
              <w:r>
                <w:rPr>
                  <w:noProof/>
                </w:rPr>
                <w:t>(3), 363-386. Retrieved 03 08, 2021, from https://www.ncbi.nlm.nih.gov/pmc/articles/PMC4119253/#__ffn_sectitle</w:t>
              </w:r>
            </w:p>
            <w:p w14:paraId="35A4D127" w14:textId="77777777" w:rsidR="004568ED" w:rsidRDefault="004568ED" w:rsidP="004568ED">
              <w:pPr>
                <w:pStyle w:val="Bibliography"/>
                <w:ind w:left="720" w:hanging="720"/>
                <w:rPr>
                  <w:noProof/>
                </w:rPr>
              </w:pPr>
              <w:r>
                <w:rPr>
                  <w:noProof/>
                </w:rPr>
                <w:t xml:space="preserve">Borrell-Carrió, F., Suchman, A. L., &amp; Epstein, R. M. (2004, 11). The Biopsychosocial Model 25 Years Later: Principles, Practice, and Scientific Inquiry. </w:t>
              </w:r>
              <w:r>
                <w:rPr>
                  <w:i/>
                  <w:iCs/>
                  <w:noProof/>
                </w:rPr>
                <w:t>Annals of Family Medicine, 2</w:t>
              </w:r>
              <w:r>
                <w:rPr>
                  <w:noProof/>
                </w:rPr>
                <w:t>(6), 576-582. Retrieved 03 09, 2021, from https://www.ncbi.nlm.nih.gov/pmc/articles/PMC1466742/#__ffn_sectitle</w:t>
              </w:r>
            </w:p>
            <w:p w14:paraId="0EF8A348" w14:textId="77777777" w:rsidR="004568ED" w:rsidRDefault="004568ED" w:rsidP="004568ED">
              <w:pPr>
                <w:pStyle w:val="Bibliography"/>
                <w:ind w:left="720" w:hanging="720"/>
                <w:rPr>
                  <w:noProof/>
                </w:rPr>
              </w:pPr>
              <w:r>
                <w:rPr>
                  <w:noProof/>
                </w:rPr>
                <w:t xml:space="preserve">Davies, P. (2005). Biomedical models and healthcare systems - Tangible pathology has great validity. </w:t>
              </w:r>
              <w:r>
                <w:rPr>
                  <w:i/>
                  <w:iCs/>
                  <w:noProof/>
                </w:rPr>
                <w:t>BMJ, 330</w:t>
              </w:r>
              <w:r>
                <w:rPr>
                  <w:noProof/>
                </w:rPr>
                <w:t>(7488), 419-420. Retrieved 03 09, 2021, from https://www.researchgate.net/publication/8013917_Biomedical_models_and_healthcare_systems_-_Tangible_pathology_has_great_validity</w:t>
              </w:r>
            </w:p>
            <w:p w14:paraId="739CBA06" w14:textId="77777777" w:rsidR="004568ED" w:rsidRDefault="004568ED" w:rsidP="004568ED">
              <w:pPr>
                <w:pStyle w:val="Bibliography"/>
                <w:ind w:left="720" w:hanging="720"/>
                <w:rPr>
                  <w:noProof/>
                </w:rPr>
              </w:pPr>
              <w:r>
                <w:rPr>
                  <w:noProof/>
                </w:rPr>
                <w:t xml:space="preserve">Engel, G. L. (1977, 04 08). The Need for a New Medical Model: A Challenge for Biomedicine. </w:t>
              </w:r>
              <w:r>
                <w:rPr>
                  <w:i/>
                  <w:iCs/>
                  <w:noProof/>
                </w:rPr>
                <w:t>American Association for the Advancement of Science, 196</w:t>
              </w:r>
              <w:r>
                <w:rPr>
                  <w:noProof/>
                </w:rPr>
                <w:t>(4286), 129-136. Retrieved 03 09, 2021, from http://www.drannejensen.com/PDF/publications/The%20need%20for%20a%20new%20medical%20model%20-%20A%20challenge%20for%20biomedicine.pdf</w:t>
              </w:r>
            </w:p>
            <w:p w14:paraId="5E997336" w14:textId="77777777" w:rsidR="004568ED" w:rsidRDefault="004568ED" w:rsidP="004568ED">
              <w:pPr>
                <w:pStyle w:val="Bibliography"/>
                <w:ind w:left="720" w:hanging="720"/>
                <w:rPr>
                  <w:noProof/>
                </w:rPr>
              </w:pPr>
              <w:r>
                <w:rPr>
                  <w:noProof/>
                </w:rPr>
                <w:t xml:space="preserve">Farre, A., &amp; Rapley, T. (2017). The New Old (and Old New) Medical Model: Four Decades Navigating the Biomedical and Psychosocial Understandings of Health and Illness. </w:t>
              </w:r>
              <w:r>
                <w:rPr>
                  <w:i/>
                  <w:iCs/>
                  <w:noProof/>
                </w:rPr>
                <w:t>MDPI, 5</w:t>
              </w:r>
              <w:r>
                <w:rPr>
                  <w:noProof/>
                </w:rPr>
                <w:t>(4), 88. Retrieved 03 09, 2021, from https://www.mdpi.com/2227-9032/5/4/88/htm</w:t>
              </w:r>
            </w:p>
            <w:p w14:paraId="3FE5C259" w14:textId="77777777" w:rsidR="004568ED" w:rsidRDefault="004568ED" w:rsidP="004568ED">
              <w:pPr>
                <w:pStyle w:val="Bibliography"/>
                <w:ind w:left="720" w:hanging="720"/>
                <w:rPr>
                  <w:noProof/>
                </w:rPr>
              </w:pPr>
              <w:r>
                <w:rPr>
                  <w:noProof/>
                </w:rPr>
                <w:t xml:space="preserve">Foot, C., Gilburt, H., Dunn, P., Jabbal, J., Seal, B., Goodrich, J., . . . Taylor, J. (2014). </w:t>
              </w:r>
              <w:r>
                <w:rPr>
                  <w:i/>
                  <w:iCs/>
                  <w:noProof/>
                </w:rPr>
                <w:t>People in control of their own health and care: The state of involvement.</w:t>
              </w:r>
              <w:r>
                <w:rPr>
                  <w:noProof/>
                </w:rPr>
                <w:t xml:space="preserve"> The Kings Fund. Retrieved 03 09, 2021, from https://www.kingsfund.org.uk/sites/default/files/field/field_publication_file/people-in-control-of-their-own-health-and-care-the-state-of-involvement-november-2014.pdf</w:t>
              </w:r>
            </w:p>
            <w:p w14:paraId="6C5DA11A" w14:textId="77777777" w:rsidR="004568ED" w:rsidRDefault="004568ED" w:rsidP="004568ED">
              <w:pPr>
                <w:pStyle w:val="Bibliography"/>
                <w:ind w:left="720" w:hanging="720"/>
                <w:rPr>
                  <w:noProof/>
                </w:rPr>
              </w:pPr>
              <w:r>
                <w:rPr>
                  <w:noProof/>
                </w:rPr>
                <w:t xml:space="preserve">Health Scotland. (2017). </w:t>
              </w:r>
              <w:r>
                <w:rPr>
                  <w:i/>
                  <w:iCs/>
                  <w:noProof/>
                </w:rPr>
                <w:t>Place and Communities.</w:t>
              </w:r>
              <w:r>
                <w:rPr>
                  <w:noProof/>
                </w:rPr>
                <w:t xml:space="preserve"> Retrieved 03 08, 2021, from http://www.healthscotland.scot/media/1088/27414-place-and-communties-06-16.pdf</w:t>
              </w:r>
            </w:p>
            <w:p w14:paraId="5EFA5B4E" w14:textId="77777777" w:rsidR="004568ED" w:rsidRDefault="004568ED" w:rsidP="004568ED">
              <w:pPr>
                <w:pStyle w:val="Bibliography"/>
                <w:ind w:left="720" w:hanging="720"/>
                <w:rPr>
                  <w:noProof/>
                </w:rPr>
              </w:pPr>
              <w:r>
                <w:rPr>
                  <w:noProof/>
                </w:rPr>
                <w:t xml:space="preserve">Ige, J., Pilkington, P., Orme, J., Williams, B., Prestwood, E., Black, D., . . . Scally, G. (2019, 06). The relationship Between Buildings and Health: A Systematic Review. </w:t>
              </w:r>
              <w:r>
                <w:rPr>
                  <w:i/>
                  <w:iCs/>
                  <w:noProof/>
                </w:rPr>
                <w:t>Journal of Public Health, 41</w:t>
              </w:r>
              <w:r>
                <w:rPr>
                  <w:noProof/>
                </w:rPr>
                <w:t>(2), 121-132. Retrieved 03 08, 2021, from https://academic.oup.com/jpubhealth/article/41/2/e121/5076115</w:t>
              </w:r>
            </w:p>
            <w:p w14:paraId="458D98BA" w14:textId="77777777" w:rsidR="004568ED" w:rsidRDefault="004568ED" w:rsidP="004568ED">
              <w:pPr>
                <w:pStyle w:val="Bibliography"/>
                <w:ind w:left="720" w:hanging="720"/>
                <w:rPr>
                  <w:noProof/>
                </w:rPr>
              </w:pPr>
              <w:r>
                <w:rPr>
                  <w:noProof/>
                </w:rPr>
                <w:t xml:space="preserve">Kilpeläinena, M., Terhoa, E. O., Heleniusb, H., &amp; Koskenvuoc, M. (2001). Home dampness, current allergic diseases, and respiratory infections among young adults. </w:t>
              </w:r>
              <w:r>
                <w:rPr>
                  <w:i/>
                  <w:iCs/>
                  <w:noProof/>
                </w:rPr>
                <w:t>BMJ Journals, 56</w:t>
              </w:r>
              <w:r>
                <w:rPr>
                  <w:noProof/>
                </w:rPr>
                <w:t>(6), 462-467. Retrieved 03 08, 2021, from https://thorax.bmj.com/content/56/6/462.info</w:t>
              </w:r>
            </w:p>
            <w:p w14:paraId="6428E5CB" w14:textId="77777777" w:rsidR="004568ED" w:rsidRDefault="004568ED" w:rsidP="004568ED">
              <w:pPr>
                <w:pStyle w:val="Bibliography"/>
                <w:ind w:left="720" w:hanging="720"/>
                <w:rPr>
                  <w:noProof/>
                </w:rPr>
              </w:pPr>
              <w:r>
                <w:rPr>
                  <w:noProof/>
                </w:rPr>
                <w:t xml:space="preserve">Lawson, S. (2018, 01 30). </w:t>
              </w:r>
              <w:r>
                <w:rPr>
                  <w:i/>
                  <w:iCs/>
                  <w:noProof/>
                </w:rPr>
                <w:t>Poverty and Health</w:t>
              </w:r>
              <w:r>
                <w:rPr>
                  <w:noProof/>
                </w:rPr>
                <w:t>. Retrieved 03 09, 2021, from The HEalth Foundation: https://www.health.org.uk/infographic/poverty-and-health</w:t>
              </w:r>
            </w:p>
            <w:p w14:paraId="10048EDD" w14:textId="77777777" w:rsidR="004568ED" w:rsidRDefault="004568ED" w:rsidP="004568ED">
              <w:pPr>
                <w:pStyle w:val="Bibliography"/>
                <w:ind w:left="720" w:hanging="720"/>
                <w:rPr>
                  <w:noProof/>
                </w:rPr>
              </w:pPr>
              <w:r>
                <w:rPr>
                  <w:noProof/>
                </w:rPr>
                <w:t xml:space="preserve">Leathard, A. (2003). </w:t>
              </w:r>
              <w:r>
                <w:rPr>
                  <w:i/>
                  <w:iCs/>
                  <w:noProof/>
                </w:rPr>
                <w:t>Interprofessional Collaboration : From Policy to Practice in Health and Social Care.</w:t>
              </w:r>
              <w:r>
                <w:rPr>
                  <w:noProof/>
                </w:rPr>
                <w:t xml:space="preserve"> Retrieved 03 08, 2021, from https://web-a-ebscohost-com.ezproxy.uwtsd.ac.uk/ehost/ebookviewer/ebook/bmxlYmtfXzEwNjU1Ml9fQU41?sid=602bd700-becc-47ba-86fd-6d838604ffa7@sdc-v-sessmgr03&amp;vid=0&amp;format=EB&amp;lpid=lp_xi&amp;rid=0</w:t>
              </w:r>
            </w:p>
            <w:p w14:paraId="19E98044" w14:textId="77777777" w:rsidR="004568ED" w:rsidRDefault="004568ED" w:rsidP="004568ED">
              <w:pPr>
                <w:pStyle w:val="Bibliography"/>
                <w:ind w:left="720" w:hanging="720"/>
                <w:rPr>
                  <w:noProof/>
                </w:rPr>
              </w:pPr>
              <w:r>
                <w:rPr>
                  <w:noProof/>
                </w:rPr>
                <w:t xml:space="preserve">Lowell, B. (2020). </w:t>
              </w:r>
              <w:r>
                <w:rPr>
                  <w:i/>
                  <w:iCs/>
                  <w:noProof/>
                </w:rPr>
                <w:t>Improving Access to Greenspace - A New Review for 2020.</w:t>
              </w:r>
              <w:r>
                <w:rPr>
                  <w:noProof/>
                </w:rPr>
                <w:t xml:space="preserve"> Public Health England. Retrieved 03 08, 2021, from https://beyondgreenspace.net/2020/07/29/improving-access-to-greenspace-a-new-review-for-2020/</w:t>
              </w:r>
            </w:p>
            <w:p w14:paraId="2DEA6B39" w14:textId="77777777" w:rsidR="004568ED" w:rsidRDefault="004568ED" w:rsidP="004568ED">
              <w:pPr>
                <w:pStyle w:val="Bibliography"/>
                <w:ind w:left="720" w:hanging="720"/>
                <w:rPr>
                  <w:noProof/>
                </w:rPr>
              </w:pPr>
              <w:r>
                <w:rPr>
                  <w:noProof/>
                </w:rPr>
                <w:t xml:space="preserve">Malm, C., Jakobsson, J., &amp; Isaksson, A. (2019, 05 23). Physical Activity and Sports—Real Health Benefits: A Review with Insight into the Public Health of Sweden. </w:t>
              </w:r>
              <w:r>
                <w:rPr>
                  <w:i/>
                  <w:iCs/>
                  <w:noProof/>
                </w:rPr>
                <w:t>MDPI, 7</w:t>
              </w:r>
              <w:r>
                <w:rPr>
                  <w:noProof/>
                </w:rPr>
                <w:t>(5), 127. Retrieved 03 08, 2021, from https://www.mdpi.com/2075-4663/7/5/127/htm</w:t>
              </w:r>
            </w:p>
            <w:p w14:paraId="15203E3B" w14:textId="77777777" w:rsidR="004568ED" w:rsidRDefault="004568ED" w:rsidP="004568ED">
              <w:pPr>
                <w:pStyle w:val="Bibliography"/>
                <w:ind w:left="720" w:hanging="720"/>
                <w:rPr>
                  <w:noProof/>
                </w:rPr>
              </w:pPr>
              <w:r>
                <w:rPr>
                  <w:noProof/>
                </w:rPr>
                <w:t xml:space="preserve">Mold, A. (2018, 04). Framing drug and alcohol use as a public health problem in Britain. </w:t>
              </w:r>
              <w:r>
                <w:rPr>
                  <w:i/>
                  <w:iCs/>
                  <w:noProof/>
                </w:rPr>
                <w:t>Nordic Studies of Alcohol and Drugs, 35</w:t>
              </w:r>
              <w:r>
                <w:rPr>
                  <w:noProof/>
                </w:rPr>
                <w:t>(2), 93-99. Retrieved 03 08, 2021</w:t>
              </w:r>
            </w:p>
            <w:p w14:paraId="11000CB7" w14:textId="77777777" w:rsidR="004568ED" w:rsidRDefault="004568ED" w:rsidP="004568ED">
              <w:pPr>
                <w:pStyle w:val="Bibliography"/>
                <w:ind w:left="720" w:hanging="720"/>
                <w:rPr>
                  <w:noProof/>
                </w:rPr>
              </w:pPr>
              <w:r>
                <w:rPr>
                  <w:noProof/>
                </w:rPr>
                <w:t xml:space="preserve">Nancarrow, S. A., Booth, A., Ariss, S., Smith, T., Enderby, P., &amp; Roots, A. (2013, 05 10). Ten principles of good interdisciplinary team work. </w:t>
              </w:r>
              <w:r>
                <w:rPr>
                  <w:i/>
                  <w:iCs/>
                  <w:noProof/>
                </w:rPr>
                <w:t>Human Resources for Health, 11</w:t>
              </w:r>
              <w:r>
                <w:rPr>
                  <w:noProof/>
                </w:rPr>
                <w:t>(19). Retrieved 03 09, 2021, from https://www.ncbi.nlm.nih.gov/pmc/articles/PMC3662612/#__ffn_sectitle</w:t>
              </w:r>
            </w:p>
            <w:p w14:paraId="49F4938F" w14:textId="77777777" w:rsidR="004568ED" w:rsidRDefault="004568ED" w:rsidP="004568ED">
              <w:pPr>
                <w:pStyle w:val="Bibliography"/>
                <w:ind w:left="720" w:hanging="720"/>
                <w:rPr>
                  <w:noProof/>
                </w:rPr>
              </w:pPr>
              <w:r>
                <w:rPr>
                  <w:noProof/>
                </w:rPr>
                <w:t xml:space="preserve">National Research Council. (1998). </w:t>
              </w:r>
              <w:r>
                <w:rPr>
                  <w:i/>
                  <w:iCs/>
                  <w:noProof/>
                </w:rPr>
                <w:t>Biomedical Models and Resources: Current Needs and Future Opportunities.</w:t>
              </w:r>
              <w:r>
                <w:rPr>
                  <w:noProof/>
                </w:rPr>
                <w:t xml:space="preserve"> National Academies Press. Retrieved 03 09, 2021, from https://www.ncbi.nlm.nih.gov/books/NBK230283/#:~:text=A%20biomedical%20model%20is%20a,therapeutic%20intervention%20in%20human%20diseases.</w:t>
              </w:r>
            </w:p>
            <w:p w14:paraId="46CDAEF0" w14:textId="77777777" w:rsidR="004568ED" w:rsidRDefault="004568ED" w:rsidP="004568ED">
              <w:pPr>
                <w:pStyle w:val="Bibliography"/>
                <w:ind w:left="720" w:hanging="720"/>
                <w:rPr>
                  <w:noProof/>
                </w:rPr>
              </w:pPr>
              <w:r>
                <w:rPr>
                  <w:noProof/>
                </w:rPr>
                <w:t xml:space="preserve">Office of Disease Prevention and Health Promotion. (2021). </w:t>
              </w:r>
              <w:r>
                <w:rPr>
                  <w:i/>
                  <w:iCs/>
                  <w:noProof/>
                </w:rPr>
                <w:t>Environmental Health.</w:t>
              </w:r>
              <w:r>
                <w:rPr>
                  <w:noProof/>
                </w:rPr>
                <w:t xml:space="preserve"> ODPHP. Retrieved 03 09, 2021, from https://www.healthypeople.gov/2020/topics-objectives/topic/environmental-health</w:t>
              </w:r>
            </w:p>
            <w:p w14:paraId="5BBD0CCB" w14:textId="77777777" w:rsidR="004568ED" w:rsidRDefault="004568ED" w:rsidP="004568ED">
              <w:pPr>
                <w:pStyle w:val="Bibliography"/>
                <w:ind w:left="720" w:hanging="720"/>
                <w:rPr>
                  <w:noProof/>
                </w:rPr>
              </w:pPr>
              <w:r>
                <w:rPr>
                  <w:noProof/>
                </w:rPr>
                <w:t xml:space="preserve">ONS. (2020). </w:t>
              </w:r>
              <w:r>
                <w:rPr>
                  <w:i/>
                  <w:iCs/>
                  <w:noProof/>
                </w:rPr>
                <w:t>Religion and health in England and Wales: February 2020.</w:t>
              </w:r>
              <w:r>
                <w:rPr>
                  <w:noProof/>
                </w:rPr>
                <w:t xml:space="preserve"> Office of National Statistics. Retrieved 03 09, 2021, from https://www.ons.gov.uk/peoplepopulationandcommunity/culturalidentity/religion/articles/religionandhealthinenglandandwales/february2020</w:t>
              </w:r>
            </w:p>
            <w:p w14:paraId="7EA0BF41" w14:textId="77777777" w:rsidR="004568ED" w:rsidRDefault="004568ED" w:rsidP="004568ED">
              <w:pPr>
                <w:pStyle w:val="Bibliography"/>
                <w:ind w:left="720" w:hanging="720"/>
                <w:rPr>
                  <w:noProof/>
                </w:rPr>
              </w:pPr>
              <w:r>
                <w:rPr>
                  <w:noProof/>
                </w:rPr>
                <w:t xml:space="preserve">Rehm, J. (2011). The Risks Associated With Alcohol Use and Alcoholism. </w:t>
              </w:r>
              <w:r>
                <w:rPr>
                  <w:i/>
                  <w:iCs/>
                  <w:noProof/>
                </w:rPr>
                <w:t>Alcohol Research and Health, 34</w:t>
              </w:r>
              <w:r>
                <w:rPr>
                  <w:noProof/>
                </w:rPr>
                <w:t>(2), 135-143. Retrieved 03 08, 2021, from https://www.ncbi.nlm.nih.gov/pmc/articles/PMC3307043/#__ffn_sectitle</w:t>
              </w:r>
            </w:p>
            <w:p w14:paraId="77D615F3" w14:textId="77777777" w:rsidR="004568ED" w:rsidRDefault="004568ED" w:rsidP="004568ED">
              <w:pPr>
                <w:pStyle w:val="Bibliography"/>
                <w:ind w:left="720" w:hanging="720"/>
                <w:rPr>
                  <w:noProof/>
                </w:rPr>
              </w:pPr>
              <w:r>
                <w:rPr>
                  <w:noProof/>
                </w:rPr>
                <w:t xml:space="preserve">Rehm, J., &amp; Parry, C. (2009). Alcohol consumption and infectious diseases in South Africa. </w:t>
              </w:r>
              <w:r>
                <w:rPr>
                  <w:i/>
                  <w:iCs/>
                  <w:noProof/>
                </w:rPr>
                <w:t>The Lancet, 374</w:t>
              </w:r>
              <w:r>
                <w:rPr>
                  <w:noProof/>
                </w:rPr>
                <w:t>(9707), 2053. Retrieved 03 08, 2021, from https://www.thelancet.com/journals/lancet/article/PIIS0140-6736(09)62150-4/fulltext</w:t>
              </w:r>
            </w:p>
            <w:p w14:paraId="6B14F67F" w14:textId="77777777" w:rsidR="004568ED" w:rsidRDefault="004568ED" w:rsidP="004568ED">
              <w:pPr>
                <w:pStyle w:val="Bibliography"/>
                <w:ind w:left="720" w:hanging="720"/>
                <w:rPr>
                  <w:noProof/>
                </w:rPr>
              </w:pPr>
              <w:r>
                <w:rPr>
                  <w:noProof/>
                </w:rPr>
                <w:t xml:space="preserve">Resnik, D. B. (2007, 08). Responsibility for health: personal, social, and environmental. </w:t>
              </w:r>
              <w:r>
                <w:rPr>
                  <w:i/>
                  <w:iCs/>
                  <w:noProof/>
                </w:rPr>
                <w:t>Journal of Medical Ethics, 33</w:t>
              </w:r>
              <w:r>
                <w:rPr>
                  <w:noProof/>
                </w:rPr>
                <w:t>(8), 444-445. Retrieved 03 09, 2021, from https://www.ncbi.nlm.nih.gov/pmc/articles/PMC2598168/#__ffn_sectitle</w:t>
              </w:r>
            </w:p>
            <w:p w14:paraId="1E4163A5" w14:textId="77777777" w:rsidR="004568ED" w:rsidRDefault="004568ED" w:rsidP="004568ED">
              <w:pPr>
                <w:pStyle w:val="Bibliography"/>
                <w:ind w:left="720" w:hanging="720"/>
                <w:rPr>
                  <w:noProof/>
                </w:rPr>
              </w:pPr>
              <w:r>
                <w:rPr>
                  <w:noProof/>
                </w:rPr>
                <w:t xml:space="preserve">Ross, C. E., &amp; Wu, C.-l. (1995, 10). The Links Between Education and Health. </w:t>
              </w:r>
              <w:r>
                <w:rPr>
                  <w:i/>
                  <w:iCs/>
                  <w:noProof/>
                </w:rPr>
                <w:t>American Sociological Assosiation, 6</w:t>
              </w:r>
              <w:r>
                <w:rPr>
                  <w:noProof/>
                </w:rPr>
                <w:t>(5), 719-745. Retrieved 03 08, 2021, from https://citeseerx.ist.psu.edu/viewdoc/download?doi=10.1.1.462.815&amp;rep=rep1&amp;type=pdf</w:t>
              </w:r>
            </w:p>
            <w:p w14:paraId="4D986E02" w14:textId="77777777" w:rsidR="004568ED" w:rsidRDefault="004568ED" w:rsidP="004568ED">
              <w:pPr>
                <w:pStyle w:val="Bibliography"/>
                <w:ind w:left="720" w:hanging="720"/>
                <w:rPr>
                  <w:noProof/>
                </w:rPr>
              </w:pPr>
              <w:r>
                <w:rPr>
                  <w:noProof/>
                </w:rPr>
                <w:t xml:space="preserve">Rouhani, M. H., &amp; Azadbakht, L. (2014, 10). Is Ramadan fasting related to health outcomes? A review on the related evidence. </w:t>
              </w:r>
              <w:r>
                <w:rPr>
                  <w:i/>
                  <w:iCs/>
                  <w:noProof/>
                </w:rPr>
                <w:t>Journal of Research in Medical Sciences: The Official Journal of Isfahan University of Medical Sciences, 19</w:t>
              </w:r>
              <w:r>
                <w:rPr>
                  <w:noProof/>
                </w:rPr>
                <w:t>(10), 987-992. Retrieved 03 09, 2021, from https://www.ncbi.nlm.nih.gov/pmc/articles/PMC4274578/#__ffn_sectitle</w:t>
              </w:r>
            </w:p>
            <w:p w14:paraId="6BC11DFD" w14:textId="77777777" w:rsidR="004568ED" w:rsidRDefault="004568ED" w:rsidP="004568ED">
              <w:pPr>
                <w:pStyle w:val="Bibliography"/>
                <w:ind w:left="720" w:hanging="720"/>
                <w:rPr>
                  <w:noProof/>
                </w:rPr>
              </w:pPr>
              <w:r>
                <w:rPr>
                  <w:noProof/>
                </w:rPr>
                <w:t xml:space="preserve">Short, S. E., &amp; Mollborn, S. (2015, 10 05). Social Determinants and Health Behaviors: Conceptual Frames and Empirical Advances. </w:t>
              </w:r>
              <w:r>
                <w:rPr>
                  <w:i/>
                  <w:iCs/>
                  <w:noProof/>
                </w:rPr>
                <w:t>Current Opinion in Psychology</w:t>
              </w:r>
              <w:r>
                <w:rPr>
                  <w:noProof/>
                </w:rPr>
                <w:t>, 78-84. Retrieved 03 08, 2021, from https://www.ncbi.nlm.nih.gov/pmc/articles/PMC4511598/#__ffn_sectitle</w:t>
              </w:r>
            </w:p>
            <w:p w14:paraId="6AA855E3" w14:textId="77777777" w:rsidR="004568ED" w:rsidRDefault="004568ED" w:rsidP="004568ED">
              <w:pPr>
                <w:pStyle w:val="Bibliography"/>
                <w:ind w:left="720" w:hanging="720"/>
                <w:rPr>
                  <w:noProof/>
                </w:rPr>
              </w:pPr>
              <w:r>
                <w:rPr>
                  <w:noProof/>
                </w:rPr>
                <w:t xml:space="preserve">Trepanowski, J. F., &amp; Bloomer, R. J. (2010, 11 22). The impact of religious fasting on human health. </w:t>
              </w:r>
              <w:r>
                <w:rPr>
                  <w:i/>
                  <w:iCs/>
                  <w:noProof/>
                </w:rPr>
                <w:t>Nutrition Journal, 9</w:t>
              </w:r>
              <w:r>
                <w:rPr>
                  <w:noProof/>
                </w:rPr>
                <w:t>(57). Retrieved 03 09, 2021, from https://nutritionj.biomedcentral.com/articles/10.1186/1475-2891-9-57</w:t>
              </w:r>
            </w:p>
            <w:p w14:paraId="56F3E3B8" w14:textId="77777777" w:rsidR="004568ED" w:rsidRDefault="004568ED" w:rsidP="004568ED">
              <w:pPr>
                <w:pStyle w:val="Bibliography"/>
                <w:ind w:left="720" w:hanging="720"/>
                <w:rPr>
                  <w:noProof/>
                </w:rPr>
              </w:pPr>
              <w:r>
                <w:rPr>
                  <w:noProof/>
                </w:rPr>
                <w:t xml:space="preserve">Wade, D. T., &amp; Halligan, P. W. (2004, 12 11). Do biomedical models of illness make for good healthcare systems? </w:t>
              </w:r>
              <w:r>
                <w:rPr>
                  <w:i/>
                  <w:iCs/>
                  <w:noProof/>
                </w:rPr>
                <w:t>BMJ, 329</w:t>
              </w:r>
              <w:r>
                <w:rPr>
                  <w:noProof/>
                </w:rPr>
                <w:t>(7479), 1398-1401. Retrieved 03 09, 2021, from https://www.ncbi.nlm.nih.gov/pmc/articles/PMC535463/#__ffn_sectitle</w:t>
              </w:r>
            </w:p>
            <w:p w14:paraId="6573E627" w14:textId="77777777" w:rsidR="004568ED" w:rsidRDefault="004568ED" w:rsidP="004568ED">
              <w:pPr>
                <w:pStyle w:val="Bibliography"/>
                <w:ind w:left="720" w:hanging="720"/>
                <w:rPr>
                  <w:noProof/>
                </w:rPr>
              </w:pPr>
              <w:r>
                <w:rPr>
                  <w:noProof/>
                </w:rPr>
                <w:t xml:space="preserve">WHO. (2009). </w:t>
              </w:r>
              <w:r>
                <w:rPr>
                  <w:i/>
                  <w:iCs/>
                  <w:noProof/>
                </w:rPr>
                <w:t>Global Health Risks: Mortality and burden of disease attributable to selected major risks.</w:t>
              </w:r>
              <w:r>
                <w:rPr>
                  <w:noProof/>
                </w:rPr>
                <w:t xml:space="preserve"> Retrieved 03 08, 2021, from https://apps.who.int/iris/bitstream/handle/10665/44203/9789241563871_eng.pdf</w:t>
              </w:r>
            </w:p>
            <w:p w14:paraId="2A515DFB" w14:textId="77777777" w:rsidR="004568ED" w:rsidRDefault="004568ED" w:rsidP="004568ED">
              <w:pPr>
                <w:pStyle w:val="Bibliography"/>
                <w:ind w:left="720" w:hanging="720"/>
                <w:rPr>
                  <w:noProof/>
                </w:rPr>
              </w:pPr>
              <w:r>
                <w:rPr>
                  <w:noProof/>
                </w:rPr>
                <w:t xml:space="preserve">WHO. (2021). </w:t>
              </w:r>
              <w:r>
                <w:rPr>
                  <w:i/>
                  <w:iCs/>
                  <w:noProof/>
                </w:rPr>
                <w:t>Constitution.</w:t>
              </w:r>
              <w:r>
                <w:rPr>
                  <w:noProof/>
                </w:rPr>
                <w:t xml:space="preserve"> World Health Organisation. Retrieved 03 09, 2021, from https://www.who.int/about/who-we-are/constitution#:~:text=Health%20is%20a%20state%20of,belief%2C%20economic%20or%20social%20condition.</w:t>
              </w:r>
            </w:p>
            <w:p w14:paraId="04348F3C" w14:textId="24A85CBF" w:rsidR="004568ED" w:rsidRDefault="004568ED" w:rsidP="004568ED">
              <w:r>
                <w:rPr>
                  <w:b/>
                  <w:bCs/>
                  <w:noProof/>
                </w:rPr>
                <w:fldChar w:fldCharType="end"/>
              </w:r>
            </w:p>
          </w:sdtContent>
        </w:sdt>
      </w:sdtContent>
    </w:sdt>
    <w:p w14:paraId="269A9573" w14:textId="77777777" w:rsidR="004568ED" w:rsidRDefault="004568ED" w:rsidP="008F7F25">
      <w:pPr>
        <w:spacing w:line="360" w:lineRule="auto"/>
        <w:jc w:val="both"/>
        <w:rPr>
          <w:rFonts w:ascii="Arial" w:hAnsi="Arial" w:cs="Arial"/>
          <w:sz w:val="24"/>
          <w:szCs w:val="24"/>
        </w:rPr>
      </w:pPr>
    </w:p>
    <w:p w14:paraId="21E9B080" w14:textId="77777777" w:rsidR="00825A35" w:rsidRDefault="00825A35" w:rsidP="008F7F25">
      <w:pPr>
        <w:spacing w:line="360" w:lineRule="auto"/>
        <w:jc w:val="both"/>
        <w:rPr>
          <w:rFonts w:ascii="Arial" w:hAnsi="Arial" w:cs="Arial"/>
          <w:sz w:val="24"/>
          <w:szCs w:val="24"/>
        </w:rPr>
      </w:pPr>
    </w:p>
    <w:p w14:paraId="2FFD4FDE" w14:textId="23EDB34B" w:rsidR="00E731F8" w:rsidRDefault="00E731F8" w:rsidP="008F7F25">
      <w:pPr>
        <w:spacing w:line="360" w:lineRule="auto"/>
        <w:jc w:val="both"/>
        <w:rPr>
          <w:rFonts w:ascii="Arial" w:hAnsi="Arial" w:cs="Arial"/>
          <w:sz w:val="24"/>
          <w:szCs w:val="24"/>
        </w:rPr>
      </w:pPr>
    </w:p>
    <w:p w14:paraId="71040E33" w14:textId="43A19F15" w:rsidR="00E731F8" w:rsidRDefault="00E731F8" w:rsidP="008F7F25">
      <w:pPr>
        <w:spacing w:line="360" w:lineRule="auto"/>
        <w:jc w:val="both"/>
        <w:rPr>
          <w:rFonts w:ascii="Arial" w:hAnsi="Arial" w:cs="Arial"/>
          <w:sz w:val="24"/>
          <w:szCs w:val="24"/>
        </w:rPr>
      </w:pPr>
    </w:p>
    <w:p w14:paraId="2A60B97A" w14:textId="5BB856C9" w:rsidR="00E731F8" w:rsidRDefault="00E731F8" w:rsidP="008F7F25">
      <w:pPr>
        <w:spacing w:line="360" w:lineRule="auto"/>
        <w:jc w:val="both"/>
        <w:rPr>
          <w:rFonts w:ascii="Arial" w:hAnsi="Arial" w:cs="Arial"/>
          <w:sz w:val="24"/>
          <w:szCs w:val="24"/>
        </w:rPr>
      </w:pPr>
    </w:p>
    <w:p w14:paraId="49E63236" w14:textId="1F212F9D" w:rsidR="00E731F8" w:rsidRDefault="00E731F8" w:rsidP="008F7F25">
      <w:pPr>
        <w:spacing w:line="360" w:lineRule="auto"/>
        <w:jc w:val="both"/>
        <w:rPr>
          <w:rFonts w:ascii="Arial" w:hAnsi="Arial" w:cs="Arial"/>
          <w:sz w:val="24"/>
          <w:szCs w:val="24"/>
        </w:rPr>
      </w:pPr>
    </w:p>
    <w:p w14:paraId="572C6663" w14:textId="5D60C153" w:rsidR="00E731F8" w:rsidRDefault="00E731F8" w:rsidP="008F7F25">
      <w:pPr>
        <w:spacing w:line="360" w:lineRule="auto"/>
        <w:jc w:val="both"/>
        <w:rPr>
          <w:rFonts w:ascii="Arial" w:hAnsi="Arial" w:cs="Arial"/>
          <w:sz w:val="24"/>
          <w:szCs w:val="24"/>
        </w:rPr>
      </w:pPr>
    </w:p>
    <w:p w14:paraId="63E5736D" w14:textId="748A1A79" w:rsidR="00E731F8" w:rsidRDefault="00E731F8" w:rsidP="008F7F25">
      <w:pPr>
        <w:spacing w:line="360" w:lineRule="auto"/>
        <w:jc w:val="both"/>
        <w:rPr>
          <w:rFonts w:ascii="Arial" w:hAnsi="Arial" w:cs="Arial"/>
          <w:sz w:val="24"/>
          <w:szCs w:val="24"/>
        </w:rPr>
      </w:pPr>
    </w:p>
    <w:p w14:paraId="71269A27" w14:textId="70F4B04B" w:rsidR="00E731F8" w:rsidRDefault="00E731F8" w:rsidP="008F7F25">
      <w:pPr>
        <w:spacing w:line="360" w:lineRule="auto"/>
        <w:jc w:val="both"/>
        <w:rPr>
          <w:rFonts w:ascii="Arial" w:hAnsi="Arial" w:cs="Arial"/>
          <w:sz w:val="24"/>
          <w:szCs w:val="24"/>
        </w:rPr>
      </w:pPr>
    </w:p>
    <w:p w14:paraId="5203D8D6" w14:textId="772EDF50" w:rsidR="00E731F8" w:rsidRPr="00862DAB" w:rsidRDefault="00E731F8" w:rsidP="008F7F25">
      <w:pPr>
        <w:spacing w:line="360" w:lineRule="auto"/>
        <w:jc w:val="both"/>
        <w:rPr>
          <w:rFonts w:ascii="Arial" w:hAnsi="Arial" w:cs="Arial"/>
          <w:sz w:val="24"/>
          <w:szCs w:val="24"/>
        </w:rPr>
      </w:pPr>
    </w:p>
    <w:sectPr w:rsidR="00E731F8" w:rsidRPr="00862DAB" w:rsidSect="00314736">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824074" w14:textId="77777777" w:rsidR="0048201C" w:rsidRDefault="0048201C" w:rsidP="00E764AD">
      <w:r>
        <w:separator/>
      </w:r>
    </w:p>
  </w:endnote>
  <w:endnote w:type="continuationSeparator" w:id="0">
    <w:p w14:paraId="5A1D33C5" w14:textId="77777777" w:rsidR="0048201C" w:rsidRDefault="0048201C" w:rsidP="00E764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EA4D1" w14:textId="77777777" w:rsidR="0048201C" w:rsidRDefault="0048201C" w:rsidP="00E764AD">
      <w:r>
        <w:separator/>
      </w:r>
    </w:p>
  </w:footnote>
  <w:footnote w:type="continuationSeparator" w:id="0">
    <w:p w14:paraId="56578EA5" w14:textId="77777777" w:rsidR="0048201C" w:rsidRDefault="0048201C" w:rsidP="00E764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0006F" w14:textId="14818BE7" w:rsidR="00E764AD" w:rsidRDefault="00E764AD">
    <w:pPr>
      <w:pStyle w:val="Header"/>
    </w:pPr>
    <w:r>
      <w:t>Laszlo Miko (1903056)                                                                      Principles of Health and Social Care Practice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B03C8B" w14:textId="09C81AD1" w:rsidR="00314736" w:rsidRDefault="00314736">
    <w:pPr>
      <w:pStyle w:val="Header"/>
    </w:pPr>
    <w:r>
      <w:t>Laszlo Miko (1903056)                                                                      Principles of Health and Social Care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561DB4"/>
    <w:multiLevelType w:val="hybridMultilevel"/>
    <w:tmpl w:val="7FF08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CB7D2A"/>
    <w:multiLevelType w:val="hybridMultilevel"/>
    <w:tmpl w:val="1E1A2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4B1A59"/>
    <w:multiLevelType w:val="hybridMultilevel"/>
    <w:tmpl w:val="01020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DAB"/>
    <w:rsid w:val="00041A1F"/>
    <w:rsid w:val="00102790"/>
    <w:rsid w:val="00114C14"/>
    <w:rsid w:val="00164591"/>
    <w:rsid w:val="0026001E"/>
    <w:rsid w:val="0028344F"/>
    <w:rsid w:val="002E6FF3"/>
    <w:rsid w:val="00314736"/>
    <w:rsid w:val="003A57A0"/>
    <w:rsid w:val="003B0037"/>
    <w:rsid w:val="003D0A3C"/>
    <w:rsid w:val="004568ED"/>
    <w:rsid w:val="0048201C"/>
    <w:rsid w:val="004B12E9"/>
    <w:rsid w:val="004C068E"/>
    <w:rsid w:val="004C4AA4"/>
    <w:rsid w:val="004E79CD"/>
    <w:rsid w:val="00574996"/>
    <w:rsid w:val="005B2BAF"/>
    <w:rsid w:val="005D3B43"/>
    <w:rsid w:val="005E2A58"/>
    <w:rsid w:val="007256CF"/>
    <w:rsid w:val="00765764"/>
    <w:rsid w:val="00786F19"/>
    <w:rsid w:val="00794AE8"/>
    <w:rsid w:val="00816305"/>
    <w:rsid w:val="00825A35"/>
    <w:rsid w:val="008544E2"/>
    <w:rsid w:val="00862DAB"/>
    <w:rsid w:val="008673FA"/>
    <w:rsid w:val="0087280B"/>
    <w:rsid w:val="008F7F25"/>
    <w:rsid w:val="009309F8"/>
    <w:rsid w:val="0095424B"/>
    <w:rsid w:val="009837D6"/>
    <w:rsid w:val="009B2389"/>
    <w:rsid w:val="00A43AB2"/>
    <w:rsid w:val="00A578AC"/>
    <w:rsid w:val="00A84FE3"/>
    <w:rsid w:val="00A901C8"/>
    <w:rsid w:val="00AC7FCC"/>
    <w:rsid w:val="00AE4927"/>
    <w:rsid w:val="00B37350"/>
    <w:rsid w:val="00B80374"/>
    <w:rsid w:val="00C14FF4"/>
    <w:rsid w:val="00C54C45"/>
    <w:rsid w:val="00C57B06"/>
    <w:rsid w:val="00C83FC3"/>
    <w:rsid w:val="00CC4B16"/>
    <w:rsid w:val="00CD0AF9"/>
    <w:rsid w:val="00D07D4F"/>
    <w:rsid w:val="00D17AB3"/>
    <w:rsid w:val="00DA6B3E"/>
    <w:rsid w:val="00DE145F"/>
    <w:rsid w:val="00DF5A83"/>
    <w:rsid w:val="00E074F9"/>
    <w:rsid w:val="00E326BA"/>
    <w:rsid w:val="00E731F8"/>
    <w:rsid w:val="00E764AD"/>
    <w:rsid w:val="00EC10A6"/>
    <w:rsid w:val="00F14D37"/>
    <w:rsid w:val="00F50BEC"/>
    <w:rsid w:val="00F711B0"/>
    <w:rsid w:val="00F75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7316"/>
  <w15:chartTrackingRefBased/>
  <w15:docId w15:val="{B3DA8E7E-4969-41E0-9AAF-F3AC58BC6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62DA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B23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238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2389"/>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9B2389"/>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4C068E"/>
    <w:pPr>
      <w:ind w:left="720"/>
      <w:contextualSpacing/>
    </w:pPr>
  </w:style>
  <w:style w:type="paragraph" w:styleId="Header">
    <w:name w:val="header"/>
    <w:basedOn w:val="Normal"/>
    <w:link w:val="HeaderChar"/>
    <w:uiPriority w:val="99"/>
    <w:unhideWhenUsed/>
    <w:rsid w:val="00E764AD"/>
    <w:pPr>
      <w:tabs>
        <w:tab w:val="center" w:pos="4513"/>
        <w:tab w:val="right" w:pos="9026"/>
      </w:tabs>
    </w:pPr>
  </w:style>
  <w:style w:type="character" w:customStyle="1" w:styleId="HeaderChar">
    <w:name w:val="Header Char"/>
    <w:basedOn w:val="DefaultParagraphFont"/>
    <w:link w:val="Header"/>
    <w:uiPriority w:val="99"/>
    <w:rsid w:val="00E764A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764AD"/>
    <w:pPr>
      <w:tabs>
        <w:tab w:val="center" w:pos="4513"/>
        <w:tab w:val="right" w:pos="9026"/>
      </w:tabs>
    </w:pPr>
  </w:style>
  <w:style w:type="character" w:customStyle="1" w:styleId="FooterChar">
    <w:name w:val="Footer Char"/>
    <w:basedOn w:val="DefaultParagraphFont"/>
    <w:link w:val="Footer"/>
    <w:uiPriority w:val="99"/>
    <w:rsid w:val="00E764AD"/>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4568ED"/>
    <w:pPr>
      <w:spacing w:line="259" w:lineRule="auto"/>
      <w:outlineLvl w:val="9"/>
    </w:pPr>
    <w:rPr>
      <w:lang w:val="en-US" w:eastAsia="en-US"/>
    </w:rPr>
  </w:style>
  <w:style w:type="paragraph" w:styleId="TOC1">
    <w:name w:val="toc 1"/>
    <w:basedOn w:val="Normal"/>
    <w:next w:val="Normal"/>
    <w:autoRedefine/>
    <w:uiPriority w:val="39"/>
    <w:unhideWhenUsed/>
    <w:rsid w:val="004568ED"/>
    <w:pPr>
      <w:spacing w:after="100"/>
    </w:pPr>
  </w:style>
  <w:style w:type="paragraph" w:styleId="TOC2">
    <w:name w:val="toc 2"/>
    <w:basedOn w:val="Normal"/>
    <w:next w:val="Normal"/>
    <w:autoRedefine/>
    <w:uiPriority w:val="39"/>
    <w:unhideWhenUsed/>
    <w:rsid w:val="004568ED"/>
    <w:pPr>
      <w:spacing w:after="100"/>
      <w:ind w:left="200"/>
    </w:pPr>
  </w:style>
  <w:style w:type="character" w:styleId="Hyperlink">
    <w:name w:val="Hyperlink"/>
    <w:basedOn w:val="DefaultParagraphFont"/>
    <w:uiPriority w:val="99"/>
    <w:unhideWhenUsed/>
    <w:rsid w:val="004568ED"/>
    <w:rPr>
      <w:color w:val="0563C1" w:themeColor="hyperlink"/>
      <w:u w:val="single"/>
    </w:rPr>
  </w:style>
  <w:style w:type="paragraph" w:styleId="Bibliography">
    <w:name w:val="Bibliography"/>
    <w:basedOn w:val="Normal"/>
    <w:next w:val="Normal"/>
    <w:uiPriority w:val="37"/>
    <w:unhideWhenUsed/>
    <w:rsid w:val="004568ED"/>
  </w:style>
  <w:style w:type="paragraph" w:styleId="NoSpacing">
    <w:name w:val="No Spacing"/>
    <w:link w:val="NoSpacingChar"/>
    <w:uiPriority w:val="1"/>
    <w:qFormat/>
    <w:rsid w:val="003147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73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33208">
      <w:bodyDiv w:val="1"/>
      <w:marLeft w:val="0"/>
      <w:marRight w:val="0"/>
      <w:marTop w:val="0"/>
      <w:marBottom w:val="0"/>
      <w:divBdr>
        <w:top w:val="none" w:sz="0" w:space="0" w:color="auto"/>
        <w:left w:val="none" w:sz="0" w:space="0" w:color="auto"/>
        <w:bottom w:val="none" w:sz="0" w:space="0" w:color="auto"/>
        <w:right w:val="none" w:sz="0" w:space="0" w:color="auto"/>
      </w:divBdr>
    </w:div>
    <w:div w:id="51664632">
      <w:bodyDiv w:val="1"/>
      <w:marLeft w:val="0"/>
      <w:marRight w:val="0"/>
      <w:marTop w:val="0"/>
      <w:marBottom w:val="0"/>
      <w:divBdr>
        <w:top w:val="none" w:sz="0" w:space="0" w:color="auto"/>
        <w:left w:val="none" w:sz="0" w:space="0" w:color="auto"/>
        <w:bottom w:val="none" w:sz="0" w:space="0" w:color="auto"/>
        <w:right w:val="none" w:sz="0" w:space="0" w:color="auto"/>
      </w:divBdr>
    </w:div>
    <w:div w:id="127364393">
      <w:bodyDiv w:val="1"/>
      <w:marLeft w:val="0"/>
      <w:marRight w:val="0"/>
      <w:marTop w:val="0"/>
      <w:marBottom w:val="0"/>
      <w:divBdr>
        <w:top w:val="none" w:sz="0" w:space="0" w:color="auto"/>
        <w:left w:val="none" w:sz="0" w:space="0" w:color="auto"/>
        <w:bottom w:val="none" w:sz="0" w:space="0" w:color="auto"/>
        <w:right w:val="none" w:sz="0" w:space="0" w:color="auto"/>
      </w:divBdr>
    </w:div>
    <w:div w:id="131949700">
      <w:bodyDiv w:val="1"/>
      <w:marLeft w:val="0"/>
      <w:marRight w:val="0"/>
      <w:marTop w:val="0"/>
      <w:marBottom w:val="0"/>
      <w:divBdr>
        <w:top w:val="none" w:sz="0" w:space="0" w:color="auto"/>
        <w:left w:val="none" w:sz="0" w:space="0" w:color="auto"/>
        <w:bottom w:val="none" w:sz="0" w:space="0" w:color="auto"/>
        <w:right w:val="none" w:sz="0" w:space="0" w:color="auto"/>
      </w:divBdr>
    </w:div>
    <w:div w:id="159388758">
      <w:bodyDiv w:val="1"/>
      <w:marLeft w:val="0"/>
      <w:marRight w:val="0"/>
      <w:marTop w:val="0"/>
      <w:marBottom w:val="0"/>
      <w:divBdr>
        <w:top w:val="none" w:sz="0" w:space="0" w:color="auto"/>
        <w:left w:val="none" w:sz="0" w:space="0" w:color="auto"/>
        <w:bottom w:val="none" w:sz="0" w:space="0" w:color="auto"/>
        <w:right w:val="none" w:sz="0" w:space="0" w:color="auto"/>
      </w:divBdr>
    </w:div>
    <w:div w:id="229735490">
      <w:bodyDiv w:val="1"/>
      <w:marLeft w:val="0"/>
      <w:marRight w:val="0"/>
      <w:marTop w:val="0"/>
      <w:marBottom w:val="0"/>
      <w:divBdr>
        <w:top w:val="none" w:sz="0" w:space="0" w:color="auto"/>
        <w:left w:val="none" w:sz="0" w:space="0" w:color="auto"/>
        <w:bottom w:val="none" w:sz="0" w:space="0" w:color="auto"/>
        <w:right w:val="none" w:sz="0" w:space="0" w:color="auto"/>
      </w:divBdr>
    </w:div>
    <w:div w:id="281034195">
      <w:bodyDiv w:val="1"/>
      <w:marLeft w:val="0"/>
      <w:marRight w:val="0"/>
      <w:marTop w:val="0"/>
      <w:marBottom w:val="0"/>
      <w:divBdr>
        <w:top w:val="none" w:sz="0" w:space="0" w:color="auto"/>
        <w:left w:val="none" w:sz="0" w:space="0" w:color="auto"/>
        <w:bottom w:val="none" w:sz="0" w:space="0" w:color="auto"/>
        <w:right w:val="none" w:sz="0" w:space="0" w:color="auto"/>
      </w:divBdr>
    </w:div>
    <w:div w:id="286620304">
      <w:bodyDiv w:val="1"/>
      <w:marLeft w:val="0"/>
      <w:marRight w:val="0"/>
      <w:marTop w:val="0"/>
      <w:marBottom w:val="0"/>
      <w:divBdr>
        <w:top w:val="none" w:sz="0" w:space="0" w:color="auto"/>
        <w:left w:val="none" w:sz="0" w:space="0" w:color="auto"/>
        <w:bottom w:val="none" w:sz="0" w:space="0" w:color="auto"/>
        <w:right w:val="none" w:sz="0" w:space="0" w:color="auto"/>
      </w:divBdr>
    </w:div>
    <w:div w:id="429933113">
      <w:bodyDiv w:val="1"/>
      <w:marLeft w:val="0"/>
      <w:marRight w:val="0"/>
      <w:marTop w:val="0"/>
      <w:marBottom w:val="0"/>
      <w:divBdr>
        <w:top w:val="none" w:sz="0" w:space="0" w:color="auto"/>
        <w:left w:val="none" w:sz="0" w:space="0" w:color="auto"/>
        <w:bottom w:val="none" w:sz="0" w:space="0" w:color="auto"/>
        <w:right w:val="none" w:sz="0" w:space="0" w:color="auto"/>
      </w:divBdr>
    </w:div>
    <w:div w:id="519709239">
      <w:bodyDiv w:val="1"/>
      <w:marLeft w:val="0"/>
      <w:marRight w:val="0"/>
      <w:marTop w:val="0"/>
      <w:marBottom w:val="0"/>
      <w:divBdr>
        <w:top w:val="none" w:sz="0" w:space="0" w:color="auto"/>
        <w:left w:val="none" w:sz="0" w:space="0" w:color="auto"/>
        <w:bottom w:val="none" w:sz="0" w:space="0" w:color="auto"/>
        <w:right w:val="none" w:sz="0" w:space="0" w:color="auto"/>
      </w:divBdr>
    </w:div>
    <w:div w:id="527986842">
      <w:bodyDiv w:val="1"/>
      <w:marLeft w:val="0"/>
      <w:marRight w:val="0"/>
      <w:marTop w:val="0"/>
      <w:marBottom w:val="0"/>
      <w:divBdr>
        <w:top w:val="none" w:sz="0" w:space="0" w:color="auto"/>
        <w:left w:val="none" w:sz="0" w:space="0" w:color="auto"/>
        <w:bottom w:val="none" w:sz="0" w:space="0" w:color="auto"/>
        <w:right w:val="none" w:sz="0" w:space="0" w:color="auto"/>
      </w:divBdr>
    </w:div>
    <w:div w:id="573046980">
      <w:bodyDiv w:val="1"/>
      <w:marLeft w:val="0"/>
      <w:marRight w:val="0"/>
      <w:marTop w:val="0"/>
      <w:marBottom w:val="0"/>
      <w:divBdr>
        <w:top w:val="none" w:sz="0" w:space="0" w:color="auto"/>
        <w:left w:val="none" w:sz="0" w:space="0" w:color="auto"/>
        <w:bottom w:val="none" w:sz="0" w:space="0" w:color="auto"/>
        <w:right w:val="none" w:sz="0" w:space="0" w:color="auto"/>
      </w:divBdr>
    </w:div>
    <w:div w:id="584148314">
      <w:bodyDiv w:val="1"/>
      <w:marLeft w:val="0"/>
      <w:marRight w:val="0"/>
      <w:marTop w:val="0"/>
      <w:marBottom w:val="0"/>
      <w:divBdr>
        <w:top w:val="none" w:sz="0" w:space="0" w:color="auto"/>
        <w:left w:val="none" w:sz="0" w:space="0" w:color="auto"/>
        <w:bottom w:val="none" w:sz="0" w:space="0" w:color="auto"/>
        <w:right w:val="none" w:sz="0" w:space="0" w:color="auto"/>
      </w:divBdr>
    </w:div>
    <w:div w:id="632831611">
      <w:bodyDiv w:val="1"/>
      <w:marLeft w:val="0"/>
      <w:marRight w:val="0"/>
      <w:marTop w:val="0"/>
      <w:marBottom w:val="0"/>
      <w:divBdr>
        <w:top w:val="none" w:sz="0" w:space="0" w:color="auto"/>
        <w:left w:val="none" w:sz="0" w:space="0" w:color="auto"/>
        <w:bottom w:val="none" w:sz="0" w:space="0" w:color="auto"/>
        <w:right w:val="none" w:sz="0" w:space="0" w:color="auto"/>
      </w:divBdr>
    </w:div>
    <w:div w:id="658076886">
      <w:bodyDiv w:val="1"/>
      <w:marLeft w:val="0"/>
      <w:marRight w:val="0"/>
      <w:marTop w:val="0"/>
      <w:marBottom w:val="0"/>
      <w:divBdr>
        <w:top w:val="none" w:sz="0" w:space="0" w:color="auto"/>
        <w:left w:val="none" w:sz="0" w:space="0" w:color="auto"/>
        <w:bottom w:val="none" w:sz="0" w:space="0" w:color="auto"/>
        <w:right w:val="none" w:sz="0" w:space="0" w:color="auto"/>
      </w:divBdr>
    </w:div>
    <w:div w:id="768088320">
      <w:bodyDiv w:val="1"/>
      <w:marLeft w:val="0"/>
      <w:marRight w:val="0"/>
      <w:marTop w:val="0"/>
      <w:marBottom w:val="0"/>
      <w:divBdr>
        <w:top w:val="none" w:sz="0" w:space="0" w:color="auto"/>
        <w:left w:val="none" w:sz="0" w:space="0" w:color="auto"/>
        <w:bottom w:val="none" w:sz="0" w:space="0" w:color="auto"/>
        <w:right w:val="none" w:sz="0" w:space="0" w:color="auto"/>
      </w:divBdr>
    </w:div>
    <w:div w:id="821896937">
      <w:bodyDiv w:val="1"/>
      <w:marLeft w:val="0"/>
      <w:marRight w:val="0"/>
      <w:marTop w:val="0"/>
      <w:marBottom w:val="0"/>
      <w:divBdr>
        <w:top w:val="none" w:sz="0" w:space="0" w:color="auto"/>
        <w:left w:val="none" w:sz="0" w:space="0" w:color="auto"/>
        <w:bottom w:val="none" w:sz="0" w:space="0" w:color="auto"/>
        <w:right w:val="none" w:sz="0" w:space="0" w:color="auto"/>
      </w:divBdr>
    </w:div>
    <w:div w:id="1142039042">
      <w:bodyDiv w:val="1"/>
      <w:marLeft w:val="0"/>
      <w:marRight w:val="0"/>
      <w:marTop w:val="0"/>
      <w:marBottom w:val="0"/>
      <w:divBdr>
        <w:top w:val="none" w:sz="0" w:space="0" w:color="auto"/>
        <w:left w:val="none" w:sz="0" w:space="0" w:color="auto"/>
        <w:bottom w:val="none" w:sz="0" w:space="0" w:color="auto"/>
        <w:right w:val="none" w:sz="0" w:space="0" w:color="auto"/>
      </w:divBdr>
    </w:div>
    <w:div w:id="1263102643">
      <w:bodyDiv w:val="1"/>
      <w:marLeft w:val="0"/>
      <w:marRight w:val="0"/>
      <w:marTop w:val="0"/>
      <w:marBottom w:val="0"/>
      <w:divBdr>
        <w:top w:val="none" w:sz="0" w:space="0" w:color="auto"/>
        <w:left w:val="none" w:sz="0" w:space="0" w:color="auto"/>
        <w:bottom w:val="none" w:sz="0" w:space="0" w:color="auto"/>
        <w:right w:val="none" w:sz="0" w:space="0" w:color="auto"/>
      </w:divBdr>
    </w:div>
    <w:div w:id="1296444008">
      <w:bodyDiv w:val="1"/>
      <w:marLeft w:val="0"/>
      <w:marRight w:val="0"/>
      <w:marTop w:val="0"/>
      <w:marBottom w:val="0"/>
      <w:divBdr>
        <w:top w:val="none" w:sz="0" w:space="0" w:color="auto"/>
        <w:left w:val="none" w:sz="0" w:space="0" w:color="auto"/>
        <w:bottom w:val="none" w:sz="0" w:space="0" w:color="auto"/>
        <w:right w:val="none" w:sz="0" w:space="0" w:color="auto"/>
      </w:divBdr>
    </w:div>
    <w:div w:id="1366248646">
      <w:bodyDiv w:val="1"/>
      <w:marLeft w:val="0"/>
      <w:marRight w:val="0"/>
      <w:marTop w:val="0"/>
      <w:marBottom w:val="0"/>
      <w:divBdr>
        <w:top w:val="none" w:sz="0" w:space="0" w:color="auto"/>
        <w:left w:val="none" w:sz="0" w:space="0" w:color="auto"/>
        <w:bottom w:val="none" w:sz="0" w:space="0" w:color="auto"/>
        <w:right w:val="none" w:sz="0" w:space="0" w:color="auto"/>
      </w:divBdr>
    </w:div>
    <w:div w:id="1419713643">
      <w:bodyDiv w:val="1"/>
      <w:marLeft w:val="0"/>
      <w:marRight w:val="0"/>
      <w:marTop w:val="0"/>
      <w:marBottom w:val="0"/>
      <w:divBdr>
        <w:top w:val="none" w:sz="0" w:space="0" w:color="auto"/>
        <w:left w:val="none" w:sz="0" w:space="0" w:color="auto"/>
        <w:bottom w:val="none" w:sz="0" w:space="0" w:color="auto"/>
        <w:right w:val="none" w:sz="0" w:space="0" w:color="auto"/>
      </w:divBdr>
    </w:div>
    <w:div w:id="1422603330">
      <w:bodyDiv w:val="1"/>
      <w:marLeft w:val="0"/>
      <w:marRight w:val="0"/>
      <w:marTop w:val="0"/>
      <w:marBottom w:val="0"/>
      <w:divBdr>
        <w:top w:val="none" w:sz="0" w:space="0" w:color="auto"/>
        <w:left w:val="none" w:sz="0" w:space="0" w:color="auto"/>
        <w:bottom w:val="none" w:sz="0" w:space="0" w:color="auto"/>
        <w:right w:val="none" w:sz="0" w:space="0" w:color="auto"/>
      </w:divBdr>
    </w:div>
    <w:div w:id="1476491058">
      <w:bodyDiv w:val="1"/>
      <w:marLeft w:val="0"/>
      <w:marRight w:val="0"/>
      <w:marTop w:val="0"/>
      <w:marBottom w:val="0"/>
      <w:divBdr>
        <w:top w:val="none" w:sz="0" w:space="0" w:color="auto"/>
        <w:left w:val="none" w:sz="0" w:space="0" w:color="auto"/>
        <w:bottom w:val="none" w:sz="0" w:space="0" w:color="auto"/>
        <w:right w:val="none" w:sz="0" w:space="0" w:color="auto"/>
      </w:divBdr>
    </w:div>
    <w:div w:id="1758747777">
      <w:bodyDiv w:val="1"/>
      <w:marLeft w:val="0"/>
      <w:marRight w:val="0"/>
      <w:marTop w:val="0"/>
      <w:marBottom w:val="0"/>
      <w:divBdr>
        <w:top w:val="none" w:sz="0" w:space="0" w:color="auto"/>
        <w:left w:val="none" w:sz="0" w:space="0" w:color="auto"/>
        <w:bottom w:val="none" w:sz="0" w:space="0" w:color="auto"/>
        <w:right w:val="none" w:sz="0" w:space="0" w:color="auto"/>
      </w:divBdr>
    </w:div>
    <w:div w:id="1765221911">
      <w:bodyDiv w:val="1"/>
      <w:marLeft w:val="0"/>
      <w:marRight w:val="0"/>
      <w:marTop w:val="0"/>
      <w:marBottom w:val="0"/>
      <w:divBdr>
        <w:top w:val="none" w:sz="0" w:space="0" w:color="auto"/>
        <w:left w:val="none" w:sz="0" w:space="0" w:color="auto"/>
        <w:bottom w:val="none" w:sz="0" w:space="0" w:color="auto"/>
        <w:right w:val="none" w:sz="0" w:space="0" w:color="auto"/>
      </w:divBdr>
    </w:div>
    <w:div w:id="1802651382">
      <w:bodyDiv w:val="1"/>
      <w:marLeft w:val="0"/>
      <w:marRight w:val="0"/>
      <w:marTop w:val="0"/>
      <w:marBottom w:val="0"/>
      <w:divBdr>
        <w:top w:val="none" w:sz="0" w:space="0" w:color="auto"/>
        <w:left w:val="none" w:sz="0" w:space="0" w:color="auto"/>
        <w:bottom w:val="none" w:sz="0" w:space="0" w:color="auto"/>
        <w:right w:val="none" w:sz="0" w:space="0" w:color="auto"/>
      </w:divBdr>
      <w:divsChild>
        <w:div w:id="1566261620">
          <w:marLeft w:val="0"/>
          <w:marRight w:val="0"/>
          <w:marTop w:val="100"/>
          <w:marBottom w:val="100"/>
          <w:divBdr>
            <w:top w:val="none" w:sz="0" w:space="0" w:color="auto"/>
            <w:left w:val="none" w:sz="0" w:space="0" w:color="auto"/>
            <w:bottom w:val="none" w:sz="0" w:space="0" w:color="auto"/>
            <w:right w:val="none" w:sz="0" w:space="0" w:color="auto"/>
          </w:divBdr>
        </w:div>
        <w:div w:id="279647746">
          <w:marLeft w:val="0"/>
          <w:marRight w:val="0"/>
          <w:marTop w:val="0"/>
          <w:marBottom w:val="0"/>
          <w:divBdr>
            <w:top w:val="none" w:sz="0" w:space="0" w:color="auto"/>
            <w:left w:val="none" w:sz="0" w:space="0" w:color="auto"/>
            <w:bottom w:val="none" w:sz="0" w:space="0" w:color="auto"/>
            <w:right w:val="none" w:sz="0" w:space="0" w:color="auto"/>
          </w:divBdr>
          <w:divsChild>
            <w:div w:id="74075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986334">
      <w:bodyDiv w:val="1"/>
      <w:marLeft w:val="0"/>
      <w:marRight w:val="0"/>
      <w:marTop w:val="0"/>
      <w:marBottom w:val="0"/>
      <w:divBdr>
        <w:top w:val="none" w:sz="0" w:space="0" w:color="auto"/>
        <w:left w:val="none" w:sz="0" w:space="0" w:color="auto"/>
        <w:bottom w:val="none" w:sz="0" w:space="0" w:color="auto"/>
        <w:right w:val="none" w:sz="0" w:space="0" w:color="auto"/>
      </w:divBdr>
    </w:div>
    <w:div w:id="1880438923">
      <w:bodyDiv w:val="1"/>
      <w:marLeft w:val="0"/>
      <w:marRight w:val="0"/>
      <w:marTop w:val="0"/>
      <w:marBottom w:val="0"/>
      <w:divBdr>
        <w:top w:val="none" w:sz="0" w:space="0" w:color="auto"/>
        <w:left w:val="none" w:sz="0" w:space="0" w:color="auto"/>
        <w:bottom w:val="none" w:sz="0" w:space="0" w:color="auto"/>
        <w:right w:val="none" w:sz="0" w:space="0" w:color="auto"/>
      </w:divBdr>
    </w:div>
    <w:div w:id="1888101288">
      <w:bodyDiv w:val="1"/>
      <w:marLeft w:val="0"/>
      <w:marRight w:val="0"/>
      <w:marTop w:val="0"/>
      <w:marBottom w:val="0"/>
      <w:divBdr>
        <w:top w:val="none" w:sz="0" w:space="0" w:color="auto"/>
        <w:left w:val="none" w:sz="0" w:space="0" w:color="auto"/>
        <w:bottom w:val="none" w:sz="0" w:space="0" w:color="auto"/>
        <w:right w:val="none" w:sz="0" w:space="0" w:color="auto"/>
      </w:divBdr>
    </w:div>
    <w:div w:id="1935432499">
      <w:bodyDiv w:val="1"/>
      <w:marLeft w:val="0"/>
      <w:marRight w:val="0"/>
      <w:marTop w:val="0"/>
      <w:marBottom w:val="0"/>
      <w:divBdr>
        <w:top w:val="none" w:sz="0" w:space="0" w:color="auto"/>
        <w:left w:val="none" w:sz="0" w:space="0" w:color="auto"/>
        <w:bottom w:val="none" w:sz="0" w:space="0" w:color="auto"/>
        <w:right w:val="none" w:sz="0" w:space="0" w:color="auto"/>
      </w:divBdr>
    </w:div>
    <w:div w:id="1971782597">
      <w:bodyDiv w:val="1"/>
      <w:marLeft w:val="0"/>
      <w:marRight w:val="0"/>
      <w:marTop w:val="0"/>
      <w:marBottom w:val="0"/>
      <w:divBdr>
        <w:top w:val="none" w:sz="0" w:space="0" w:color="auto"/>
        <w:left w:val="none" w:sz="0" w:space="0" w:color="auto"/>
        <w:bottom w:val="none" w:sz="0" w:space="0" w:color="auto"/>
        <w:right w:val="none" w:sz="0" w:space="0" w:color="auto"/>
      </w:divBdr>
    </w:div>
    <w:div w:id="1973051267">
      <w:bodyDiv w:val="1"/>
      <w:marLeft w:val="0"/>
      <w:marRight w:val="0"/>
      <w:marTop w:val="0"/>
      <w:marBottom w:val="0"/>
      <w:divBdr>
        <w:top w:val="none" w:sz="0" w:space="0" w:color="auto"/>
        <w:left w:val="none" w:sz="0" w:space="0" w:color="auto"/>
        <w:bottom w:val="none" w:sz="0" w:space="0" w:color="auto"/>
        <w:right w:val="none" w:sz="0" w:space="0" w:color="auto"/>
      </w:divBdr>
    </w:div>
    <w:div w:id="1989548823">
      <w:bodyDiv w:val="1"/>
      <w:marLeft w:val="0"/>
      <w:marRight w:val="0"/>
      <w:marTop w:val="0"/>
      <w:marBottom w:val="0"/>
      <w:divBdr>
        <w:top w:val="none" w:sz="0" w:space="0" w:color="auto"/>
        <w:left w:val="none" w:sz="0" w:space="0" w:color="auto"/>
        <w:bottom w:val="none" w:sz="0" w:space="0" w:color="auto"/>
        <w:right w:val="none" w:sz="0" w:space="0" w:color="auto"/>
      </w:divBdr>
    </w:div>
    <w:div w:id="2073888116">
      <w:bodyDiv w:val="1"/>
      <w:marLeft w:val="0"/>
      <w:marRight w:val="0"/>
      <w:marTop w:val="0"/>
      <w:marBottom w:val="0"/>
      <w:divBdr>
        <w:top w:val="none" w:sz="0" w:space="0" w:color="auto"/>
        <w:left w:val="none" w:sz="0" w:space="0" w:color="auto"/>
        <w:bottom w:val="none" w:sz="0" w:space="0" w:color="auto"/>
        <w:right w:val="none" w:sz="0" w:space="0" w:color="auto"/>
      </w:divBdr>
    </w:div>
    <w:div w:id="2085836892">
      <w:bodyDiv w:val="1"/>
      <w:marLeft w:val="0"/>
      <w:marRight w:val="0"/>
      <w:marTop w:val="0"/>
      <w:marBottom w:val="0"/>
      <w:divBdr>
        <w:top w:val="none" w:sz="0" w:space="0" w:color="auto"/>
        <w:left w:val="none" w:sz="0" w:space="0" w:color="auto"/>
        <w:bottom w:val="none" w:sz="0" w:space="0" w:color="auto"/>
        <w:right w:val="none" w:sz="0" w:space="0" w:color="auto"/>
      </w:divBdr>
    </w:div>
    <w:div w:id="2111310318">
      <w:bodyDiv w:val="1"/>
      <w:marLeft w:val="0"/>
      <w:marRight w:val="0"/>
      <w:marTop w:val="0"/>
      <w:marBottom w:val="0"/>
      <w:divBdr>
        <w:top w:val="none" w:sz="0" w:space="0" w:color="auto"/>
        <w:left w:val="none" w:sz="0" w:space="0" w:color="auto"/>
        <w:bottom w:val="none" w:sz="0" w:space="0" w:color="auto"/>
        <w:right w:val="none" w:sz="0" w:space="0" w:color="auto"/>
      </w:divBdr>
    </w:div>
    <w:div w:id="2119133561">
      <w:bodyDiv w:val="1"/>
      <w:marLeft w:val="0"/>
      <w:marRight w:val="0"/>
      <w:marTop w:val="0"/>
      <w:marBottom w:val="0"/>
      <w:divBdr>
        <w:top w:val="none" w:sz="0" w:space="0" w:color="auto"/>
        <w:left w:val="none" w:sz="0" w:space="0" w:color="auto"/>
        <w:bottom w:val="none" w:sz="0" w:space="0" w:color="auto"/>
        <w:right w:val="none" w:sz="0" w:space="0" w:color="auto"/>
      </w:divBdr>
    </w:div>
    <w:div w:id="213644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A4671563C84E7E931D0269D0EFA519"/>
        <w:category>
          <w:name w:val="General"/>
          <w:gallery w:val="placeholder"/>
        </w:category>
        <w:types>
          <w:type w:val="bbPlcHdr"/>
        </w:types>
        <w:behaviors>
          <w:behavior w:val="content"/>
        </w:behaviors>
        <w:guid w:val="{5DCBD58F-DCDA-42C9-ADDE-128919B4E4DA}"/>
      </w:docPartPr>
      <w:docPartBody>
        <w:p w:rsidR="00636D4C" w:rsidRDefault="003A4C7C" w:rsidP="003A4C7C">
          <w:pPr>
            <w:pStyle w:val="6AA4671563C84E7E931D0269D0EFA51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C7C"/>
    <w:rsid w:val="000C6FB8"/>
    <w:rsid w:val="003A4C7C"/>
    <w:rsid w:val="00636D4C"/>
    <w:rsid w:val="00C70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A4671563C84E7E931D0269D0EFA519">
    <w:name w:val="6AA4671563C84E7E931D0269D0EFA519"/>
    <w:rsid w:val="003A4C7C"/>
  </w:style>
  <w:style w:type="paragraph" w:customStyle="1" w:styleId="7B54F1D8D3B045659C4A136F8F72ECB8">
    <w:name w:val="7B54F1D8D3B045659C4A136F8F72ECB8"/>
    <w:rsid w:val="003A4C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2021-03-09T00:00:00</PublishDate>
  <Abstract/>
  <CompanyAddress>Business Campus 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Hea17</b:Tag>
    <b:SourceType>Report</b:SourceType>
    <b:Guid>{2BD3ACDD-AE92-4CF1-9FCA-8253DCBDE993}</b:Guid>
    <b:Title>Place and Communities</b:Title>
    <b:Year>2017</b:Year>
    <b:Author>
      <b:Author>
        <b:Corporate>Health Scotland</b:Corporate>
      </b:Author>
    </b:Author>
    <b:YearAccessed>2021</b:YearAccessed>
    <b:MonthAccessed>03</b:MonthAccessed>
    <b:DayAccessed>08</b:DayAccessed>
    <b:URL>http://www.healthscotland.scot/media/1088/27414-place-and-communties-06-16.pdf</b:URL>
    <b:RefOrder>12</b:RefOrder>
  </b:Source>
  <b:Source>
    <b:Tag>Imp20</b:Tag>
    <b:SourceType>Report</b:SourceType>
    <b:Guid>{5B3B5FED-E1E8-42C2-83DA-ABA1267DE14A}</b:Guid>
    <b:Title>Improving Access to Greenspace - A New Review for 2020</b:Title>
    <b:Year>2020</b:Year>
    <b:YearAccessed>2021</b:YearAccessed>
    <b:MonthAccessed>03</b:MonthAccessed>
    <b:DayAccessed>08</b:DayAccessed>
    <b:URL>https://beyondgreenspace.net/2020/07/29/improving-access-to-greenspace-a-new-review-for-2020/</b:URL>
    <b:Author>
      <b:Author>
        <b:NameList>
          <b:Person>
            <b:Last>Lowell</b:Last>
            <b:First>Becca</b:First>
          </b:Person>
        </b:NameList>
      </b:Author>
    </b:Author>
    <b:Publisher>Public Health England</b:Publisher>
    <b:RefOrder>13</b:RefOrder>
  </b:Source>
  <b:Source>
    <b:Tag>Ros95</b:Tag>
    <b:SourceType>JournalArticle</b:SourceType>
    <b:Guid>{9029ED33-9D60-4F9A-B2C7-5F9E2EDA038C}</b:Guid>
    <b:Title>The Links Between Education and Health</b:Title>
    <b:Year>1995</b:Year>
    <b:Author>
      <b:Author>
        <b:NameList>
          <b:Person>
            <b:Last>Ross</b:Last>
            <b:First>Catherine</b:First>
            <b:Middle>E</b:Middle>
          </b:Person>
          <b:Person>
            <b:Last>Wu</b:Last>
            <b:First>Chia-ling</b:First>
          </b:Person>
        </b:NameList>
      </b:Author>
    </b:Author>
    <b:JournalName>American Sociological Assosiation</b:JournalName>
    <b:Pages>719-745</b:Pages>
    <b:Month>10</b:Month>
    <b:Volume>6</b:Volume>
    <b:Issue>5</b:Issue>
    <b:YearAccessed>2021</b:YearAccessed>
    <b:MonthAccessed>03</b:MonthAccessed>
    <b:DayAccessed>08</b:DayAccessed>
    <b:URL>https://citeseerx.ist.psu.edu/viewdoc/download?doi=10.1.1.462.815&amp;rep=rep1&amp;type=pdf</b:URL>
    <b:RefOrder>19</b:RefOrder>
  </b:Source>
  <b:Source>
    <b:Tag>Ige19</b:Tag>
    <b:SourceType>JournalArticle</b:SourceType>
    <b:Guid>{9BDBF2A2-805F-4391-941D-12C7F9593335}</b:Guid>
    <b:Author>
      <b:Author>
        <b:NameList>
          <b:Person>
            <b:Last>Ige</b:Last>
            <b:First>Janet</b:First>
          </b:Person>
          <b:Person>
            <b:Last>Pilkington</b:Last>
            <b:First>Paul</b:First>
          </b:Person>
          <b:Person>
            <b:Last>Orme</b:Last>
            <b:First>Judy</b:First>
          </b:Person>
          <b:Person>
            <b:Last>Williams</b:Last>
            <b:First>Ben</b:First>
          </b:Person>
          <b:Person>
            <b:Last>Prestwood</b:Last>
            <b:First>Emily</b:First>
          </b:Person>
          <b:Person>
            <b:Last>Black</b:Last>
            <b:First>D</b:First>
          </b:Person>
          <b:Person>
            <b:Last>Carmichael</b:Last>
            <b:First>Laurence</b:First>
          </b:Person>
          <b:Person>
            <b:Last>Scally</b:Last>
            <b:First>Gabriel</b:First>
          </b:Person>
        </b:NameList>
      </b:Author>
    </b:Author>
    <b:Title>The relationship Between Buildings and Health: A Systematic Review</b:Title>
    <b:JournalName>Journal of Public Health</b:JournalName>
    <b:Year>2019</b:Year>
    <b:Pages>121-132</b:Pages>
    <b:Month>06</b:Month>
    <b:Volume>41</b:Volume>
    <b:Issue>2</b:Issue>
    <b:YearAccessed>2021</b:YearAccessed>
    <b:MonthAccessed>03</b:MonthAccessed>
    <b:DayAccessed>08</b:DayAccessed>
    <b:URL>https://academic.oup.com/jpubhealth/article/41/2/e121/5076115</b:URL>
    <b:RefOrder>14</b:RefOrder>
  </b:Source>
  <b:Source>
    <b:Tag>MKi</b:Tag>
    <b:SourceType>JournalArticle</b:SourceType>
    <b:Guid>{C3CAFBD8-AC09-4AB6-8F3A-D9F04E4954A5}</b:Guid>
    <b:Author>
      <b:Author>
        <b:NameList>
          <b:Person>
            <b:Last>Kilpeläinena</b:Last>
            <b:First>M</b:First>
          </b:Person>
          <b:Person>
            <b:Last>Terhoa</b:Last>
            <b:First>E</b:First>
            <b:Middle>O</b:Middle>
          </b:Person>
          <b:Person>
            <b:Last>Heleniusb</b:Last>
            <b:First>H</b:First>
          </b:Person>
          <b:Person>
            <b:Last>Koskenvuoc</b:Last>
            <b:First>M</b:First>
          </b:Person>
        </b:NameList>
      </b:Author>
    </b:Author>
    <b:Title>Home dampness, current allergic diseases, and respiratory infections among young adults</b:Title>
    <b:JournalName>BMJ Journals</b:JournalName>
    <b:Year>2001</b:Year>
    <b:Pages>462-467</b:Pages>
    <b:Volume>56</b:Volume>
    <b:Issue>6</b:Issue>
    <b:YearAccessed>2021</b:YearAccessed>
    <b:MonthAccessed>03</b:MonthAccessed>
    <b:DayAccessed>08</b:DayAccessed>
    <b:URL>https://thorax.bmj.com/content/56/6/462.info</b:URL>
    <b:RefOrder>20</b:RefOrder>
  </b:Source>
  <b:Source>
    <b:Tag>Bir14</b:Tag>
    <b:SourceType>JournalArticle</b:SourceType>
    <b:Guid>{E2D8A2D1-BABE-4B99-8E69-9C11EAE8AB6A}</b:Guid>
    <b:Author>
      <b:Author>
        <b:NameList>
          <b:Person>
            <b:Last>Bircher</b:Last>
            <b:First>Johannes</b:First>
          </b:Person>
          <b:Person>
            <b:Last>Kuruvilla</b:Last>
            <b:First>Shyama</b:First>
          </b:Person>
        </b:NameList>
      </b:Author>
    </b:Author>
    <b:Title>Defining health by addressing individual, social, and environmental determinants: New opportunities for health care and public health</b:Title>
    <b:JournalName>Journal of Public Health Policy</b:JournalName>
    <b:Year>2014</b:Year>
    <b:Pages>363-386</b:Pages>
    <b:Month>06</b:Month>
    <b:Day>19</b:Day>
    <b:Volume>35</b:Volume>
    <b:Issue>3</b:Issue>
    <b:YearAccessed>2021</b:YearAccessed>
    <b:MonthAccessed>03</b:MonthAccessed>
    <b:DayAccessed>08</b:DayAccessed>
    <b:URL>https://www.ncbi.nlm.nih.gov/pmc/articles/PMC4119253/#__ffn_sectitle</b:URL>
    <b:RefOrder>21</b:RefOrder>
  </b:Source>
  <b:Source>
    <b:Tag>Sus15</b:Tag>
    <b:SourceType>JournalArticle</b:SourceType>
    <b:Guid>{1578588B-F360-4793-9B26-0FAF82043F3A}</b:Guid>
    <b:Title>Social Determinants and Health Behaviors: Conceptual Frames and Empirical Advances</b:Title>
    <b:JournalName>Current Opinion in Psychology</b:JournalName>
    <b:Year>2015</b:Year>
    <b:Pages>78-84</b:Pages>
    <b:Author>
      <b:Author>
        <b:NameList>
          <b:Person>
            <b:Last>Short</b:Last>
            <b:First>Susan</b:First>
            <b:Middle>E.</b:Middle>
          </b:Person>
          <b:Person>
            <b:Last>Mollborn</b:Last>
            <b:First>Stefanie</b:First>
          </b:Person>
        </b:NameList>
      </b:Author>
    </b:Author>
    <b:Month>10</b:Month>
    <b:Day>05</b:Day>
    <b:YearAccessed>2021</b:YearAccessed>
    <b:MonthAccessed>03</b:MonthAccessed>
    <b:DayAccessed>08</b:DayAccessed>
    <b:URL>https://www.ncbi.nlm.nih.gov/pmc/articles/PMC4511598/#__ffn_sectitle</b:URL>
    <b:RefOrder>22</b:RefOrder>
  </b:Source>
  <b:Source>
    <b:Tag>Mal19</b:Tag>
    <b:SourceType>JournalArticle</b:SourceType>
    <b:Guid>{EABD8059-611B-4815-9202-5D4FBBD20546}</b:Guid>
    <b:Author>
      <b:Author>
        <b:NameList>
          <b:Person>
            <b:Last>Malm</b:Last>
            <b:First>Christer</b:First>
          </b:Person>
          <b:Person>
            <b:Last>Jakobsson</b:Last>
            <b:First>Johan</b:First>
          </b:Person>
          <b:Person>
            <b:Last>Isaksson</b:Last>
            <b:First>Andreas</b:First>
          </b:Person>
        </b:NameList>
      </b:Author>
    </b:Author>
    <b:Title>Physical Activity and Sports—Real Health Benefits: A Review with Insight into the Public Health of Sweden</b:Title>
    <b:JournalName>MDPI</b:JournalName>
    <b:Year>2019</b:Year>
    <b:Pages>127</b:Pages>
    <b:Month>05</b:Month>
    <b:Day>23</b:Day>
    <b:Volume>7</b:Volume>
    <b:Issue>5</b:Issue>
    <b:YearAccessed>2021</b:YearAccessed>
    <b:MonthAccessed>03</b:MonthAccessed>
    <b:DayAccessed>08</b:DayAccessed>
    <b:URL>https://www.mdpi.com/2075-4663/7/5/127/htm</b:URL>
    <b:RefOrder>23</b:RefOrder>
  </b:Source>
  <b:Source>
    <b:Tag>Mol18</b:Tag>
    <b:SourceType>JournalArticle</b:SourceType>
    <b:Guid>{56084390-C616-43AE-B443-6BFEC2F4AF67}</b:Guid>
    <b:Author>
      <b:Author>
        <b:NameList>
          <b:Person>
            <b:Last>Mold</b:Last>
            <b:First>Alex</b:First>
          </b:Person>
        </b:NameList>
      </b:Author>
    </b:Author>
    <b:Title>Framing drug and alcohol use as a public health problem in Britain</b:Title>
    <b:JournalName>Nordic Studies of Alcohol and Drugs</b:JournalName>
    <b:Year>2018</b:Year>
    <b:Pages>93-99</b:Pages>
    <b:Month>04</b:Month>
    <b:Volume>35</b:Volume>
    <b:Issue>2</b:Issue>
    <b:YearAccessed>2021</b:YearAccessed>
    <b:MonthAccessed>03</b:MonthAccessed>
    <b:DayAccessed>08</b:DayAccessed>
    <b:RefOrder>9</b:RefOrder>
  </b:Source>
  <b:Source>
    <b:Tag>Reh11</b:Tag>
    <b:SourceType>JournalArticle</b:SourceType>
    <b:Guid>{04078B8F-96DF-43BA-AD0B-140EE187C363}</b:Guid>
    <b:Author>
      <b:Author>
        <b:NameList>
          <b:Person>
            <b:Last>Rehm</b:Last>
            <b:First>Jürgen</b:First>
          </b:Person>
        </b:NameList>
      </b:Author>
    </b:Author>
    <b:Title>The Risks Associated With Alcohol Use and Alcoholism</b:Title>
    <b:JournalName>Alcohol Research and  Health</b:JournalName>
    <b:Year>2011</b:Year>
    <b:Pages>135-143</b:Pages>
    <b:Volume>34</b:Volume>
    <b:Issue>2</b:Issue>
    <b:YearAccessed>2021</b:YearAccessed>
    <b:MonthAccessed>03</b:MonthAccessed>
    <b:DayAccessed>08</b:DayAccessed>
    <b:URL>https://www.ncbi.nlm.nih.gov/pmc/articles/PMC3307043/#__ffn_sectitle</b:URL>
    <b:RefOrder>10</b:RefOrder>
  </b:Source>
  <b:Source>
    <b:Tag>Reh09</b:Tag>
    <b:SourceType>JournalArticle</b:SourceType>
    <b:Guid>{ACE15EF4-0304-48F5-89B7-16AEA925532C}</b:Guid>
    <b:Author>
      <b:Author>
        <b:NameList>
          <b:Person>
            <b:Last>Rehm</b:Last>
            <b:First>J</b:First>
          </b:Person>
          <b:Person>
            <b:Last>Parry</b:Last>
            <b:First>CD</b:First>
          </b:Person>
        </b:NameList>
      </b:Author>
    </b:Author>
    <b:Title>Alcohol consumption and infectious diseases in South Africa</b:Title>
    <b:JournalName>The Lancet</b:JournalName>
    <b:Year>2009</b:Year>
    <b:Pages>2053</b:Pages>
    <b:Volume>374</b:Volume>
    <b:Issue>9707</b:Issue>
    <b:YearAccessed>2021</b:YearAccessed>
    <b:MonthAccessed>03</b:MonthAccessed>
    <b:DayAccessed>08</b:DayAccessed>
    <b:URL>https://www.thelancet.com/journals/lancet/article/PIIS0140-6736(09)62150-4/fulltext</b:URL>
    <b:RefOrder>24</b:RefOrder>
  </b:Source>
  <b:Source>
    <b:Tag>WHO09</b:Tag>
    <b:SourceType>Report</b:SourceType>
    <b:Guid>{D898CCF3-416B-442B-96F9-8B899DC8C8A6}</b:Guid>
    <b:Author>
      <b:Author>
        <b:Corporate>WHO</b:Corporate>
      </b:Author>
    </b:Author>
    <b:Title>Global Health Risks: Mortality and burden of disease attributable to selected major risks</b:Title>
    <b:Year>2009</b:Year>
    <b:YearAccessed>2021</b:YearAccessed>
    <b:MonthAccessed>03</b:MonthAccessed>
    <b:DayAccessed>08</b:DayAccessed>
    <b:URL>https://apps.who.int/iris/bitstream/handle/10665/44203/9789241563871_eng.pdf</b:URL>
    <b:RefOrder>7</b:RefOrder>
  </b:Source>
  <b:Source>
    <b:Tag>Aud03</b:Tag>
    <b:SourceType>Book</b:SourceType>
    <b:Guid>{AF30066D-2ABF-4DCA-8C50-BBFA6A79CEAD}</b:Guid>
    <b:Title>Interprofessional Collaboration : From Policy to Practice in Health and Social Care</b:Title>
    <b:Year>2003</b:Year>
    <b:Author>
      <b:Author>
        <b:NameList>
          <b:Person>
            <b:Last>Leathard</b:Last>
            <b:First>Audrey</b:First>
          </b:Person>
        </b:NameList>
      </b:Author>
    </b:Author>
    <b:Pages>1-7</b:Pages>
    <b:YearAccessed>2021</b:YearAccessed>
    <b:MonthAccessed>03</b:MonthAccessed>
    <b:DayAccessed>08</b:DayAccessed>
    <b:URL>https://web-a-ebscohost-com.ezproxy.uwtsd.ac.uk/ehost/ebookviewer/ebook/bmxlYmtfXzEwNjU1Ml9fQU41?sid=602bd700-becc-47ba-86fd-6d838604ffa7@sdc-v-sessmgr03&amp;vid=0&amp;format=EB&amp;lpid=lp_xi&amp;rid=0</b:URL>
    <b:RefOrder>16</b:RefOrder>
  </b:Source>
  <b:Source>
    <b:Tag>Far17</b:Tag>
    <b:SourceType>JournalArticle</b:SourceType>
    <b:Guid>{AD996DF6-8235-4290-8775-91FA50EA36D2}</b:Guid>
    <b:Author>
      <b:Author>
        <b:NameList>
          <b:Person>
            <b:Last>Farre</b:Last>
            <b:First>Albert</b:First>
          </b:Person>
          <b:Person>
            <b:Last>Rapley</b:Last>
            <b:First>Tim</b:First>
          </b:Person>
        </b:NameList>
      </b:Author>
    </b:Author>
    <b:Title>The New Old (and Old New) Medical Model: Four Decades Navigating the Biomedical and Psychosocial Understandings of Health and Illness</b:Title>
    <b:Year>2017</b:Year>
    <b:JournalName>MDPI</b:JournalName>
    <b:Pages>88</b:Pages>
    <b:Volume>5</b:Volume>
    <b:Issue>4</b:Issue>
    <b:YearAccessed>2021</b:YearAccessed>
    <b:MonthAccessed>03</b:MonthAccessed>
    <b:DayAccessed>09</b:DayAccessed>
    <b:URL>https://www.mdpi.com/2227-9032/5/4/88/htm</b:URL>
    <b:RefOrder>25</b:RefOrder>
  </b:Source>
  <b:Source>
    <b:Tag>Eng77</b:Tag>
    <b:SourceType>JournalArticle</b:SourceType>
    <b:Guid>{2AEA7F45-D50E-4F01-B7CA-EFBD812B064D}</b:Guid>
    <b:Author>
      <b:Author>
        <b:NameList>
          <b:Person>
            <b:Last>Engel</b:Last>
            <b:First>George</b:First>
            <b:Middle>L</b:Middle>
          </b:Person>
        </b:NameList>
      </b:Author>
    </b:Author>
    <b:Title>The Need for a New Medical Model: A Challenge for Biomedicine</b:Title>
    <b:JournalName>American Association for the Advancement of Science</b:JournalName>
    <b:Year>1977</b:Year>
    <b:Pages>129-136</b:Pages>
    <b:Month>04</b:Month>
    <b:Day>08</b:Day>
    <b:Volume>196</b:Volume>
    <b:Issue>4286</b:Issue>
    <b:YearAccessed>2021</b:YearAccessed>
    <b:MonthAccessed>03</b:MonthAccessed>
    <b:DayAccessed>09</b:DayAccessed>
    <b:URL>http://www.drannejensen.com/PDF/publications/The%20need%20for%20a%20new%20medical%20model%20-%20A%20challenge%20for%20biomedicine.pdf</b:URL>
    <b:RefOrder>5</b:RefOrder>
  </b:Source>
  <b:Source>
    <b:Tag>Nat98</b:Tag>
    <b:SourceType>Report</b:SourceType>
    <b:Guid>{8A5C0D62-D7E1-470A-905A-5A9217FFE455}</b:Guid>
    <b:Title>Biomedical Models and Resources: Current Needs and Future Opportunities</b:Title>
    <b:Year>1998</b:Year>
    <b:Publisher>National Academies Press</b:Publisher>
    <b:Author>
      <b:Author>
        <b:Corporate>National Research Council</b:Corporate>
      </b:Author>
    </b:Author>
    <b:YearAccessed>2021</b:YearAccessed>
    <b:MonthAccessed>03</b:MonthAccessed>
    <b:DayAccessed>09</b:DayAccessed>
    <b:URL>https://www.ncbi.nlm.nih.gov/books/NBK230283/#:~:text=A%20biomedical%20model%20is%20a,therapeutic%20intervention%20in%20human%20diseases.</b:URL>
    <b:RefOrder>3</b:RefOrder>
  </b:Source>
  <b:Source>
    <b:Tag>Bor04</b:Tag>
    <b:SourceType>JournalArticle</b:SourceType>
    <b:Guid>{11A6D0AF-0A50-434F-8002-7EF7E58002E3}</b:Guid>
    <b:Title>The Biopsychosocial Model 25 Years Later: Principles, Practice, and Scientific Inquiry</b:Title>
    <b:Year>2004</b:Year>
    <b:Author>
      <b:Author>
        <b:NameList>
          <b:Person>
            <b:Last>Borrell-Carrió</b:Last>
            <b:First>Francesc</b:First>
          </b:Person>
          <b:Person>
            <b:Last>Suchman</b:Last>
            <b:First>Anthony</b:First>
            <b:Middle>L.</b:Middle>
          </b:Person>
          <b:Person>
            <b:Last>Epstein</b:Last>
            <b:First>Ronald</b:First>
            <b:Middle>M.</b:Middle>
          </b:Person>
        </b:NameList>
      </b:Author>
    </b:Author>
    <b:JournalName>Annals of Family Medicine</b:JournalName>
    <b:Pages>576-582</b:Pages>
    <b:Month>11</b:Month>
    <b:Volume>2</b:Volume>
    <b:Issue>6</b:Issue>
    <b:YearAccessed>2021</b:YearAccessed>
    <b:MonthAccessed>03</b:MonthAccessed>
    <b:DayAccessed>09</b:DayAccessed>
    <b:URL>https://www.ncbi.nlm.nih.gov/pmc/articles/PMC1466742/#__ffn_sectitle</b:URL>
    <b:RefOrder>26</b:RefOrder>
  </b:Source>
  <b:Source>
    <b:Tag>ONS201</b:Tag>
    <b:SourceType>Report</b:SourceType>
    <b:Guid>{62C4C2CB-CF23-4ED9-A5C3-834233A3C784}</b:Guid>
    <b:Title>Religion and health in England and Wales: February 2020</b:Title>
    <b:Year>2020</b:Year>
    <b:Author>
      <b:Author>
        <b:Corporate>ONS</b:Corporate>
      </b:Author>
    </b:Author>
    <b:Publisher>Office of National Statistics</b:Publisher>
    <b:YearAccessed>2021</b:YearAccessed>
    <b:MonthAccessed>03</b:MonthAccessed>
    <b:DayAccessed>09</b:DayAccessed>
    <b:URL>https://www.ons.gov.uk/peoplepopulationandcommunity/culturalidentity/religion/articles/religionandhealthinenglandandwales/february2020</b:URL>
    <b:RefOrder>11</b:RefOrder>
  </b:Source>
  <b:Source>
    <b:Tag>Rou14</b:Tag>
    <b:SourceType>JournalArticle</b:SourceType>
    <b:Guid>{7E1CF46D-1EAA-4AAE-A8D3-B29F94802A3B}</b:Guid>
    <b:Author>
      <b:Author>
        <b:NameList>
          <b:Person>
            <b:Last>Rouhani</b:Last>
            <b:First>Mohammad</b:First>
            <b:Middle>Hossein</b:Middle>
          </b:Person>
          <b:Person>
            <b:Last>Azadbakht</b:Last>
            <b:First>Leila</b:First>
          </b:Person>
        </b:NameList>
      </b:Author>
    </b:Author>
    <b:Title>Is Ramadan fasting related to health outcomes? A review on the related evidence</b:Title>
    <b:Year>2014</b:Year>
    <b:JournalName>Journal of Research in Medical Sciences: The Official Journal of Isfahan University of Medical Sciences</b:JournalName>
    <b:Pages>987-992</b:Pages>
    <b:Month>10</b:Month>
    <b:Volume>19</b:Volume>
    <b:Issue>10</b:Issue>
    <b:YearAccessed>2021</b:YearAccessed>
    <b:MonthAccessed>03</b:MonthAccessed>
    <b:DayAccessed>09</b:DayAccessed>
    <b:URL>https://www.ncbi.nlm.nih.gov/pmc/articles/PMC4274578/#__ffn_sectitle</b:URL>
    <b:RefOrder>27</b:RefOrder>
  </b:Source>
  <b:Source>
    <b:Tag>Joh10</b:Tag>
    <b:SourceType>JournalArticle</b:SourceType>
    <b:Guid>{B83AAB2D-76FD-4FF7-A787-9D70BD1EEE25}</b:Guid>
    <b:Title>The impact of religious fasting on human health</b:Title>
    <b:JournalName>Nutrition Journal</b:JournalName>
    <b:Year>2010</b:Year>
    <b:Author>
      <b:Author>
        <b:NameList>
          <b:Person>
            <b:Last>Trepanowski</b:Last>
            <b:First>John</b:First>
            <b:Middle>F</b:Middle>
          </b:Person>
          <b:Person>
            <b:Last>Bloomer</b:Last>
            <b:First>Richard</b:First>
            <b:Middle>J</b:Middle>
          </b:Person>
        </b:NameList>
      </b:Author>
    </b:Author>
    <b:Month>11</b:Month>
    <b:Day>22</b:Day>
    <b:Volume>9</b:Volume>
    <b:Issue>57</b:Issue>
    <b:YearAccessed>2021</b:YearAccessed>
    <b:MonthAccessed>03</b:MonthAccessed>
    <b:DayAccessed>09</b:DayAccessed>
    <b:URL>https://nutritionj.biomedcentral.com/articles/10.1186/1475-2891-9-57</b:URL>
    <b:RefOrder>28</b:RefOrder>
  </b:Source>
  <b:Source>
    <b:Tag>Dav05</b:Tag>
    <b:SourceType>JournalArticle</b:SourceType>
    <b:Guid>{0145D203-E657-4035-9240-F4F6598CF14F}</b:Guid>
    <b:Author>
      <b:Author>
        <b:NameList>
          <b:Person>
            <b:Last>Davies</b:Last>
            <b:First>Peter</b:First>
          </b:Person>
        </b:NameList>
      </b:Author>
    </b:Author>
    <b:Title>Biomedical models and healthcare systems - Tangible pathology has great validity</b:Title>
    <b:JournalName>BMJ</b:JournalName>
    <b:Year>2005</b:Year>
    <b:Pages>419-420</b:Pages>
    <b:Volume>330</b:Volume>
    <b:Issue>7488</b:Issue>
    <b:YearAccessed>2021</b:YearAccessed>
    <b:MonthAccessed>03</b:MonthAccessed>
    <b:DayAccessed>09</b:DayAccessed>
    <b:URL>https://www.researchgate.net/publication/8013917_Biomedical_models_and_healthcare_systems_-_Tangible_pathology_has_great_validity</b:URL>
    <b:RefOrder>4</b:RefOrder>
  </b:Source>
  <b:Source>
    <b:Tag>Wad04</b:Tag>
    <b:SourceType>JournalArticle</b:SourceType>
    <b:Guid>{ED133B1E-5AB6-4988-B314-CBF5F539E3A4}</b:Guid>
    <b:Author>
      <b:Author>
        <b:NameList>
          <b:Person>
            <b:Last>Wade</b:Last>
            <b:First>Derrick</b:First>
            <b:Middle>T</b:Middle>
          </b:Person>
          <b:Person>
            <b:Last>Halligan</b:Last>
            <b:First>Peter</b:First>
            <b:Middle>W</b:Middle>
          </b:Person>
        </b:NameList>
      </b:Author>
    </b:Author>
    <b:Title>Do biomedical models of illness make for good healthcare systems?</b:Title>
    <b:JournalName>BMJ</b:JournalName>
    <b:Year>2004</b:Year>
    <b:Pages>1398-1401</b:Pages>
    <b:Month>12</b:Month>
    <b:Day>11</b:Day>
    <b:Volume>329</b:Volume>
    <b:Issue>7479</b:Issue>
    <b:YearAccessed>2021</b:YearAccessed>
    <b:MonthAccessed>03</b:MonthAccessed>
    <b:DayAccessed>09</b:DayAccessed>
    <b:URL>https://www.ncbi.nlm.nih.gov/pmc/articles/PMC535463/#__ffn_sectitle</b:URL>
    <b:RefOrder>29</b:RefOrder>
  </b:Source>
  <b:Source>
    <b:Tag>Nan13</b:Tag>
    <b:SourceType>JournalArticle</b:SourceType>
    <b:Guid>{8766E2D8-E091-43DA-96A5-9E8FC12FA709}</b:Guid>
    <b:Author>
      <b:Author>
        <b:NameList>
          <b:Person>
            <b:Last>Nancarrow</b:Last>
            <b:First>Susan</b:First>
            <b:Middle>A</b:Middle>
          </b:Person>
          <b:Person>
            <b:Last>Booth</b:Last>
            <b:First>Andrew</b:First>
          </b:Person>
          <b:Person>
            <b:Last>Ariss</b:Last>
            <b:First>Steven</b:First>
          </b:Person>
          <b:Person>
            <b:Last>Smith</b:Last>
            <b:First>Tony</b:First>
          </b:Person>
          <b:Person>
            <b:Last>Enderby</b:Last>
            <b:First>Pam</b:First>
          </b:Person>
          <b:Person>
            <b:Last>Roots</b:Last>
            <b:First>Alison</b:First>
          </b:Person>
        </b:NameList>
      </b:Author>
    </b:Author>
    <b:Title>Ten principles of good interdisciplinary team work</b:Title>
    <b:JournalName>Human Resources for Health</b:JournalName>
    <b:Year>2013</b:Year>
    <b:Month>05</b:Month>
    <b:Day>10</b:Day>
    <b:Volume>11</b:Volume>
    <b:Issue>19</b:Issue>
    <b:YearAccessed>2021</b:YearAccessed>
    <b:MonthAccessed>03</b:MonthAccessed>
    <b:DayAccessed>09</b:DayAccessed>
    <b:URL>https://www.ncbi.nlm.nih.gov/pmc/articles/PMC3662612/#__ffn_sectitle</b:URL>
    <b:RefOrder>17</b:RefOrder>
  </b:Source>
  <b:Source>
    <b:Tag>WHO21</b:Tag>
    <b:SourceType>Report</b:SourceType>
    <b:Guid>{2D05386E-CE82-4DE6-9C9C-B43886E5D223}</b:Guid>
    <b:Author>
      <b:Author>
        <b:Corporate>WHO</b:Corporate>
      </b:Author>
    </b:Author>
    <b:Title>Constitution</b:Title>
    <b:Year>2021</b:Year>
    <b:Publisher>World Health Organisation</b:Publisher>
    <b:YearAccessed>2021</b:YearAccessed>
    <b:MonthAccessed>03</b:MonthAccessed>
    <b:DayAccessed>09</b:DayAccessed>
    <b:URL>https://www.who.int/about/who-we-are/constitution#:~:text=Health%20is%20a%20state%20of,belief%2C%20economic%20or%20social%20condition.</b:URL>
    <b:RefOrder>1</b:RefOrder>
  </b:Source>
  <b:Source>
    <b:Tag>Res07</b:Tag>
    <b:SourceType>JournalArticle</b:SourceType>
    <b:Guid>{00551E8A-4F6A-46C7-A0E3-A95DB4611093}</b:Guid>
    <b:Author>
      <b:Author>
        <b:NameList>
          <b:Person>
            <b:Last>Resnik</b:Last>
            <b:First>D</b:First>
            <b:Middle>B</b:Middle>
          </b:Person>
        </b:NameList>
      </b:Author>
    </b:Author>
    <b:Title>Responsibility for health: personal, social, and environmental</b:Title>
    <b:Year>2007</b:Year>
    <b:JournalName>Journal of Medical Ethics</b:JournalName>
    <b:Pages>444-445</b:Pages>
    <b:Month>08</b:Month>
    <b:Volume>33</b:Volume>
    <b:Issue>8</b:Issue>
    <b:YearAccessed>2021</b:YearAccessed>
    <b:MonthAccessed>03</b:MonthAccessed>
    <b:DayAccessed>09</b:DayAccessed>
    <b:URL>https://www.ncbi.nlm.nih.gov/pmc/articles/PMC2598168/#__ffn_sectitle</b:URL>
    <b:RefOrder>15</b:RefOrder>
  </b:Source>
  <b:Source>
    <b:Tag>Cat14</b:Tag>
    <b:SourceType>Report</b:SourceType>
    <b:Guid>{D97C5815-5E0D-45ED-92CA-1FDA630A3B92}</b:Guid>
    <b:Title>People in control of their own health and care: The state of involvement</b:Title>
    <b:Year>2014</b:Year>
    <b:Publisher>The Kings Fund</b:Publisher>
    <b:Author>
      <b:Author>
        <b:NameList>
          <b:Person>
            <b:Last>Foot</b:Last>
            <b:First>Catherine</b:First>
          </b:Person>
          <b:Person>
            <b:Last>Gilburt</b:Last>
            <b:First>Helen</b:First>
          </b:Person>
          <b:Person>
            <b:Last>Dunn</b:Last>
            <b:First>Phoebe</b:First>
          </b:Person>
          <b:Person>
            <b:Last>Jabbal</b:Last>
            <b:First>Joni</b:First>
          </b:Person>
          <b:Person>
            <b:Last>Seal</b:Last>
            <b:First>Becky</b:First>
          </b:Person>
          <b:Person>
            <b:Last>Goodrich</b:Last>
            <b:First>Joanna</b:First>
          </b:Person>
          <b:Person>
            <b:Last>Buck</b:Last>
            <b:First>David</b:First>
          </b:Person>
          <b:Person>
            <b:Last>Taylor</b:Last>
            <b:First>Jeremy</b:First>
          </b:Person>
        </b:NameList>
      </b:Author>
    </b:Author>
    <b:YearAccessed>2021</b:YearAccessed>
    <b:MonthAccessed>03</b:MonthAccessed>
    <b:DayAccessed>09</b:DayAccessed>
    <b:URL>https://www.kingsfund.org.uk/sites/default/files/field/field_publication_file/people-in-control-of-their-own-health-and-care-the-state-of-involvement-november-2014.pdf</b:URL>
    <b:RefOrder>2</b:RefOrder>
  </b:Source>
  <b:Source>
    <b:Tag>Off21</b:Tag>
    <b:SourceType>Report</b:SourceType>
    <b:Guid>{D9FA9EE6-2BF9-44F2-A218-9891FFA34F0B}</b:Guid>
    <b:Author>
      <b:Author>
        <b:Corporate>Office of Disease Prevention and Health Promotion</b:Corporate>
      </b:Author>
    </b:Author>
    <b:Title>Environmental Health</b:Title>
    <b:Year>2021</b:Year>
    <b:Publisher>ODPHP</b:Publisher>
    <b:YearAccessed>2021</b:YearAccessed>
    <b:MonthAccessed>03</b:MonthAccessed>
    <b:DayAccessed>09</b:DayAccessed>
    <b:URL>https://www.healthypeople.gov/2020/topics-objectives/topic/environmental-health</b:URL>
    <b:RefOrder>8</b:RefOrder>
  </b:Source>
  <b:Source>
    <b:Tag>Law18</b:Tag>
    <b:SourceType>InternetSite</b:SourceType>
    <b:Guid>{E83F980F-AF96-4273-81DC-EC165278162E}</b:Guid>
    <b:Author>
      <b:Author>
        <b:NameList>
          <b:Person>
            <b:Last>Lawson</b:Last>
            <b:First>Sarah</b:First>
          </b:Person>
        </b:NameList>
      </b:Author>
    </b:Author>
    <b:Title>Poverty and Health</b:Title>
    <b:Year>2018</b:Year>
    <b:InternetSiteTitle>The HEalth Foundation</b:InternetSiteTitle>
    <b:Month>01</b:Month>
    <b:Day>30</b:Day>
    <b:URL>https://www.health.org.uk/infographic/poverty-and-health</b:URL>
    <b:YearAccessed>2021</b:YearAccessed>
    <b:MonthAccessed>03</b:MonthAccessed>
    <b:DayAccessed>09</b:DayAccessed>
    <b:RefOrder>6</b:RefOrder>
  </b:Source>
  <b:Source>
    <b:Tag>Ali18</b:Tag>
    <b:SourceType>JournalArticle</b:SourceType>
    <b:Guid>{765DCEDA-0A00-4CEE-B53A-097574D04A7C}</b:Guid>
    <b:Title>Multidisciplinary team functioning and decision making within forensic mental health</b:Title>
    <b:Year>2018</b:Year>
    <b:Month>09</b:Month>
    <b:Day>10</b:Day>
    <b:URL>https://www.ncbi.nlm.nih.gov/pmc/articles/PMC6201820/#__ffn_sectitle</b:URL>
    <b:JournalName>Mental Health Review</b:JournalName>
    <b:Pages>185-196</b:Pages>
    <b:Author>
      <b:Author>
        <b:NameList>
          <b:Person>
            <b:Last>Haines</b:Last>
            <b:First>Alina</b:First>
          </b:Person>
          <b:Person>
            <b:Last>Perkins</b:Last>
            <b:First>Elizabeth</b:First>
          </b:Person>
          <b:Person>
            <b:Last>Evans</b:Last>
            <b:First>Elizabeth</b:First>
            <b:Middle>A.</b:Middle>
          </b:Person>
          <b:Person>
            <b:Last>McCabe</b:Last>
            <b:First>Rhiannah</b:First>
          </b:Person>
        </b:NameList>
      </b:Author>
    </b:Author>
    <b:Volume>23</b:Volume>
    <b:Issue>3</b:Issue>
    <b:YearAccessed>2021</b:YearAccessed>
    <b:MonthAccessed>03</b:MonthAccessed>
    <b:DayAccessed>09</b:DayAccessed>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C464D-E8DB-4F15-BC81-64B130F17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Factors that impact health</vt:lpstr>
    </vt:vector>
  </TitlesOfParts>
  <Company>UWTSD</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Factors that impact health</dc:title>
  <dc:subject/>
  <dc:creator>Laszlo Miko</dc:creator>
  <cp:keywords/>
  <dc:description/>
  <cp:lastModifiedBy>Ben Duxbury</cp:lastModifiedBy>
  <cp:revision>2</cp:revision>
  <dcterms:created xsi:type="dcterms:W3CDTF">2021-03-23T07:51:00Z</dcterms:created>
  <dcterms:modified xsi:type="dcterms:W3CDTF">2021-03-23T07:51:00Z</dcterms:modified>
</cp:coreProperties>
</file>