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7400D1" w:rsidRDefault="000264A1" w:rsidP="007400D1">
      <w:pPr>
        <w:spacing w:line="360" w:lineRule="auto"/>
        <w:jc w:val="center"/>
        <w:rPr>
          <w:rStyle w:val="Strong"/>
          <w:rFonts w:ascii="Arial Black" w:hAnsi="Arial Black" w:cs="Arial"/>
          <w:color w:val="153D63" w:themeColor="text2" w:themeTint="E6"/>
          <w:sz w:val="36"/>
          <w:szCs w:val="36"/>
        </w:rPr>
      </w:pPr>
      <w:r w:rsidRPr="007400D1">
        <w:rPr>
          <w:rStyle w:val="Strong"/>
          <w:rFonts w:ascii="Arial Black" w:hAnsi="Arial Black" w:cs="Arial"/>
          <w:color w:val="153D63" w:themeColor="text2" w:themeTint="E6"/>
          <w:sz w:val="36"/>
          <w:szCs w:val="36"/>
        </w:rPr>
        <w:t>BMHP6029-Psychopathological Classifications and Provisions</w:t>
      </w:r>
    </w:p>
    <w:p w14:paraId="2A88E453" w14:textId="77777777" w:rsidR="000264A1" w:rsidRDefault="000264A1" w:rsidP="007400D1">
      <w:pPr>
        <w:spacing w:line="360" w:lineRule="auto"/>
        <w:jc w:val="center"/>
        <w:rPr>
          <w:rStyle w:val="Strong"/>
          <w:rFonts w:ascii="Arial" w:hAnsi="Arial" w:cs="Arial"/>
          <w:color w:val="1D2125"/>
          <w:sz w:val="36"/>
          <w:szCs w:val="36"/>
        </w:rPr>
      </w:pPr>
    </w:p>
    <w:p w14:paraId="34AAAB14" w14:textId="77777777" w:rsidR="000264A1" w:rsidRDefault="000264A1" w:rsidP="007400D1">
      <w:pPr>
        <w:spacing w:line="360" w:lineRule="auto"/>
        <w:jc w:val="center"/>
        <w:rPr>
          <w:rStyle w:val="Strong"/>
          <w:rFonts w:ascii="Arial" w:hAnsi="Arial" w:cs="Arial"/>
          <w:color w:val="1D2125"/>
          <w:sz w:val="36"/>
          <w:szCs w:val="36"/>
        </w:rPr>
      </w:pPr>
    </w:p>
    <w:p w14:paraId="723DF23E" w14:textId="77777777" w:rsidR="000264A1" w:rsidRPr="000264A1" w:rsidRDefault="000264A1" w:rsidP="007400D1">
      <w:pPr>
        <w:spacing w:line="360" w:lineRule="auto"/>
        <w:jc w:val="center"/>
        <w:rPr>
          <w:rStyle w:val="Strong"/>
          <w:rFonts w:ascii="Arial" w:hAnsi="Arial" w:cs="Arial"/>
          <w:color w:val="1D2125"/>
          <w:sz w:val="36"/>
          <w:szCs w:val="36"/>
        </w:rPr>
      </w:pPr>
    </w:p>
    <w:p w14:paraId="25159706" w14:textId="77777777" w:rsidR="000264A1" w:rsidRPr="007400D1" w:rsidRDefault="000264A1" w:rsidP="007400D1">
      <w:pPr>
        <w:spacing w:line="360" w:lineRule="auto"/>
        <w:rPr>
          <w:rStyle w:val="Strong"/>
          <w:rFonts w:ascii="Arial" w:hAnsi="Arial" w:cs="Arial"/>
          <w:b w:val="0"/>
          <w:bCs w:val="0"/>
          <w:color w:val="153D63" w:themeColor="text2" w:themeTint="E6"/>
          <w:sz w:val="32"/>
          <w:szCs w:val="32"/>
        </w:rPr>
      </w:pPr>
      <w:r w:rsidRPr="007400D1">
        <w:rPr>
          <w:rFonts w:ascii="Arial" w:hAnsi="Arial" w:cs="Arial"/>
          <w:bCs/>
          <w:color w:val="153D63" w:themeColor="text2" w:themeTint="E6"/>
          <w:sz w:val="32"/>
          <w:szCs w:val="32"/>
        </w:rPr>
        <w:t xml:space="preserve">Component 2: </w:t>
      </w:r>
      <w:r w:rsidRPr="007400D1">
        <w:rPr>
          <w:rFonts w:ascii="Arial" w:hAnsi="Arial" w:cs="Arial"/>
          <w:b/>
          <w:bCs/>
          <w:color w:val="153D63" w:themeColor="text2" w:themeTint="E6"/>
          <w:sz w:val="32"/>
          <w:szCs w:val="32"/>
        </w:rPr>
        <w:t>Written Assignment (Report)</w:t>
      </w:r>
      <w:r w:rsidRPr="007400D1">
        <w:rPr>
          <w:rStyle w:val="Strong"/>
          <w:rFonts w:ascii="Arial" w:hAnsi="Arial" w:cs="Arial"/>
          <w:b w:val="0"/>
          <w:bCs w:val="0"/>
          <w:color w:val="153D63" w:themeColor="text2" w:themeTint="E6"/>
          <w:sz w:val="32"/>
          <w:szCs w:val="32"/>
        </w:rPr>
        <w:t xml:space="preserve"> </w:t>
      </w:r>
    </w:p>
    <w:p w14:paraId="3DB89340" w14:textId="20B35D6F" w:rsidR="000264A1" w:rsidRPr="007400D1" w:rsidRDefault="000264A1" w:rsidP="007400D1">
      <w:pPr>
        <w:spacing w:line="360" w:lineRule="auto"/>
        <w:rPr>
          <w:rStyle w:val="Strong"/>
          <w:rFonts w:ascii="Arial" w:hAnsi="Arial" w:cs="Arial"/>
          <w:b w:val="0"/>
          <w:color w:val="153D63" w:themeColor="text2" w:themeTint="E6"/>
          <w:sz w:val="32"/>
          <w:szCs w:val="32"/>
        </w:rPr>
      </w:pPr>
      <w:r w:rsidRPr="007400D1">
        <w:rPr>
          <w:rStyle w:val="Strong"/>
          <w:rFonts w:ascii="Arial" w:hAnsi="Arial" w:cs="Arial"/>
          <w:b w:val="0"/>
          <w:color w:val="153D63" w:themeColor="text2" w:themeTint="E6"/>
          <w:sz w:val="32"/>
          <w:szCs w:val="32"/>
        </w:rPr>
        <w:t>Student name</w:t>
      </w:r>
      <w:r w:rsidR="007400D1">
        <w:rPr>
          <w:rStyle w:val="Strong"/>
          <w:rFonts w:ascii="Arial" w:hAnsi="Arial" w:cs="Arial"/>
          <w:b w:val="0"/>
          <w:color w:val="153D63" w:themeColor="text2" w:themeTint="E6"/>
          <w:sz w:val="32"/>
          <w:szCs w:val="32"/>
        </w:rPr>
        <w:t xml:space="preserve">: </w:t>
      </w:r>
      <w:r w:rsidR="007400D1" w:rsidRPr="007400D1">
        <w:rPr>
          <w:rStyle w:val="Strong"/>
          <w:rFonts w:ascii="Arial" w:hAnsi="Arial" w:cs="Arial"/>
          <w:color w:val="153D63" w:themeColor="text2" w:themeTint="E6"/>
          <w:sz w:val="32"/>
          <w:szCs w:val="32"/>
        </w:rPr>
        <w:t>Ekaterina Kist</w:t>
      </w:r>
      <w:r w:rsidR="007400D1">
        <w:rPr>
          <w:rStyle w:val="Strong"/>
          <w:rFonts w:ascii="Arial" w:hAnsi="Arial" w:cs="Arial"/>
          <w:b w:val="0"/>
          <w:color w:val="153D63" w:themeColor="text2" w:themeTint="E6"/>
          <w:sz w:val="32"/>
          <w:szCs w:val="32"/>
        </w:rPr>
        <w:t xml:space="preserve"> </w:t>
      </w:r>
      <w:r w:rsidRPr="007400D1">
        <w:rPr>
          <w:rStyle w:val="Strong"/>
          <w:rFonts w:ascii="Arial" w:hAnsi="Arial" w:cs="Arial"/>
          <w:b w:val="0"/>
          <w:color w:val="153D63" w:themeColor="text2" w:themeTint="E6"/>
          <w:sz w:val="32"/>
          <w:szCs w:val="32"/>
        </w:rPr>
        <w:t xml:space="preserve"> </w:t>
      </w:r>
    </w:p>
    <w:p w14:paraId="0798CBC9" w14:textId="77777777" w:rsidR="007400D1" w:rsidRDefault="000264A1" w:rsidP="007400D1">
      <w:pPr>
        <w:spacing w:line="360" w:lineRule="auto"/>
        <w:rPr>
          <w:rStyle w:val="Strong"/>
          <w:rFonts w:ascii="Arial" w:hAnsi="Arial" w:cs="Arial"/>
          <w:color w:val="153D63" w:themeColor="text2" w:themeTint="E6"/>
          <w:sz w:val="32"/>
          <w:szCs w:val="32"/>
        </w:rPr>
      </w:pPr>
      <w:r w:rsidRPr="007400D1">
        <w:rPr>
          <w:rStyle w:val="Strong"/>
          <w:rFonts w:ascii="Arial" w:hAnsi="Arial" w:cs="Arial"/>
          <w:b w:val="0"/>
          <w:color w:val="153D63" w:themeColor="text2" w:themeTint="E6"/>
          <w:sz w:val="32"/>
          <w:szCs w:val="32"/>
        </w:rPr>
        <w:t>Student number</w:t>
      </w:r>
      <w:r w:rsidR="007400D1">
        <w:rPr>
          <w:rStyle w:val="Strong"/>
          <w:rFonts w:ascii="Arial" w:hAnsi="Arial" w:cs="Arial"/>
          <w:b w:val="0"/>
          <w:color w:val="153D63" w:themeColor="text2" w:themeTint="E6"/>
          <w:sz w:val="32"/>
          <w:szCs w:val="32"/>
        </w:rPr>
        <w:t xml:space="preserve">: </w:t>
      </w:r>
      <w:r w:rsidR="007400D1" w:rsidRPr="007400D1">
        <w:rPr>
          <w:rStyle w:val="Strong"/>
          <w:rFonts w:ascii="Arial" w:hAnsi="Arial" w:cs="Arial"/>
          <w:color w:val="153D63" w:themeColor="text2" w:themeTint="E6"/>
          <w:sz w:val="32"/>
          <w:szCs w:val="32"/>
        </w:rPr>
        <w:t>2336279</w:t>
      </w:r>
    </w:p>
    <w:p w14:paraId="3F25C99D" w14:textId="099C23C6" w:rsidR="000264A1" w:rsidRPr="007400D1" w:rsidRDefault="007400D1" w:rsidP="007400D1">
      <w:pPr>
        <w:spacing w:line="360" w:lineRule="auto"/>
        <w:rPr>
          <w:sz w:val="36"/>
          <w:szCs w:val="36"/>
        </w:rPr>
      </w:pPr>
      <w:r w:rsidRPr="007400D1">
        <w:rPr>
          <w:rStyle w:val="Strong"/>
          <w:rFonts w:ascii="Arial" w:hAnsi="Arial" w:cs="Arial"/>
          <w:b w:val="0"/>
          <w:color w:val="153D63" w:themeColor="text2" w:themeTint="E6"/>
          <w:sz w:val="32"/>
          <w:szCs w:val="32"/>
        </w:rPr>
        <w:t>Lecturer</w:t>
      </w:r>
      <w:r w:rsidR="004D63B9">
        <w:rPr>
          <w:rStyle w:val="Strong"/>
          <w:rFonts w:ascii="Arial" w:hAnsi="Arial" w:cs="Arial"/>
          <w:b w:val="0"/>
          <w:color w:val="153D63" w:themeColor="text2" w:themeTint="E6"/>
          <w:sz w:val="32"/>
          <w:szCs w:val="32"/>
        </w:rPr>
        <w:t>’</w:t>
      </w:r>
      <w:r w:rsidRPr="007400D1">
        <w:rPr>
          <w:rStyle w:val="Strong"/>
          <w:rFonts w:ascii="Arial" w:hAnsi="Arial" w:cs="Arial"/>
          <w:b w:val="0"/>
          <w:color w:val="153D63" w:themeColor="text2" w:themeTint="E6"/>
          <w:sz w:val="32"/>
          <w:szCs w:val="32"/>
        </w:rPr>
        <w:t>s name:</w:t>
      </w:r>
      <w:r>
        <w:rPr>
          <w:rStyle w:val="Strong"/>
          <w:rFonts w:ascii="Arial" w:hAnsi="Arial" w:cs="Arial"/>
          <w:b w:val="0"/>
          <w:color w:val="153D63" w:themeColor="text2" w:themeTint="E6"/>
          <w:sz w:val="32"/>
          <w:szCs w:val="32"/>
        </w:rPr>
        <w:t xml:space="preserve"> </w:t>
      </w:r>
      <w:r w:rsidRPr="004D63B9">
        <w:rPr>
          <w:rStyle w:val="Strong"/>
          <w:rFonts w:ascii="Arial" w:hAnsi="Arial" w:cs="Arial"/>
          <w:color w:val="153D63" w:themeColor="text2" w:themeTint="E6"/>
          <w:sz w:val="32"/>
          <w:szCs w:val="32"/>
        </w:rPr>
        <w:t xml:space="preserve">Bianca </w:t>
      </w:r>
      <w:proofErr w:type="spellStart"/>
      <w:r w:rsidRPr="004D63B9">
        <w:rPr>
          <w:rStyle w:val="Strong"/>
          <w:rFonts w:ascii="Arial" w:hAnsi="Arial" w:cs="Arial"/>
          <w:color w:val="153D63" w:themeColor="text2" w:themeTint="E6"/>
          <w:sz w:val="32"/>
          <w:szCs w:val="32"/>
        </w:rPr>
        <w:t>Sanfilippo</w:t>
      </w:r>
      <w:proofErr w:type="spellEnd"/>
      <w:r>
        <w:rPr>
          <w:rStyle w:val="Strong"/>
          <w:rFonts w:ascii="Arial" w:hAnsi="Arial" w:cs="Arial"/>
          <w:b w:val="0"/>
          <w:color w:val="153D63" w:themeColor="text2" w:themeTint="E6"/>
          <w:sz w:val="32"/>
          <w:szCs w:val="32"/>
        </w:rPr>
        <w:t xml:space="preserve"> </w:t>
      </w:r>
      <w:r w:rsidRPr="007400D1">
        <w:rPr>
          <w:rStyle w:val="Strong"/>
          <w:rFonts w:ascii="Arial" w:hAnsi="Arial" w:cs="Arial"/>
          <w:b w:val="0"/>
          <w:color w:val="153D63" w:themeColor="text2" w:themeTint="E6"/>
          <w:sz w:val="32"/>
          <w:szCs w:val="32"/>
        </w:rPr>
        <w:t xml:space="preserve">  </w:t>
      </w:r>
      <w:r w:rsidR="000264A1" w:rsidRPr="007400D1">
        <w:rPr>
          <w:sz w:val="36"/>
          <w:szCs w:val="36"/>
        </w:rPr>
        <w:t xml:space="preserve"> </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7332E91D" w14:textId="0325E025" w:rsidR="00D761AE" w:rsidRDefault="00D761AE" w:rsidP="000264A1">
      <w:pPr>
        <w:rPr>
          <w:rFonts w:ascii="Arial" w:hAnsi="Arial" w:cs="Arial"/>
          <w:sz w:val="36"/>
          <w:szCs w:val="36"/>
        </w:rPr>
      </w:pPr>
    </w:p>
    <w:p w14:paraId="7C2E2F33" w14:textId="77777777" w:rsidR="00D761AE" w:rsidRDefault="00D761AE"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1BB288AE" w:rsidR="008A6D32" w:rsidRPr="00400924" w:rsidRDefault="00D761AE" w:rsidP="000264A1">
      <w:pPr>
        <w:rPr>
          <w:rFonts w:ascii="Arial" w:hAnsi="Arial" w:cs="Arial"/>
          <w:color w:val="153D63" w:themeColor="text2" w:themeTint="E6"/>
          <w:sz w:val="22"/>
          <w:szCs w:val="22"/>
        </w:rPr>
      </w:pPr>
      <w:r w:rsidRPr="00400924">
        <w:rPr>
          <w:rFonts w:ascii="Arial" w:hAnsi="Arial" w:cs="Arial"/>
          <w:color w:val="153D63" w:themeColor="text2" w:themeTint="E6"/>
          <w:sz w:val="22"/>
          <w:szCs w:val="22"/>
        </w:rPr>
        <w:t xml:space="preserve">Word Count: 2,121 </w:t>
      </w:r>
    </w:p>
    <w:p w14:paraId="25725FF5" w14:textId="2FD80C94" w:rsidR="008E5CB8" w:rsidRPr="00D761AE" w:rsidRDefault="008E5CB8" w:rsidP="00D761AE">
      <w:pPr>
        <w:spacing w:line="360" w:lineRule="auto"/>
        <w:rPr>
          <w:rFonts w:ascii="Arial" w:hAnsi="Arial" w:cs="Arial"/>
          <w:color w:val="153D63" w:themeColor="text2" w:themeTint="E6"/>
          <w:sz w:val="18"/>
          <w:szCs w:val="18"/>
        </w:rPr>
      </w:pPr>
    </w:p>
    <w:p w14:paraId="4FB24000" w14:textId="77777777" w:rsidR="00D761AE" w:rsidRPr="00D761AE" w:rsidRDefault="00D761AE" w:rsidP="003F7931">
      <w:pPr>
        <w:spacing w:line="360" w:lineRule="auto"/>
        <w:rPr>
          <w:rFonts w:ascii="Arial" w:hAnsi="Arial" w:cs="Arial"/>
          <w:color w:val="153D63" w:themeColor="text2" w:themeTint="E6"/>
          <w:sz w:val="20"/>
          <w:szCs w:val="20"/>
        </w:rPr>
      </w:pPr>
      <w:r w:rsidRPr="00D761AE">
        <w:rPr>
          <w:rFonts w:ascii="Arial" w:hAnsi="Arial" w:cs="Arial"/>
          <w:b/>
          <w:bCs/>
          <w:color w:val="153D63" w:themeColor="text2" w:themeTint="E6"/>
          <w:sz w:val="20"/>
          <w:szCs w:val="20"/>
        </w:rPr>
        <w:t>Acknowledgement of the use of AI tools</w:t>
      </w:r>
    </w:p>
    <w:p w14:paraId="2811AB20" w14:textId="7ED98942" w:rsidR="003F7931" w:rsidRPr="00D761AE" w:rsidRDefault="00D761AE" w:rsidP="003F7931">
      <w:pPr>
        <w:spacing w:line="360" w:lineRule="auto"/>
        <w:rPr>
          <w:rFonts w:ascii="Arial" w:hAnsi="Arial" w:cs="Arial"/>
          <w:color w:val="153D63" w:themeColor="text2" w:themeTint="E6"/>
          <w:sz w:val="20"/>
          <w:szCs w:val="20"/>
        </w:rPr>
      </w:pPr>
      <w:r w:rsidRPr="00D761AE">
        <w:rPr>
          <w:rFonts w:ascii="Arial" w:hAnsi="Arial" w:cs="Arial"/>
          <w:color w:val="153D63" w:themeColor="text2" w:themeTint="E6"/>
          <w:sz w:val="20"/>
          <w:szCs w:val="20"/>
        </w:rPr>
        <w:t xml:space="preserve">I confirm that I have used </w:t>
      </w:r>
      <w:r w:rsidR="00672AAD" w:rsidRPr="003F7931">
        <w:rPr>
          <w:rFonts w:ascii="Arial" w:hAnsi="Arial" w:cs="Arial"/>
          <w:color w:val="153D63" w:themeColor="text2" w:themeTint="E6"/>
          <w:sz w:val="20"/>
          <w:szCs w:val="20"/>
        </w:rPr>
        <w:t>g</w:t>
      </w:r>
      <w:r w:rsidR="00672AAD" w:rsidRPr="003F7931">
        <w:rPr>
          <w:rFonts w:ascii="Arial" w:hAnsi="Arial" w:cs="Arial"/>
          <w:color w:val="153D63" w:themeColor="text2" w:themeTint="E6"/>
          <w:sz w:val="20"/>
          <w:szCs w:val="20"/>
        </w:rPr>
        <w:t>enerative AI to support i</w:t>
      </w:r>
      <w:r w:rsidR="00C008F7">
        <w:rPr>
          <w:rFonts w:ascii="Arial" w:hAnsi="Arial" w:cs="Arial"/>
          <w:color w:val="153D63" w:themeColor="text2" w:themeTint="E6"/>
          <w:sz w:val="20"/>
          <w:szCs w:val="20"/>
        </w:rPr>
        <w:t>n</w:t>
      </w:r>
      <w:bookmarkStart w:id="0" w:name="_GoBack"/>
      <w:bookmarkEnd w:id="0"/>
      <w:r w:rsidR="00672AAD" w:rsidRPr="003F7931">
        <w:rPr>
          <w:rFonts w:ascii="Arial" w:hAnsi="Arial" w:cs="Arial"/>
          <w:color w:val="153D63" w:themeColor="text2" w:themeTint="E6"/>
          <w:sz w:val="20"/>
          <w:szCs w:val="20"/>
        </w:rPr>
        <w:t xml:space="preserve"> structuring </w:t>
      </w:r>
      <w:r w:rsidR="00400924">
        <w:rPr>
          <w:rFonts w:ascii="Arial" w:hAnsi="Arial" w:cs="Arial"/>
          <w:color w:val="153D63" w:themeColor="text2" w:themeTint="E6"/>
          <w:sz w:val="20"/>
          <w:szCs w:val="20"/>
        </w:rPr>
        <w:t>my</w:t>
      </w:r>
      <w:r w:rsidR="00672AAD" w:rsidRPr="003F7931">
        <w:rPr>
          <w:rFonts w:ascii="Arial" w:hAnsi="Arial" w:cs="Arial"/>
          <w:color w:val="153D63" w:themeColor="text2" w:themeTint="E6"/>
          <w:sz w:val="20"/>
          <w:szCs w:val="20"/>
        </w:rPr>
        <w:t xml:space="preserve"> submission, including creating a draft argument structure, identifying parts and headings, etc</w:t>
      </w:r>
      <w:r w:rsidR="00672AAD" w:rsidRPr="003F7931">
        <w:rPr>
          <w:rFonts w:ascii="Arial" w:hAnsi="Arial" w:cs="Arial"/>
          <w:color w:val="153D63" w:themeColor="text2" w:themeTint="E6"/>
          <w:sz w:val="20"/>
          <w:szCs w:val="20"/>
        </w:rPr>
        <w:t xml:space="preserve"> as permitted </w:t>
      </w:r>
      <w:r w:rsidR="003F7931" w:rsidRPr="003F7931">
        <w:rPr>
          <w:rFonts w:ascii="Arial" w:hAnsi="Arial" w:cs="Arial"/>
          <w:color w:val="153D63" w:themeColor="text2" w:themeTint="E6"/>
          <w:sz w:val="20"/>
          <w:szCs w:val="20"/>
        </w:rPr>
        <w:t xml:space="preserve">by the assignment brief. </w:t>
      </w:r>
      <w:r w:rsidR="003F7931" w:rsidRPr="00D761AE">
        <w:rPr>
          <w:rFonts w:ascii="Arial" w:hAnsi="Arial" w:cs="Arial"/>
          <w:color w:val="153D63" w:themeColor="text2" w:themeTint="E6"/>
          <w:sz w:val="20"/>
          <w:szCs w:val="20"/>
        </w:rPr>
        <w:t>I confirm that I have not presented any AI generated materials as my own work. I confirm I have copies of my drafts, notes, and other resources I used, which I may be asked to provide in evidence</w:t>
      </w:r>
      <w:r w:rsidR="003F7931" w:rsidRPr="003F7931">
        <w:rPr>
          <w:rFonts w:ascii="Arial" w:hAnsi="Arial" w:cs="Arial"/>
          <w:color w:val="153D63" w:themeColor="text2" w:themeTint="E6"/>
          <w:sz w:val="20"/>
          <w:szCs w:val="20"/>
        </w:rPr>
        <w:t xml:space="preserve">. </w:t>
      </w:r>
    </w:p>
    <w:p w14:paraId="7FA98D41" w14:textId="5B239EC2" w:rsidR="00672AAD" w:rsidRPr="003F7931" w:rsidRDefault="00672AAD" w:rsidP="003F7931">
      <w:pPr>
        <w:spacing w:line="360" w:lineRule="auto"/>
        <w:rPr>
          <w:rFonts w:ascii="Arial" w:hAnsi="Arial" w:cs="Arial"/>
          <w:sz w:val="20"/>
          <w:szCs w:val="20"/>
        </w:rPr>
      </w:pPr>
    </w:p>
    <w:p w14:paraId="0E6743B0" w14:textId="2A9C7A13" w:rsidR="008E5CB8" w:rsidRDefault="008E5CB8" w:rsidP="000264A1">
      <w:pPr>
        <w:rPr>
          <w:rFonts w:ascii="Arial" w:hAnsi="Arial" w:cs="Arial"/>
          <w:sz w:val="36"/>
          <w:szCs w:val="36"/>
        </w:rPr>
      </w:pPr>
    </w:p>
    <w:p w14:paraId="07EFF5DB" w14:textId="4D31EF44" w:rsidR="008E5CB8" w:rsidRDefault="008E5CB8" w:rsidP="000264A1">
      <w:pPr>
        <w:rPr>
          <w:rFonts w:ascii="Arial" w:hAnsi="Arial" w:cs="Arial"/>
          <w:sz w:val="36"/>
          <w:szCs w:val="36"/>
        </w:rPr>
      </w:pPr>
    </w:p>
    <w:p w14:paraId="2A6AEA52" w14:textId="77777777" w:rsidR="007400D1" w:rsidRPr="009557D2" w:rsidRDefault="007400D1" w:rsidP="007400D1">
      <w:pPr>
        <w:pStyle w:val="NormalWeb"/>
        <w:spacing w:line="360" w:lineRule="auto"/>
        <w:rPr>
          <w:rFonts w:ascii="Arial Black" w:hAnsi="Arial Black" w:cs="Arial"/>
          <w:b/>
          <w:bCs/>
          <w:color w:val="153D63" w:themeColor="text2" w:themeTint="E6"/>
          <w:sz w:val="28"/>
          <w:szCs w:val="28"/>
        </w:rPr>
      </w:pPr>
      <w:r w:rsidRPr="009557D2">
        <w:rPr>
          <w:rFonts w:ascii="Arial Black" w:hAnsi="Arial Black" w:cs="Arial"/>
          <w:b/>
          <w:bCs/>
          <w:color w:val="153D63" w:themeColor="text2" w:themeTint="E6"/>
          <w:sz w:val="28"/>
          <w:szCs w:val="28"/>
        </w:rPr>
        <w:t>Table of contents</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6946"/>
        <w:gridCol w:w="2070"/>
      </w:tblGrid>
      <w:tr w:rsidR="007400D1" w:rsidRPr="006441E4" w14:paraId="11759BBC" w14:textId="77777777" w:rsidTr="00086A71">
        <w:tc>
          <w:tcPr>
            <w:tcW w:w="6946" w:type="dxa"/>
          </w:tcPr>
          <w:p w14:paraId="62AC179D" w14:textId="5CE00D08" w:rsidR="007400D1" w:rsidRPr="008442F9" w:rsidRDefault="007400D1" w:rsidP="001A6385">
            <w:pPr>
              <w:pStyle w:val="ListParagraph"/>
              <w:numPr>
                <w:ilvl w:val="0"/>
                <w:numId w:val="17"/>
              </w:numPr>
              <w:spacing w:line="600" w:lineRule="auto"/>
              <w:rPr>
                <w:rFonts w:ascii="Arial" w:hAnsi="Arial" w:cs="Arial"/>
                <w:b/>
                <w:color w:val="153D63" w:themeColor="text2" w:themeTint="E6"/>
                <w:sz w:val="28"/>
                <w:szCs w:val="28"/>
              </w:rPr>
            </w:pPr>
            <w:r w:rsidRPr="008442F9">
              <w:rPr>
                <w:rFonts w:ascii="Arial" w:hAnsi="Arial" w:cs="Arial"/>
                <w:b/>
                <w:color w:val="153D63" w:themeColor="text2" w:themeTint="E6"/>
                <w:sz w:val="28"/>
                <w:szCs w:val="28"/>
              </w:rPr>
              <w:t xml:space="preserve">Introduction </w:t>
            </w:r>
          </w:p>
        </w:tc>
        <w:tc>
          <w:tcPr>
            <w:tcW w:w="2070" w:type="dxa"/>
          </w:tcPr>
          <w:p w14:paraId="7F12DB57" w14:textId="77777777" w:rsidR="007400D1" w:rsidRPr="009557D2" w:rsidRDefault="007400D1" w:rsidP="00086A71">
            <w:pPr>
              <w:pStyle w:val="NormalWeb"/>
              <w:spacing w:line="600" w:lineRule="auto"/>
              <w:rPr>
                <w:rFonts w:ascii="Arial" w:hAnsi="Arial" w:cs="Arial"/>
                <w:b/>
                <w:bCs/>
                <w:color w:val="153D63" w:themeColor="text2" w:themeTint="E6"/>
                <w:sz w:val="28"/>
                <w:szCs w:val="28"/>
              </w:rPr>
            </w:pPr>
            <w:r w:rsidRPr="009557D2">
              <w:rPr>
                <w:rFonts w:ascii="Arial" w:hAnsi="Arial" w:cs="Arial"/>
                <w:b/>
                <w:bCs/>
                <w:color w:val="153D63" w:themeColor="text2" w:themeTint="E6"/>
                <w:sz w:val="28"/>
                <w:szCs w:val="28"/>
              </w:rPr>
              <w:t>3</w:t>
            </w:r>
          </w:p>
        </w:tc>
      </w:tr>
      <w:tr w:rsidR="007400D1" w:rsidRPr="006441E4" w14:paraId="10A4FB56" w14:textId="77777777" w:rsidTr="00086A71">
        <w:tc>
          <w:tcPr>
            <w:tcW w:w="6946" w:type="dxa"/>
          </w:tcPr>
          <w:p w14:paraId="5680CEBB" w14:textId="2AED8022" w:rsidR="007400D1" w:rsidRPr="008442F9" w:rsidRDefault="009E558B" w:rsidP="008442F9">
            <w:pPr>
              <w:pStyle w:val="ListParagraph"/>
              <w:numPr>
                <w:ilvl w:val="0"/>
                <w:numId w:val="17"/>
              </w:numPr>
              <w:spacing w:before="100" w:beforeAutospacing="1" w:after="100" w:afterAutospacing="1" w:line="360" w:lineRule="auto"/>
              <w:outlineLvl w:val="1"/>
              <w:rPr>
                <w:rFonts w:ascii="Arial" w:hAnsi="Arial" w:cs="Arial"/>
                <w:b/>
                <w:bCs/>
                <w:color w:val="153D63" w:themeColor="text2" w:themeTint="E6"/>
                <w:sz w:val="28"/>
                <w:szCs w:val="28"/>
              </w:rPr>
            </w:pPr>
            <w:r w:rsidRPr="008442F9">
              <w:rPr>
                <w:rFonts w:ascii="Arial" w:hAnsi="Arial" w:cs="Arial"/>
                <w:b/>
                <w:bCs/>
                <w:color w:val="153D63" w:themeColor="text2" w:themeTint="E6"/>
                <w:sz w:val="28"/>
                <w:szCs w:val="28"/>
              </w:rPr>
              <w:t>Classification and Diagnosis</w:t>
            </w:r>
          </w:p>
          <w:p w14:paraId="4417310A" w14:textId="2F4DD55F" w:rsidR="00830830" w:rsidRPr="00830830" w:rsidRDefault="008442F9" w:rsidP="00830830">
            <w:pPr>
              <w:pStyle w:val="ListParagraph"/>
              <w:numPr>
                <w:ilvl w:val="1"/>
                <w:numId w:val="17"/>
              </w:numPr>
              <w:spacing w:before="100" w:beforeAutospacing="1" w:after="100" w:afterAutospacing="1" w:line="360" w:lineRule="auto"/>
              <w:outlineLvl w:val="2"/>
              <w:rPr>
                <w:rFonts w:ascii="Arial" w:hAnsi="Arial" w:cs="Arial"/>
                <w:bCs/>
                <w:color w:val="153D63" w:themeColor="text2" w:themeTint="E6"/>
                <w:sz w:val="28"/>
                <w:szCs w:val="28"/>
              </w:rPr>
            </w:pPr>
            <w:r w:rsidRPr="00830830">
              <w:rPr>
                <w:rFonts w:ascii="Arial" w:hAnsi="Arial" w:cs="Arial"/>
                <w:bCs/>
                <w:color w:val="153D63" w:themeColor="text2" w:themeTint="E6"/>
                <w:sz w:val="28"/>
                <w:szCs w:val="28"/>
              </w:rPr>
              <w:t xml:space="preserve">ICD-11 </w:t>
            </w:r>
            <w:r w:rsidRPr="00830830">
              <w:rPr>
                <w:rFonts w:ascii="Arial" w:hAnsi="Arial" w:cs="Arial"/>
                <w:bCs/>
                <w:color w:val="153D63" w:themeColor="text2" w:themeTint="E6"/>
                <w:sz w:val="28"/>
                <w:szCs w:val="28"/>
              </w:rPr>
              <w:t xml:space="preserve">classification </w:t>
            </w:r>
          </w:p>
          <w:p w14:paraId="118155C3" w14:textId="77777777" w:rsidR="00830830" w:rsidRDefault="00830830" w:rsidP="00830830">
            <w:pPr>
              <w:pStyle w:val="ListParagraph"/>
              <w:numPr>
                <w:ilvl w:val="1"/>
                <w:numId w:val="17"/>
              </w:numPr>
              <w:spacing w:before="100" w:beforeAutospacing="1" w:after="100" w:afterAutospacing="1" w:line="360" w:lineRule="auto"/>
              <w:outlineLvl w:val="2"/>
              <w:rPr>
                <w:rFonts w:ascii="Arial" w:hAnsi="Arial" w:cs="Arial"/>
                <w:bCs/>
                <w:color w:val="153D63" w:themeColor="text2" w:themeTint="E6"/>
                <w:sz w:val="28"/>
                <w:szCs w:val="28"/>
              </w:rPr>
            </w:pPr>
            <w:r w:rsidRPr="005D5EA7">
              <w:rPr>
                <w:rFonts w:ascii="Arial" w:hAnsi="Arial" w:cs="Arial"/>
                <w:bCs/>
                <w:color w:val="153D63" w:themeColor="text2" w:themeTint="E6"/>
                <w:sz w:val="28"/>
                <w:szCs w:val="28"/>
              </w:rPr>
              <w:t>Diagnostic characteristics</w:t>
            </w:r>
          </w:p>
          <w:p w14:paraId="2687CA01" w14:textId="29C3CA65" w:rsidR="008442F9" w:rsidRPr="00830830" w:rsidRDefault="00830830" w:rsidP="00830830">
            <w:pPr>
              <w:pStyle w:val="ListParagraph"/>
              <w:numPr>
                <w:ilvl w:val="1"/>
                <w:numId w:val="17"/>
              </w:numPr>
              <w:spacing w:before="100" w:beforeAutospacing="1" w:after="100" w:afterAutospacing="1" w:line="360" w:lineRule="auto"/>
              <w:outlineLvl w:val="2"/>
              <w:rPr>
                <w:rFonts w:ascii="Arial" w:hAnsi="Arial" w:cs="Arial"/>
                <w:bCs/>
                <w:color w:val="153D63" w:themeColor="text2" w:themeTint="E6"/>
                <w:sz w:val="28"/>
                <w:szCs w:val="28"/>
              </w:rPr>
            </w:pPr>
            <w:r w:rsidRPr="005D5EA7">
              <w:rPr>
                <w:rFonts w:ascii="Arial" w:hAnsi="Arial" w:cs="Arial"/>
                <w:bCs/>
                <w:color w:val="153D63" w:themeColor="text2" w:themeTint="E6"/>
                <w:sz w:val="28"/>
                <w:szCs w:val="28"/>
              </w:rPr>
              <w:t>Diagnostic process and insight</w:t>
            </w:r>
            <w:r w:rsidR="008442F9" w:rsidRPr="00830830">
              <w:rPr>
                <w:rFonts w:ascii="Arial" w:hAnsi="Arial" w:cs="Arial"/>
                <w:b/>
                <w:bCs/>
                <w:color w:val="153D63" w:themeColor="text2" w:themeTint="E6"/>
                <w:sz w:val="28"/>
                <w:szCs w:val="28"/>
              </w:rPr>
              <w:t xml:space="preserve"> </w:t>
            </w:r>
            <w:r w:rsidR="008442F9" w:rsidRPr="00830830">
              <w:rPr>
                <w:rFonts w:ascii="Arial" w:hAnsi="Arial" w:cs="Arial"/>
                <w:bCs/>
                <w:color w:val="153D63" w:themeColor="text2" w:themeTint="E6"/>
                <w:sz w:val="28"/>
                <w:szCs w:val="28"/>
              </w:rPr>
              <w:t xml:space="preserve"> </w:t>
            </w:r>
          </w:p>
          <w:p w14:paraId="67E429FA" w14:textId="37DDE401" w:rsidR="008442F9" w:rsidRPr="001A6385" w:rsidRDefault="008442F9" w:rsidP="008442F9">
            <w:pPr>
              <w:pStyle w:val="ListParagraph"/>
              <w:spacing w:before="100" w:beforeAutospacing="1" w:after="100" w:afterAutospacing="1" w:line="360" w:lineRule="auto"/>
              <w:outlineLvl w:val="1"/>
              <w:rPr>
                <w:rFonts w:ascii="Arial" w:hAnsi="Arial" w:cs="Arial"/>
                <w:bCs/>
                <w:color w:val="153D63" w:themeColor="text2" w:themeTint="E6"/>
                <w:sz w:val="28"/>
                <w:szCs w:val="28"/>
              </w:rPr>
            </w:pPr>
          </w:p>
        </w:tc>
        <w:tc>
          <w:tcPr>
            <w:tcW w:w="2070" w:type="dxa"/>
          </w:tcPr>
          <w:p w14:paraId="372B3BE1" w14:textId="564C8907" w:rsidR="008442F9" w:rsidRPr="009557D2" w:rsidRDefault="008442F9" w:rsidP="00086A71">
            <w:pPr>
              <w:pStyle w:val="NormalWeb"/>
              <w:spacing w:line="600" w:lineRule="auto"/>
              <w:rPr>
                <w:rFonts w:ascii="Arial" w:hAnsi="Arial" w:cs="Arial"/>
                <w:b/>
                <w:bCs/>
                <w:color w:val="153D63" w:themeColor="text2" w:themeTint="E6"/>
                <w:sz w:val="28"/>
                <w:szCs w:val="28"/>
              </w:rPr>
            </w:pPr>
            <w:r>
              <w:rPr>
                <w:rFonts w:ascii="Arial" w:hAnsi="Arial" w:cs="Arial"/>
                <w:b/>
                <w:bCs/>
                <w:color w:val="153D63" w:themeColor="text2" w:themeTint="E6"/>
                <w:sz w:val="28"/>
                <w:szCs w:val="28"/>
              </w:rPr>
              <w:t>4</w:t>
            </w:r>
          </w:p>
        </w:tc>
      </w:tr>
      <w:tr w:rsidR="007400D1" w:rsidRPr="006441E4" w14:paraId="14F7F04D" w14:textId="77777777" w:rsidTr="00086A71">
        <w:tc>
          <w:tcPr>
            <w:tcW w:w="6946" w:type="dxa"/>
          </w:tcPr>
          <w:p w14:paraId="789AA47F" w14:textId="77777777" w:rsidR="00C15486" w:rsidRPr="004F5F80" w:rsidRDefault="001A6385" w:rsidP="00E41BA3">
            <w:pPr>
              <w:pStyle w:val="ListParagraph"/>
              <w:numPr>
                <w:ilvl w:val="0"/>
                <w:numId w:val="17"/>
              </w:numPr>
              <w:spacing w:line="360" w:lineRule="auto"/>
              <w:rPr>
                <w:rFonts w:ascii="Arial" w:hAnsi="Arial" w:cs="Arial"/>
                <w:b/>
                <w:color w:val="153D63" w:themeColor="text2" w:themeTint="E6"/>
                <w:sz w:val="28"/>
                <w:szCs w:val="28"/>
              </w:rPr>
            </w:pPr>
            <w:r w:rsidRPr="00C15486">
              <w:rPr>
                <w:rFonts w:ascii="Arial" w:hAnsi="Arial" w:cs="Arial"/>
                <w:b/>
                <w:bCs/>
                <w:color w:val="153D63" w:themeColor="text2" w:themeTint="E6"/>
                <w:sz w:val="28"/>
                <w:szCs w:val="28"/>
              </w:rPr>
              <w:t>Treatment and Rehabilitation</w:t>
            </w:r>
          </w:p>
          <w:p w14:paraId="6614EAB9" w14:textId="77777777" w:rsidR="004F5F80" w:rsidRPr="00E41BA3" w:rsidRDefault="004F5F80" w:rsidP="00357B6A">
            <w:pPr>
              <w:pStyle w:val="ListParagraph"/>
              <w:numPr>
                <w:ilvl w:val="1"/>
                <w:numId w:val="17"/>
              </w:numPr>
              <w:spacing w:line="360" w:lineRule="auto"/>
              <w:rPr>
                <w:rFonts w:ascii="Arial" w:hAnsi="Arial" w:cs="Arial"/>
                <w:b/>
                <w:color w:val="153D63" w:themeColor="text2" w:themeTint="E6"/>
                <w:sz w:val="28"/>
                <w:szCs w:val="28"/>
              </w:rPr>
            </w:pPr>
            <w:r w:rsidRPr="004F5F80">
              <w:rPr>
                <w:rFonts w:ascii="Arial" w:hAnsi="Arial" w:cs="Arial"/>
                <w:color w:val="153D63" w:themeColor="text2" w:themeTint="E6"/>
                <w:sz w:val="28"/>
                <w:szCs w:val="28"/>
              </w:rPr>
              <w:t>Psychological Treatment</w:t>
            </w:r>
          </w:p>
          <w:p w14:paraId="06DB9D74" w14:textId="12EF3770" w:rsidR="00E41BA3" w:rsidRPr="00357B6A" w:rsidRDefault="00357B6A" w:rsidP="00357B6A">
            <w:pPr>
              <w:pStyle w:val="ListParagraph"/>
              <w:numPr>
                <w:ilvl w:val="1"/>
                <w:numId w:val="17"/>
              </w:numPr>
              <w:spacing w:line="360" w:lineRule="auto"/>
              <w:rPr>
                <w:rFonts w:ascii="Arial" w:hAnsi="Arial" w:cs="Arial"/>
                <w:b/>
                <w:color w:val="153D63" w:themeColor="text2" w:themeTint="E6"/>
                <w:sz w:val="28"/>
                <w:szCs w:val="28"/>
              </w:rPr>
            </w:pPr>
            <w:r w:rsidRPr="00357B6A">
              <w:rPr>
                <w:rFonts w:ascii="Arial" w:hAnsi="Arial" w:cs="Arial"/>
                <w:color w:val="153D63" w:themeColor="text2" w:themeTint="E6"/>
                <w:sz w:val="28"/>
                <w:szCs w:val="28"/>
              </w:rPr>
              <w:t>Other/Adjunctive Approaches</w:t>
            </w:r>
            <w:r>
              <w:rPr>
                <w:rFonts w:ascii="Arial" w:hAnsi="Arial" w:cs="Arial"/>
                <w:color w:val="153D63" w:themeColor="text2" w:themeTint="E6"/>
                <w:sz w:val="28"/>
                <w:szCs w:val="28"/>
              </w:rPr>
              <w:t xml:space="preserve"> – 6</w:t>
            </w:r>
          </w:p>
          <w:p w14:paraId="244AC87E" w14:textId="688AF7F1" w:rsidR="00357B6A" w:rsidRPr="00BA517A" w:rsidRDefault="00BA517A" w:rsidP="00357B6A">
            <w:pPr>
              <w:pStyle w:val="ListParagraph"/>
              <w:numPr>
                <w:ilvl w:val="1"/>
                <w:numId w:val="17"/>
              </w:numPr>
              <w:spacing w:line="360" w:lineRule="auto"/>
              <w:rPr>
                <w:rFonts w:ascii="Arial" w:hAnsi="Arial" w:cs="Arial"/>
                <w:b/>
                <w:color w:val="153D63" w:themeColor="text2" w:themeTint="E6"/>
                <w:sz w:val="28"/>
                <w:szCs w:val="28"/>
              </w:rPr>
            </w:pPr>
            <w:r w:rsidRPr="00BA517A">
              <w:rPr>
                <w:rFonts w:ascii="Arial" w:hAnsi="Arial" w:cs="Arial"/>
                <w:color w:val="153D63" w:themeColor="text2" w:themeTint="E6"/>
                <w:sz w:val="28"/>
                <w:szCs w:val="28"/>
              </w:rPr>
              <w:t>Rehabilitation</w:t>
            </w:r>
            <w:r>
              <w:rPr>
                <w:rFonts w:ascii="Arial" w:hAnsi="Arial" w:cs="Arial"/>
                <w:color w:val="153D63" w:themeColor="text2" w:themeTint="E6"/>
                <w:sz w:val="28"/>
                <w:szCs w:val="28"/>
              </w:rPr>
              <w:t xml:space="preserve"> </w:t>
            </w:r>
            <w:r>
              <w:rPr>
                <w:rFonts w:ascii="Arial" w:hAnsi="Arial" w:cs="Arial"/>
                <w:color w:val="153D63" w:themeColor="text2" w:themeTint="E6"/>
                <w:sz w:val="28"/>
                <w:szCs w:val="28"/>
              </w:rPr>
              <w:t>– 6</w:t>
            </w:r>
          </w:p>
        </w:tc>
        <w:tc>
          <w:tcPr>
            <w:tcW w:w="2070" w:type="dxa"/>
          </w:tcPr>
          <w:p w14:paraId="63FA50BB" w14:textId="40245BF4" w:rsidR="007400D1" w:rsidRPr="009557D2" w:rsidRDefault="001A6385" w:rsidP="00086A71">
            <w:pPr>
              <w:pStyle w:val="NormalWeb"/>
              <w:spacing w:line="600" w:lineRule="auto"/>
              <w:rPr>
                <w:rFonts w:ascii="Arial" w:hAnsi="Arial" w:cs="Arial"/>
                <w:b/>
                <w:bCs/>
                <w:color w:val="153D63" w:themeColor="text2" w:themeTint="E6"/>
                <w:sz w:val="28"/>
                <w:szCs w:val="28"/>
              </w:rPr>
            </w:pPr>
            <w:r>
              <w:rPr>
                <w:rFonts w:ascii="Arial" w:hAnsi="Arial" w:cs="Arial"/>
                <w:b/>
                <w:bCs/>
                <w:color w:val="153D63" w:themeColor="text2" w:themeTint="E6"/>
                <w:sz w:val="28"/>
                <w:szCs w:val="28"/>
              </w:rPr>
              <w:t>5</w:t>
            </w:r>
          </w:p>
        </w:tc>
      </w:tr>
      <w:tr w:rsidR="007400D1" w:rsidRPr="006441E4" w14:paraId="719FCBE2" w14:textId="77777777" w:rsidTr="00086A71">
        <w:tc>
          <w:tcPr>
            <w:tcW w:w="6946" w:type="dxa"/>
          </w:tcPr>
          <w:p w14:paraId="4C1CDB14" w14:textId="77777777" w:rsidR="00014CB1" w:rsidRPr="00014CB1" w:rsidRDefault="001A6385" w:rsidP="00014CB1">
            <w:pPr>
              <w:pStyle w:val="ListParagraph"/>
              <w:numPr>
                <w:ilvl w:val="0"/>
                <w:numId w:val="17"/>
              </w:numPr>
              <w:spacing w:line="360" w:lineRule="auto"/>
              <w:rPr>
                <w:rFonts w:ascii="Arial" w:hAnsi="Arial" w:cs="Arial"/>
                <w:b/>
                <w:color w:val="153D63" w:themeColor="text2" w:themeTint="E6"/>
                <w:sz w:val="28"/>
                <w:szCs w:val="28"/>
              </w:rPr>
            </w:pPr>
            <w:r w:rsidRPr="00BA517A">
              <w:rPr>
                <w:rFonts w:ascii="Arial" w:hAnsi="Arial" w:cs="Arial"/>
                <w:b/>
                <w:color w:val="153D63" w:themeColor="text2" w:themeTint="E6"/>
                <w:sz w:val="28"/>
                <w:szCs w:val="28"/>
              </w:rPr>
              <w:t>Current Debates and Emerging Issues</w:t>
            </w:r>
            <w:r w:rsidR="00014CB1">
              <w:rPr>
                <w:rFonts w:ascii="Arial" w:hAnsi="Arial" w:cs="Arial"/>
                <w:b/>
                <w:color w:val="153D63" w:themeColor="text2" w:themeTint="E6"/>
                <w:sz w:val="28"/>
                <w:szCs w:val="28"/>
              </w:rPr>
              <w:t xml:space="preserve"> </w:t>
            </w:r>
          </w:p>
          <w:p w14:paraId="60CCDB51" w14:textId="539B7FD1" w:rsidR="00014CB1" w:rsidRPr="00564B81" w:rsidRDefault="00014CB1" w:rsidP="00014CB1">
            <w:pPr>
              <w:pStyle w:val="ListParagraph"/>
              <w:numPr>
                <w:ilvl w:val="1"/>
                <w:numId w:val="17"/>
              </w:numPr>
              <w:spacing w:line="360" w:lineRule="auto"/>
              <w:rPr>
                <w:rFonts w:ascii="Arial" w:hAnsi="Arial" w:cs="Arial"/>
                <w:b/>
                <w:color w:val="153D63" w:themeColor="text2" w:themeTint="E6"/>
                <w:sz w:val="28"/>
                <w:szCs w:val="28"/>
              </w:rPr>
            </w:pPr>
            <w:r w:rsidRPr="00564B81">
              <w:rPr>
                <w:rFonts w:ascii="Arial" w:hAnsi="Arial" w:cs="Arial"/>
                <w:color w:val="153D63" w:themeColor="text2" w:themeTint="E6"/>
                <w:sz w:val="28"/>
                <w:szCs w:val="28"/>
              </w:rPr>
              <w:t>Why is Hoarding Classified as a Disorder?</w:t>
            </w:r>
          </w:p>
          <w:p w14:paraId="0F834B79" w14:textId="1935E594" w:rsidR="00564B81" w:rsidRPr="00564B81" w:rsidRDefault="00564B81" w:rsidP="00014CB1">
            <w:pPr>
              <w:pStyle w:val="ListParagraph"/>
              <w:numPr>
                <w:ilvl w:val="1"/>
                <w:numId w:val="17"/>
              </w:numPr>
              <w:spacing w:line="360" w:lineRule="auto"/>
              <w:rPr>
                <w:rFonts w:ascii="Arial" w:hAnsi="Arial" w:cs="Arial"/>
                <w:b/>
                <w:color w:val="153D63" w:themeColor="text2" w:themeTint="E6"/>
                <w:sz w:val="28"/>
                <w:szCs w:val="28"/>
              </w:rPr>
            </w:pPr>
            <w:r w:rsidRPr="00564B81">
              <w:rPr>
                <w:rFonts w:ascii="Arial" w:hAnsi="Arial" w:cs="Arial"/>
                <w:color w:val="153D63" w:themeColor="text2" w:themeTint="E6"/>
                <w:sz w:val="28"/>
                <w:szCs w:val="28"/>
              </w:rPr>
              <w:t>Childhood Experiences and Attachment</w:t>
            </w:r>
          </w:p>
          <w:p w14:paraId="674472BF" w14:textId="77777777" w:rsidR="00014CB1" w:rsidRPr="00564B81" w:rsidRDefault="00564B81" w:rsidP="00564B81">
            <w:pPr>
              <w:pStyle w:val="ListParagraph"/>
              <w:numPr>
                <w:ilvl w:val="1"/>
                <w:numId w:val="17"/>
              </w:numPr>
              <w:spacing w:line="360" w:lineRule="auto"/>
              <w:rPr>
                <w:rFonts w:ascii="Arial" w:hAnsi="Arial" w:cs="Arial"/>
                <w:b/>
                <w:color w:val="153D63" w:themeColor="text2" w:themeTint="E6"/>
                <w:sz w:val="28"/>
                <w:szCs w:val="28"/>
              </w:rPr>
            </w:pPr>
            <w:r w:rsidRPr="00564B81">
              <w:rPr>
                <w:rFonts w:ascii="Arial" w:hAnsi="Arial" w:cs="Arial"/>
                <w:color w:val="153D63" w:themeColor="text2" w:themeTint="E6"/>
                <w:sz w:val="28"/>
                <w:szCs w:val="28"/>
              </w:rPr>
              <w:t>Neurodivergence and Reclassification</w:t>
            </w:r>
          </w:p>
          <w:p w14:paraId="06CA6FB3" w14:textId="2D491201" w:rsidR="00564B81" w:rsidRPr="00564B81" w:rsidRDefault="00564B81" w:rsidP="00564B81">
            <w:pPr>
              <w:pStyle w:val="ListParagraph"/>
              <w:spacing w:line="360" w:lineRule="auto"/>
              <w:ind w:left="792"/>
              <w:rPr>
                <w:rFonts w:ascii="Arial" w:hAnsi="Arial" w:cs="Arial"/>
                <w:b/>
                <w:color w:val="153D63" w:themeColor="text2" w:themeTint="E6"/>
                <w:sz w:val="28"/>
                <w:szCs w:val="28"/>
              </w:rPr>
            </w:pPr>
          </w:p>
        </w:tc>
        <w:tc>
          <w:tcPr>
            <w:tcW w:w="2070" w:type="dxa"/>
          </w:tcPr>
          <w:p w14:paraId="1F2BE292" w14:textId="67E2D3E0" w:rsidR="007400D1" w:rsidRPr="009557D2" w:rsidRDefault="001A6385" w:rsidP="00086A71">
            <w:pPr>
              <w:pStyle w:val="NormalWeb"/>
              <w:spacing w:line="600" w:lineRule="auto"/>
              <w:rPr>
                <w:rFonts w:ascii="Arial" w:hAnsi="Arial" w:cs="Arial"/>
                <w:b/>
                <w:bCs/>
                <w:color w:val="153D63" w:themeColor="text2" w:themeTint="E6"/>
                <w:sz w:val="28"/>
                <w:szCs w:val="28"/>
              </w:rPr>
            </w:pPr>
            <w:r>
              <w:rPr>
                <w:rFonts w:ascii="Arial" w:hAnsi="Arial" w:cs="Arial"/>
                <w:b/>
                <w:bCs/>
                <w:color w:val="153D63" w:themeColor="text2" w:themeTint="E6"/>
                <w:sz w:val="28"/>
                <w:szCs w:val="28"/>
              </w:rPr>
              <w:t>7</w:t>
            </w:r>
          </w:p>
        </w:tc>
      </w:tr>
      <w:tr w:rsidR="007400D1" w:rsidRPr="006441E4" w14:paraId="624F5367" w14:textId="77777777" w:rsidTr="00086A71">
        <w:tc>
          <w:tcPr>
            <w:tcW w:w="6946" w:type="dxa"/>
          </w:tcPr>
          <w:p w14:paraId="1A5D9CEF" w14:textId="1ADF92FA" w:rsidR="007400D1" w:rsidRPr="00564B81" w:rsidRDefault="001A6385" w:rsidP="001A6385">
            <w:pPr>
              <w:pStyle w:val="ListParagraph"/>
              <w:numPr>
                <w:ilvl w:val="0"/>
                <w:numId w:val="17"/>
              </w:numPr>
              <w:spacing w:line="600" w:lineRule="auto"/>
              <w:rPr>
                <w:rFonts w:ascii="Arial" w:hAnsi="Arial" w:cs="Arial"/>
                <w:b/>
                <w:color w:val="153D63" w:themeColor="text2" w:themeTint="E6"/>
                <w:sz w:val="28"/>
                <w:szCs w:val="28"/>
              </w:rPr>
            </w:pPr>
            <w:r w:rsidRPr="00564B81">
              <w:rPr>
                <w:rFonts w:ascii="Arial" w:hAnsi="Arial" w:cs="Arial"/>
                <w:b/>
                <w:color w:val="153D63" w:themeColor="text2" w:themeTint="E6"/>
                <w:sz w:val="28"/>
                <w:szCs w:val="28"/>
              </w:rPr>
              <w:t xml:space="preserve">Recommendations </w:t>
            </w:r>
          </w:p>
        </w:tc>
        <w:tc>
          <w:tcPr>
            <w:tcW w:w="2070" w:type="dxa"/>
          </w:tcPr>
          <w:p w14:paraId="145A2BCF" w14:textId="74027271" w:rsidR="007400D1" w:rsidRPr="009557D2" w:rsidRDefault="00695A6F" w:rsidP="00086A71">
            <w:pPr>
              <w:pStyle w:val="NormalWeb"/>
              <w:spacing w:line="600" w:lineRule="auto"/>
              <w:rPr>
                <w:rFonts w:ascii="Arial" w:hAnsi="Arial" w:cs="Arial"/>
                <w:b/>
                <w:bCs/>
                <w:color w:val="153D63" w:themeColor="text2" w:themeTint="E6"/>
                <w:sz w:val="28"/>
                <w:szCs w:val="28"/>
              </w:rPr>
            </w:pPr>
            <w:r>
              <w:rPr>
                <w:rFonts w:ascii="Arial" w:hAnsi="Arial" w:cs="Arial"/>
                <w:b/>
                <w:bCs/>
                <w:color w:val="153D63" w:themeColor="text2" w:themeTint="E6"/>
                <w:sz w:val="28"/>
                <w:szCs w:val="28"/>
              </w:rPr>
              <w:t>8</w:t>
            </w:r>
          </w:p>
        </w:tc>
      </w:tr>
      <w:tr w:rsidR="007400D1" w:rsidRPr="006441E4" w14:paraId="61D23E6B" w14:textId="77777777" w:rsidTr="00086A71">
        <w:tc>
          <w:tcPr>
            <w:tcW w:w="6946" w:type="dxa"/>
          </w:tcPr>
          <w:p w14:paraId="183F80E5" w14:textId="680D1A40" w:rsidR="007400D1" w:rsidRPr="00564B81" w:rsidRDefault="00400924" w:rsidP="00400924">
            <w:pPr>
              <w:pStyle w:val="Heading3"/>
              <w:numPr>
                <w:ilvl w:val="0"/>
                <w:numId w:val="17"/>
              </w:numPr>
              <w:spacing w:line="360" w:lineRule="auto"/>
              <w:rPr>
                <w:rFonts w:ascii="Arial" w:hAnsi="Arial" w:cs="Arial"/>
                <w:b/>
                <w:color w:val="153D63" w:themeColor="text2" w:themeTint="E6"/>
              </w:rPr>
            </w:pPr>
            <w:r w:rsidRPr="00564B81">
              <w:rPr>
                <w:rFonts w:ascii="Arial" w:hAnsi="Arial" w:cs="Arial"/>
                <w:b/>
                <w:color w:val="153D63" w:themeColor="text2" w:themeTint="E6"/>
              </w:rPr>
              <w:t>Conclusion</w:t>
            </w:r>
          </w:p>
        </w:tc>
        <w:tc>
          <w:tcPr>
            <w:tcW w:w="2070" w:type="dxa"/>
          </w:tcPr>
          <w:p w14:paraId="574088F0" w14:textId="29AD12A9" w:rsidR="007400D1" w:rsidRPr="009557D2" w:rsidRDefault="00400924" w:rsidP="00086A71">
            <w:pPr>
              <w:pStyle w:val="NormalWeb"/>
              <w:spacing w:line="600" w:lineRule="auto"/>
              <w:rPr>
                <w:rFonts w:ascii="Arial" w:hAnsi="Arial" w:cs="Arial"/>
                <w:b/>
                <w:bCs/>
                <w:color w:val="153D63" w:themeColor="text2" w:themeTint="E6"/>
                <w:sz w:val="28"/>
                <w:szCs w:val="28"/>
              </w:rPr>
            </w:pPr>
            <w:r>
              <w:rPr>
                <w:rFonts w:ascii="Arial" w:hAnsi="Arial" w:cs="Arial"/>
                <w:b/>
                <w:bCs/>
                <w:color w:val="153D63" w:themeColor="text2" w:themeTint="E6"/>
                <w:sz w:val="28"/>
                <w:szCs w:val="28"/>
              </w:rPr>
              <w:t>9</w:t>
            </w:r>
          </w:p>
        </w:tc>
      </w:tr>
      <w:tr w:rsidR="007400D1" w:rsidRPr="006441E4" w14:paraId="20FED767" w14:textId="77777777" w:rsidTr="00086A71">
        <w:tc>
          <w:tcPr>
            <w:tcW w:w="6946" w:type="dxa"/>
          </w:tcPr>
          <w:p w14:paraId="7EB0A671" w14:textId="4FF22C10" w:rsidR="007400D1" w:rsidRPr="00564B81" w:rsidRDefault="007400D1" w:rsidP="00400924">
            <w:pPr>
              <w:pStyle w:val="ListParagraph"/>
              <w:numPr>
                <w:ilvl w:val="0"/>
                <w:numId w:val="17"/>
              </w:numPr>
              <w:spacing w:line="600" w:lineRule="auto"/>
              <w:rPr>
                <w:rFonts w:ascii="Arial" w:hAnsi="Arial" w:cs="Arial"/>
                <w:b/>
                <w:color w:val="153D63" w:themeColor="text2" w:themeTint="E6"/>
                <w:sz w:val="28"/>
                <w:szCs w:val="28"/>
              </w:rPr>
            </w:pPr>
            <w:r w:rsidRPr="00564B81">
              <w:rPr>
                <w:rFonts w:ascii="Arial" w:hAnsi="Arial" w:cs="Arial"/>
                <w:b/>
                <w:color w:val="153D63" w:themeColor="text2" w:themeTint="E6"/>
                <w:sz w:val="28"/>
                <w:szCs w:val="28"/>
              </w:rPr>
              <w:t>References</w:t>
            </w:r>
          </w:p>
        </w:tc>
        <w:tc>
          <w:tcPr>
            <w:tcW w:w="2070" w:type="dxa"/>
          </w:tcPr>
          <w:p w14:paraId="59EE2B45" w14:textId="1CB1BA2E" w:rsidR="007400D1" w:rsidRPr="009557D2" w:rsidRDefault="007400D1" w:rsidP="00086A71">
            <w:pPr>
              <w:pStyle w:val="NormalWeb"/>
              <w:spacing w:line="600" w:lineRule="auto"/>
              <w:rPr>
                <w:rFonts w:ascii="Arial" w:hAnsi="Arial" w:cs="Arial"/>
                <w:b/>
                <w:bCs/>
                <w:color w:val="153D63" w:themeColor="text2" w:themeTint="E6"/>
                <w:sz w:val="28"/>
                <w:szCs w:val="28"/>
              </w:rPr>
            </w:pPr>
          </w:p>
        </w:tc>
      </w:tr>
    </w:tbl>
    <w:p w14:paraId="4ADDF235" w14:textId="77777777" w:rsidR="00400924" w:rsidRPr="00D761AE" w:rsidRDefault="00400924" w:rsidP="00D761AE">
      <w:pPr>
        <w:spacing w:line="360" w:lineRule="auto"/>
        <w:rPr>
          <w:rFonts w:ascii="Arial" w:hAnsi="Arial" w:cs="Arial"/>
          <w:sz w:val="22"/>
          <w:szCs w:val="22"/>
        </w:rPr>
      </w:pPr>
    </w:p>
    <w:p w14:paraId="5DEDE14D" w14:textId="77777777" w:rsidR="008E5CB8" w:rsidRPr="00D761AE" w:rsidRDefault="008E5CB8" w:rsidP="00D761AE">
      <w:pPr>
        <w:pStyle w:val="Heading2"/>
        <w:spacing w:line="360" w:lineRule="auto"/>
        <w:rPr>
          <w:rFonts w:ascii="Arial Black" w:hAnsi="Arial Black" w:cs="Arial"/>
          <w:b/>
          <w:color w:val="153D63" w:themeColor="text2" w:themeTint="E6"/>
          <w:sz w:val="24"/>
          <w:szCs w:val="24"/>
        </w:rPr>
      </w:pPr>
      <w:r w:rsidRPr="00D761AE">
        <w:rPr>
          <w:rFonts w:ascii="Arial Black" w:hAnsi="Arial Black" w:cs="Arial"/>
          <w:b/>
          <w:color w:val="153D63" w:themeColor="text2" w:themeTint="E6"/>
          <w:sz w:val="24"/>
          <w:szCs w:val="24"/>
        </w:rPr>
        <w:lastRenderedPageBreak/>
        <w:t>1. Introduction</w:t>
      </w:r>
    </w:p>
    <w:p w14:paraId="09E91F3E" w14:textId="77777777" w:rsidR="008E5CB8" w:rsidRPr="00D761AE" w:rsidRDefault="008E5CB8" w:rsidP="00D761AE">
      <w:pPr>
        <w:pStyle w:val="isselectedend"/>
        <w:spacing w:line="360" w:lineRule="auto"/>
        <w:rPr>
          <w:rFonts w:ascii="Arial" w:hAnsi="Arial" w:cs="Arial"/>
          <w:sz w:val="22"/>
          <w:szCs w:val="22"/>
        </w:rPr>
      </w:pPr>
      <w:r w:rsidRPr="00D761AE">
        <w:rPr>
          <w:rFonts w:ascii="Arial" w:hAnsi="Arial" w:cs="Arial"/>
          <w:sz w:val="22"/>
          <w:szCs w:val="22"/>
        </w:rPr>
        <w:t xml:space="preserve">Hoarding disorder (HD) is a mental health condition characterised by persistent difficulty discarding or parting with possessions, regardless of their actual value. This difficulty is associated with a perceived need to retain possessions and distress when discarding them, resulting in accumulation that can </w:t>
      </w:r>
      <w:proofErr w:type="gramStart"/>
      <w:r w:rsidRPr="00D761AE">
        <w:rPr>
          <w:rFonts w:ascii="Arial" w:hAnsi="Arial" w:cs="Arial"/>
          <w:sz w:val="22"/>
          <w:szCs w:val="22"/>
        </w:rPr>
        <w:t>substantially clutter</w:t>
      </w:r>
      <w:proofErr w:type="gramEnd"/>
      <w:r w:rsidRPr="00D761AE">
        <w:rPr>
          <w:rFonts w:ascii="Arial" w:hAnsi="Arial" w:cs="Arial"/>
          <w:sz w:val="22"/>
          <w:szCs w:val="22"/>
        </w:rPr>
        <w:t xml:space="preserve"> living spaces and interfere with their intended use (</w:t>
      </w:r>
      <w:proofErr w:type="spellStart"/>
      <w:r w:rsidRPr="00D761AE">
        <w:rPr>
          <w:rFonts w:ascii="Arial" w:hAnsi="Arial" w:cs="Arial"/>
          <w:sz w:val="22"/>
          <w:szCs w:val="22"/>
        </w:rPr>
        <w:t>Bratiotis</w:t>
      </w:r>
      <w:proofErr w:type="spellEnd"/>
      <w:r w:rsidRPr="00D761AE">
        <w:rPr>
          <w:rFonts w:ascii="Arial" w:hAnsi="Arial" w:cs="Arial"/>
          <w:sz w:val="22"/>
          <w:szCs w:val="22"/>
        </w:rPr>
        <w:t xml:space="preserve">, </w:t>
      </w:r>
      <w:proofErr w:type="spellStart"/>
      <w:r w:rsidRPr="00D761AE">
        <w:rPr>
          <w:rFonts w:ascii="Arial" w:hAnsi="Arial" w:cs="Arial"/>
          <w:sz w:val="22"/>
          <w:szCs w:val="22"/>
        </w:rPr>
        <w:t>Muroff</w:t>
      </w:r>
      <w:proofErr w:type="spellEnd"/>
      <w:r w:rsidRPr="00D761AE">
        <w:rPr>
          <w:rFonts w:ascii="Arial" w:hAnsi="Arial" w:cs="Arial"/>
          <w:sz w:val="22"/>
          <w:szCs w:val="22"/>
        </w:rPr>
        <w:t xml:space="preserve"> and Lin, 2021). Hoarding disorder was historically conceptualised as a manifestation or subtype of obsessive-compulsive disorder (OCD); however, research has demonstrated important differences in symptom presentation, comorbidity, insight and treatment response, supporting its recognition as a distinct disorder (</w:t>
      </w:r>
      <w:proofErr w:type="spellStart"/>
      <w:r w:rsidRPr="00D761AE">
        <w:rPr>
          <w:rFonts w:ascii="Arial" w:hAnsi="Arial" w:cs="Arial"/>
          <w:sz w:val="22"/>
          <w:szCs w:val="22"/>
        </w:rPr>
        <w:t>Mataix</w:t>
      </w:r>
      <w:proofErr w:type="spellEnd"/>
      <w:r w:rsidRPr="00D761AE">
        <w:rPr>
          <w:rFonts w:ascii="Arial" w:hAnsi="Arial" w:cs="Arial"/>
          <w:sz w:val="22"/>
          <w:szCs w:val="22"/>
        </w:rPr>
        <w:t xml:space="preserve">-Cols et al., 2010; </w:t>
      </w:r>
      <w:proofErr w:type="spellStart"/>
      <w:r w:rsidRPr="00D761AE">
        <w:rPr>
          <w:rFonts w:ascii="Arial" w:hAnsi="Arial" w:cs="Arial"/>
          <w:sz w:val="22"/>
          <w:szCs w:val="22"/>
        </w:rPr>
        <w:t>Bratiotis</w:t>
      </w:r>
      <w:proofErr w:type="spellEnd"/>
      <w:r w:rsidRPr="00D761AE">
        <w:rPr>
          <w:rFonts w:ascii="Arial" w:hAnsi="Arial" w:cs="Arial"/>
          <w:sz w:val="22"/>
          <w:szCs w:val="22"/>
        </w:rPr>
        <w:t xml:space="preserve">, </w:t>
      </w:r>
      <w:proofErr w:type="spellStart"/>
      <w:r w:rsidRPr="00D761AE">
        <w:rPr>
          <w:rFonts w:ascii="Arial" w:hAnsi="Arial" w:cs="Arial"/>
          <w:sz w:val="22"/>
          <w:szCs w:val="22"/>
        </w:rPr>
        <w:t>Muroff</w:t>
      </w:r>
      <w:proofErr w:type="spellEnd"/>
      <w:r w:rsidRPr="00D761AE">
        <w:rPr>
          <w:rFonts w:ascii="Arial" w:hAnsi="Arial" w:cs="Arial"/>
          <w:sz w:val="22"/>
          <w:szCs w:val="22"/>
        </w:rPr>
        <w:t xml:space="preserve"> and Lin, 2021). The World Health Organization subsequently included HD as a distinct diagnosis within the obsessive-compulsive and related disorders category of ICD-11, coded 6B24 (WHO, 2024).</w:t>
      </w:r>
    </w:p>
    <w:p w14:paraId="4F603FF3" w14:textId="77777777" w:rsidR="008E5CB8" w:rsidRPr="00D761AE" w:rsidRDefault="008E5CB8" w:rsidP="00D761AE">
      <w:pPr>
        <w:pStyle w:val="isselectedend"/>
        <w:spacing w:line="360" w:lineRule="auto"/>
        <w:rPr>
          <w:rFonts w:ascii="Arial" w:hAnsi="Arial" w:cs="Arial"/>
          <w:sz w:val="22"/>
          <w:szCs w:val="22"/>
        </w:rPr>
      </w:pPr>
      <w:r w:rsidRPr="00D761AE">
        <w:rPr>
          <w:rFonts w:ascii="Arial" w:hAnsi="Arial" w:cs="Arial"/>
          <w:sz w:val="22"/>
          <w:szCs w:val="22"/>
        </w:rPr>
        <w:t xml:space="preserve">Research into HD has expanded </w:t>
      </w:r>
      <w:proofErr w:type="gramStart"/>
      <w:r w:rsidRPr="00D761AE">
        <w:rPr>
          <w:rFonts w:ascii="Arial" w:hAnsi="Arial" w:cs="Arial"/>
          <w:sz w:val="22"/>
          <w:szCs w:val="22"/>
        </w:rPr>
        <w:t>considerably, although</w:t>
      </w:r>
      <w:proofErr w:type="gramEnd"/>
      <w:r w:rsidRPr="00D761AE">
        <w:rPr>
          <w:rFonts w:ascii="Arial" w:hAnsi="Arial" w:cs="Arial"/>
          <w:sz w:val="22"/>
          <w:szCs w:val="22"/>
        </w:rPr>
        <w:t xml:space="preserve"> the evidence base remains less developed than that for more established psychiatric disorders. Hoarding-specific cognitive behavioural therapy (CBT) has demonstrated greater promise than traditional OCD-focused approaches and has subsequently been adapted for group, peer-facilitated and technology-supported delivery (</w:t>
      </w:r>
      <w:proofErr w:type="spellStart"/>
      <w:r w:rsidRPr="00D761AE">
        <w:rPr>
          <w:rFonts w:ascii="Arial" w:hAnsi="Arial" w:cs="Arial"/>
          <w:sz w:val="22"/>
          <w:szCs w:val="22"/>
        </w:rPr>
        <w:t>Bratiotis</w:t>
      </w:r>
      <w:proofErr w:type="spellEnd"/>
      <w:r w:rsidRPr="00D761AE">
        <w:rPr>
          <w:rFonts w:ascii="Arial" w:hAnsi="Arial" w:cs="Arial"/>
          <w:sz w:val="22"/>
          <w:szCs w:val="22"/>
        </w:rPr>
        <w:t xml:space="preserve">, </w:t>
      </w:r>
      <w:proofErr w:type="spellStart"/>
      <w:r w:rsidRPr="00D761AE">
        <w:rPr>
          <w:rFonts w:ascii="Arial" w:hAnsi="Arial" w:cs="Arial"/>
          <w:sz w:val="22"/>
          <w:szCs w:val="22"/>
        </w:rPr>
        <w:t>Muroff</w:t>
      </w:r>
      <w:proofErr w:type="spellEnd"/>
      <w:r w:rsidRPr="00D761AE">
        <w:rPr>
          <w:rFonts w:ascii="Arial" w:hAnsi="Arial" w:cs="Arial"/>
          <w:sz w:val="22"/>
          <w:szCs w:val="22"/>
        </w:rPr>
        <w:t xml:space="preserve"> and Lin, 2021). Nevertheless, treatment remains challenging, particularly where insight is limited, comorbidities are </w:t>
      </w:r>
      <w:proofErr w:type="gramStart"/>
      <w:r w:rsidRPr="00D761AE">
        <w:rPr>
          <w:rFonts w:ascii="Arial" w:hAnsi="Arial" w:cs="Arial"/>
          <w:sz w:val="22"/>
          <w:szCs w:val="22"/>
        </w:rPr>
        <w:t>present</w:t>
      </w:r>
      <w:proofErr w:type="gramEnd"/>
      <w:r w:rsidRPr="00D761AE">
        <w:rPr>
          <w:rFonts w:ascii="Arial" w:hAnsi="Arial" w:cs="Arial"/>
          <w:sz w:val="22"/>
          <w:szCs w:val="22"/>
        </w:rPr>
        <w:t xml:space="preserve"> or individuals are reluctant to seek help. Hoarding can also create wider consequences involving family relationships, housing, health and safety, requiring interventions that extend beyond individual psychological treatment (</w:t>
      </w:r>
      <w:proofErr w:type="spellStart"/>
      <w:r w:rsidRPr="00D761AE">
        <w:rPr>
          <w:rFonts w:ascii="Arial" w:hAnsi="Arial" w:cs="Arial"/>
          <w:sz w:val="22"/>
          <w:szCs w:val="22"/>
        </w:rPr>
        <w:t>Bratiotis</w:t>
      </w:r>
      <w:proofErr w:type="spellEnd"/>
      <w:r w:rsidRPr="00D761AE">
        <w:rPr>
          <w:rFonts w:ascii="Arial" w:hAnsi="Arial" w:cs="Arial"/>
          <w:sz w:val="22"/>
          <w:szCs w:val="22"/>
        </w:rPr>
        <w:t xml:space="preserve">, </w:t>
      </w:r>
      <w:proofErr w:type="spellStart"/>
      <w:r w:rsidRPr="00D761AE">
        <w:rPr>
          <w:rFonts w:ascii="Arial" w:hAnsi="Arial" w:cs="Arial"/>
          <w:sz w:val="22"/>
          <w:szCs w:val="22"/>
        </w:rPr>
        <w:t>Muroff</w:t>
      </w:r>
      <w:proofErr w:type="spellEnd"/>
      <w:r w:rsidRPr="00D761AE">
        <w:rPr>
          <w:rFonts w:ascii="Arial" w:hAnsi="Arial" w:cs="Arial"/>
          <w:sz w:val="22"/>
          <w:szCs w:val="22"/>
        </w:rPr>
        <w:t xml:space="preserve"> and Lin, 2021).</w:t>
      </w:r>
    </w:p>
    <w:p w14:paraId="2F8ACB68" w14:textId="1613747B" w:rsidR="008E5CB8" w:rsidRPr="00564B81" w:rsidRDefault="008E5CB8" w:rsidP="00564B81">
      <w:pPr>
        <w:pStyle w:val="NormalWeb"/>
        <w:spacing w:line="360" w:lineRule="auto"/>
        <w:rPr>
          <w:rFonts w:ascii="Arial" w:hAnsi="Arial" w:cs="Arial"/>
          <w:sz w:val="22"/>
          <w:szCs w:val="22"/>
        </w:rPr>
      </w:pPr>
      <w:r w:rsidRPr="00D761AE">
        <w:rPr>
          <w:rFonts w:ascii="Arial" w:hAnsi="Arial" w:cs="Arial"/>
          <w:sz w:val="22"/>
          <w:szCs w:val="22"/>
        </w:rPr>
        <w:t>This report critically examines the classification and diagnosis of HD within ICD-11, its treatment and rehabilitation, and current debates concerning its conceptualisation. Particular attention is given to developmental and psychosocial factors, including childhood experiences and attachment, as well as the emerging discussion surrounding neurodivergence. It argues that although the recognition of HD as a distinct ICD-11 disorder has improved diagnostic clarity, important challenges remain regarding diagnosis, treatment effectiveness and the development of sufficiently individualised and multidisciplinary approaches.</w:t>
      </w:r>
    </w:p>
    <w:p w14:paraId="143CB322" w14:textId="03685094" w:rsidR="00D761AE" w:rsidRDefault="00D761AE" w:rsidP="00D761AE">
      <w:pPr>
        <w:spacing w:before="100" w:beforeAutospacing="1" w:after="100" w:afterAutospacing="1" w:line="360" w:lineRule="auto"/>
        <w:outlineLvl w:val="1"/>
        <w:rPr>
          <w:rFonts w:ascii="Arial Black" w:hAnsi="Arial Black" w:cs="Arial"/>
          <w:b/>
          <w:bCs/>
          <w:color w:val="153D63" w:themeColor="text2" w:themeTint="E6"/>
        </w:rPr>
      </w:pPr>
    </w:p>
    <w:p w14:paraId="53E7F297" w14:textId="77777777" w:rsidR="00564B81" w:rsidRPr="00D761AE" w:rsidRDefault="00564B81" w:rsidP="00D761AE">
      <w:pPr>
        <w:spacing w:before="100" w:beforeAutospacing="1" w:after="100" w:afterAutospacing="1" w:line="360" w:lineRule="auto"/>
        <w:outlineLvl w:val="1"/>
        <w:rPr>
          <w:rFonts w:ascii="Arial Black" w:hAnsi="Arial Black" w:cs="Arial"/>
          <w:b/>
          <w:bCs/>
          <w:color w:val="153D63" w:themeColor="text2" w:themeTint="E6"/>
        </w:rPr>
      </w:pPr>
    </w:p>
    <w:p w14:paraId="7AAA1DC2" w14:textId="77777777" w:rsidR="008E5CB8" w:rsidRPr="005D5EA7" w:rsidRDefault="008E5CB8" w:rsidP="00D761AE">
      <w:pPr>
        <w:spacing w:before="100" w:beforeAutospacing="1" w:after="100" w:afterAutospacing="1" w:line="360" w:lineRule="auto"/>
        <w:outlineLvl w:val="1"/>
        <w:rPr>
          <w:rFonts w:ascii="Arial Black" w:hAnsi="Arial Black" w:cs="Arial"/>
          <w:b/>
          <w:bCs/>
          <w:color w:val="153D63" w:themeColor="text2" w:themeTint="E6"/>
        </w:rPr>
      </w:pPr>
      <w:r w:rsidRPr="005D5EA7">
        <w:rPr>
          <w:rFonts w:ascii="Arial Black" w:hAnsi="Arial Black" w:cs="Arial"/>
          <w:b/>
          <w:bCs/>
          <w:color w:val="153D63" w:themeColor="text2" w:themeTint="E6"/>
        </w:rPr>
        <w:lastRenderedPageBreak/>
        <w:t>2. Classification and Diagnosis</w:t>
      </w:r>
    </w:p>
    <w:p w14:paraId="6B449888" w14:textId="77777777" w:rsidR="008E5CB8" w:rsidRPr="005D5EA7" w:rsidRDefault="008E5CB8" w:rsidP="00D761AE">
      <w:pPr>
        <w:spacing w:before="100" w:beforeAutospacing="1" w:after="100" w:afterAutospacing="1" w:line="360" w:lineRule="auto"/>
        <w:outlineLvl w:val="2"/>
        <w:rPr>
          <w:rFonts w:ascii="Arial" w:hAnsi="Arial" w:cs="Arial"/>
          <w:bCs/>
          <w:color w:val="153D63" w:themeColor="text2" w:themeTint="E6"/>
        </w:rPr>
      </w:pPr>
      <w:r w:rsidRPr="005D5EA7">
        <w:rPr>
          <w:rFonts w:ascii="Arial" w:hAnsi="Arial" w:cs="Arial"/>
          <w:bCs/>
          <w:color w:val="153D63" w:themeColor="text2" w:themeTint="E6"/>
        </w:rPr>
        <w:t>2.1 ICD-11 classification</w:t>
      </w:r>
    </w:p>
    <w:p w14:paraId="419C7964" w14:textId="77777777" w:rsidR="008E5CB8" w:rsidRPr="005D5EA7" w:rsidRDefault="008E5CB8" w:rsidP="00D761AE">
      <w:pPr>
        <w:spacing w:before="100" w:beforeAutospacing="1" w:after="100" w:afterAutospacing="1" w:line="360" w:lineRule="auto"/>
        <w:rPr>
          <w:rFonts w:ascii="Arial" w:hAnsi="Arial" w:cs="Arial"/>
          <w:sz w:val="22"/>
          <w:szCs w:val="22"/>
        </w:rPr>
      </w:pPr>
      <w:r w:rsidRPr="005D5EA7">
        <w:rPr>
          <w:rFonts w:ascii="Arial" w:hAnsi="Arial" w:cs="Arial"/>
          <w:sz w:val="22"/>
          <w:szCs w:val="22"/>
        </w:rPr>
        <w:t xml:space="preserve">Hoarding disorder (HD), coded </w:t>
      </w:r>
      <w:r w:rsidRPr="005D5EA7">
        <w:rPr>
          <w:rFonts w:ascii="Arial" w:hAnsi="Arial" w:cs="Arial"/>
          <w:b/>
          <w:bCs/>
          <w:sz w:val="22"/>
          <w:szCs w:val="22"/>
        </w:rPr>
        <w:t>6B24</w:t>
      </w:r>
      <w:r w:rsidRPr="005D5EA7">
        <w:rPr>
          <w:rFonts w:ascii="Arial" w:hAnsi="Arial" w:cs="Arial"/>
          <w:sz w:val="22"/>
          <w:szCs w:val="22"/>
        </w:rPr>
        <w:t xml:space="preserve">, is classified within Chapter 06, </w:t>
      </w:r>
      <w:r w:rsidRPr="005D5EA7">
        <w:rPr>
          <w:rFonts w:ascii="Arial" w:hAnsi="Arial" w:cs="Arial"/>
          <w:i/>
          <w:iCs/>
          <w:sz w:val="22"/>
          <w:szCs w:val="22"/>
        </w:rPr>
        <w:t>Mental, behavioural or neurodevelopmental disorders</w:t>
      </w:r>
      <w:r w:rsidRPr="005D5EA7">
        <w:rPr>
          <w:rFonts w:ascii="Arial" w:hAnsi="Arial" w:cs="Arial"/>
          <w:sz w:val="22"/>
          <w:szCs w:val="22"/>
        </w:rPr>
        <w:t xml:space="preserve">, and specifically within the group of </w:t>
      </w:r>
      <w:r w:rsidRPr="005D5EA7">
        <w:rPr>
          <w:rFonts w:ascii="Arial" w:hAnsi="Arial" w:cs="Arial"/>
          <w:i/>
          <w:iCs/>
          <w:sz w:val="22"/>
          <w:szCs w:val="22"/>
        </w:rPr>
        <w:t>Obsessive-compulsive or related disorders</w:t>
      </w:r>
      <w:r w:rsidRPr="005D5EA7">
        <w:rPr>
          <w:rFonts w:ascii="Arial" w:hAnsi="Arial" w:cs="Arial"/>
          <w:sz w:val="22"/>
          <w:szCs w:val="22"/>
        </w:rPr>
        <w:t>. The inclusion of HD as a distinct diagnostic category reflects recognition that clinically significant hoarding is not simply an extreme form of collecting or a symptom that necessarily occurs within obsessive-compulsive disorder (OCD). The World Health Organization (WHO) defines HD in terms of persistent accumulation of possessions resulting in living spaces becoming sufficiently cluttered to compromise their intended use or safety. Accumulation is associated with repeated urges or behaviours to acquire items and difficulty discarding possessions because of a perceived need to save them and distress associated with discarding. The symptoms must result in significant distress or impairment in important areas of functioning (WHO, 2024).</w:t>
      </w:r>
    </w:p>
    <w:p w14:paraId="2AE9BF08" w14:textId="77777777" w:rsidR="008E5CB8" w:rsidRPr="005D5EA7" w:rsidRDefault="008E5CB8" w:rsidP="00D761AE">
      <w:pPr>
        <w:spacing w:before="100" w:beforeAutospacing="1" w:after="100" w:afterAutospacing="1" w:line="360" w:lineRule="auto"/>
        <w:outlineLvl w:val="2"/>
        <w:rPr>
          <w:rFonts w:ascii="Arial" w:hAnsi="Arial" w:cs="Arial"/>
          <w:bCs/>
          <w:color w:val="153D63" w:themeColor="text2" w:themeTint="E6"/>
        </w:rPr>
      </w:pPr>
      <w:r w:rsidRPr="005D5EA7">
        <w:rPr>
          <w:rFonts w:ascii="Arial" w:hAnsi="Arial" w:cs="Arial"/>
          <w:bCs/>
          <w:color w:val="153D63" w:themeColor="text2" w:themeTint="E6"/>
        </w:rPr>
        <w:t>2.2 Diagnostic characteristics</w:t>
      </w:r>
    </w:p>
    <w:p w14:paraId="6452573E" w14:textId="77777777" w:rsidR="008E5CB8" w:rsidRPr="005D5EA7" w:rsidRDefault="008E5CB8" w:rsidP="00D761AE">
      <w:pPr>
        <w:spacing w:before="100" w:beforeAutospacing="1" w:after="100" w:afterAutospacing="1" w:line="360" w:lineRule="auto"/>
        <w:rPr>
          <w:rFonts w:ascii="Arial" w:hAnsi="Arial" w:cs="Arial"/>
          <w:sz w:val="22"/>
          <w:szCs w:val="22"/>
        </w:rPr>
      </w:pPr>
      <w:r w:rsidRPr="005D5EA7">
        <w:rPr>
          <w:rFonts w:ascii="Arial" w:hAnsi="Arial" w:cs="Arial"/>
          <w:sz w:val="22"/>
          <w:szCs w:val="22"/>
        </w:rPr>
        <w:t>The essential diagnostic features therefore involve three interconnected elements: excessive accumulation, difficulty discarding possessions and significant functional impairment. Accumulation may be passive, such as retaining incoming mail, or active, including excessive acquisition of free or purchased items. Importantly, clutter must interfere with the normal use or safety of living areas. If spaces remain uncluttered, this may only be because third parties, such as family members, cleaners or authorities, have intervened.</w:t>
      </w:r>
    </w:p>
    <w:p w14:paraId="45E9CE59" w14:textId="77777777" w:rsidR="008E5CB8" w:rsidRPr="005D5EA7" w:rsidRDefault="008E5CB8" w:rsidP="00D761AE">
      <w:pPr>
        <w:spacing w:before="100" w:beforeAutospacing="1" w:after="100" w:afterAutospacing="1" w:line="360" w:lineRule="auto"/>
        <w:rPr>
          <w:rFonts w:ascii="Arial" w:hAnsi="Arial" w:cs="Arial"/>
          <w:sz w:val="22"/>
          <w:szCs w:val="22"/>
        </w:rPr>
      </w:pPr>
      <w:r w:rsidRPr="005D5EA7">
        <w:rPr>
          <w:rFonts w:ascii="Arial" w:hAnsi="Arial" w:cs="Arial"/>
          <w:sz w:val="22"/>
          <w:szCs w:val="22"/>
        </w:rPr>
        <w:t xml:space="preserve">Diagnosis also requires consideration of boundaries with other conditions and with culturally accepted collecting. Collectors may have strong emotional attachments to possessions but </w:t>
      </w:r>
      <w:proofErr w:type="gramStart"/>
      <w:r w:rsidRPr="005D5EA7">
        <w:rPr>
          <w:rFonts w:ascii="Arial" w:hAnsi="Arial" w:cs="Arial"/>
          <w:sz w:val="22"/>
          <w:szCs w:val="22"/>
        </w:rPr>
        <w:t>generally organise</w:t>
      </w:r>
      <w:proofErr w:type="gramEnd"/>
      <w:r w:rsidRPr="005D5EA7">
        <w:rPr>
          <w:rFonts w:ascii="Arial" w:hAnsi="Arial" w:cs="Arial"/>
          <w:sz w:val="22"/>
          <w:szCs w:val="22"/>
        </w:rPr>
        <w:t xml:space="preserve"> their collections and do not experience the same degree of functional impairment. Cultural attitudes towards saving possessions must also be considered, particularly where frugality or retaining objects is socially valued. Differential diagnosis is important because accumulation may also occur in conditions such as OCD, autism spectrum disorder, mood disorders or dementia, although the underlying motivations and clinical features may differ.</w:t>
      </w:r>
    </w:p>
    <w:p w14:paraId="359E0A98" w14:textId="77777777" w:rsidR="008E5CB8" w:rsidRPr="005D5EA7" w:rsidRDefault="008E5CB8" w:rsidP="00D761AE">
      <w:pPr>
        <w:spacing w:before="100" w:beforeAutospacing="1" w:after="100" w:afterAutospacing="1" w:line="360" w:lineRule="auto"/>
        <w:outlineLvl w:val="2"/>
        <w:rPr>
          <w:rFonts w:ascii="Arial" w:hAnsi="Arial" w:cs="Arial"/>
          <w:bCs/>
          <w:color w:val="153D63" w:themeColor="text2" w:themeTint="E6"/>
        </w:rPr>
      </w:pPr>
      <w:r w:rsidRPr="005D5EA7">
        <w:rPr>
          <w:rFonts w:ascii="Arial" w:hAnsi="Arial" w:cs="Arial"/>
          <w:bCs/>
          <w:color w:val="153D63" w:themeColor="text2" w:themeTint="E6"/>
        </w:rPr>
        <w:t>2.3 Diagnostic process and insight</w:t>
      </w:r>
    </w:p>
    <w:p w14:paraId="0B093008" w14:textId="77777777" w:rsidR="008E5CB8" w:rsidRPr="005D5EA7" w:rsidRDefault="008E5CB8" w:rsidP="00D761AE">
      <w:pPr>
        <w:spacing w:before="100" w:beforeAutospacing="1" w:after="100" w:afterAutospacing="1" w:line="360" w:lineRule="auto"/>
        <w:rPr>
          <w:rFonts w:ascii="Arial" w:hAnsi="Arial" w:cs="Arial"/>
          <w:sz w:val="22"/>
          <w:szCs w:val="22"/>
        </w:rPr>
      </w:pPr>
      <w:r w:rsidRPr="005D5EA7">
        <w:rPr>
          <w:rFonts w:ascii="Arial" w:hAnsi="Arial" w:cs="Arial"/>
          <w:sz w:val="22"/>
          <w:szCs w:val="22"/>
        </w:rPr>
        <w:t xml:space="preserve">Assessment should be comprehensive and may require information beyond self-report. Clinicians may need to obtain information from family members or assess photographs or </w:t>
      </w:r>
      <w:r w:rsidRPr="005D5EA7">
        <w:rPr>
          <w:rFonts w:ascii="Arial" w:hAnsi="Arial" w:cs="Arial"/>
          <w:sz w:val="22"/>
          <w:szCs w:val="22"/>
        </w:rPr>
        <w:lastRenderedPageBreak/>
        <w:t>the physical condition of the individual's living environment, particularly when insight is limited.</w:t>
      </w:r>
    </w:p>
    <w:p w14:paraId="7A8448F7" w14:textId="77777777" w:rsidR="008E5CB8" w:rsidRPr="005D5EA7" w:rsidRDefault="008E5CB8" w:rsidP="00D761AE">
      <w:pPr>
        <w:spacing w:before="100" w:beforeAutospacing="1" w:after="100" w:afterAutospacing="1" w:line="360" w:lineRule="auto"/>
        <w:rPr>
          <w:rFonts w:ascii="Arial" w:hAnsi="Arial" w:cs="Arial"/>
          <w:sz w:val="22"/>
          <w:szCs w:val="22"/>
        </w:rPr>
      </w:pPr>
      <w:r w:rsidRPr="005D5EA7">
        <w:rPr>
          <w:rFonts w:ascii="Arial" w:hAnsi="Arial" w:cs="Arial"/>
          <w:sz w:val="22"/>
          <w:szCs w:val="22"/>
        </w:rPr>
        <w:t xml:space="preserve">A particularly important feature of ICD-11 classification is the specification of </w:t>
      </w:r>
      <w:r w:rsidRPr="005D5EA7">
        <w:rPr>
          <w:rFonts w:ascii="Arial" w:hAnsi="Arial" w:cs="Arial"/>
          <w:bCs/>
          <w:sz w:val="22"/>
          <w:szCs w:val="22"/>
        </w:rPr>
        <w:t>level of insight</w:t>
      </w:r>
      <w:r w:rsidRPr="005D5EA7">
        <w:rPr>
          <w:rFonts w:ascii="Arial" w:hAnsi="Arial" w:cs="Arial"/>
          <w:sz w:val="22"/>
          <w:szCs w:val="22"/>
        </w:rPr>
        <w:t xml:space="preserve">. HD may be diagnosed with </w:t>
      </w:r>
      <w:r w:rsidRPr="005D5EA7">
        <w:rPr>
          <w:rFonts w:ascii="Arial" w:hAnsi="Arial" w:cs="Arial"/>
          <w:bCs/>
          <w:sz w:val="22"/>
          <w:szCs w:val="22"/>
        </w:rPr>
        <w:t>fair to good insight (6B24.0)</w:t>
      </w:r>
      <w:r w:rsidRPr="005D5EA7">
        <w:rPr>
          <w:rFonts w:ascii="Arial" w:hAnsi="Arial" w:cs="Arial"/>
          <w:sz w:val="22"/>
          <w:szCs w:val="22"/>
        </w:rPr>
        <w:t xml:space="preserve">, where the individual </w:t>
      </w:r>
      <w:proofErr w:type="gramStart"/>
      <w:r w:rsidRPr="005D5EA7">
        <w:rPr>
          <w:rFonts w:ascii="Arial" w:hAnsi="Arial" w:cs="Arial"/>
          <w:sz w:val="22"/>
          <w:szCs w:val="22"/>
        </w:rPr>
        <w:t>generally recognises</w:t>
      </w:r>
      <w:proofErr w:type="gramEnd"/>
      <w:r w:rsidRPr="005D5EA7">
        <w:rPr>
          <w:rFonts w:ascii="Arial" w:hAnsi="Arial" w:cs="Arial"/>
          <w:sz w:val="22"/>
          <w:szCs w:val="22"/>
        </w:rPr>
        <w:t xml:space="preserve"> the problematic nature of their behaviour, or </w:t>
      </w:r>
      <w:r w:rsidRPr="005D5EA7">
        <w:rPr>
          <w:rFonts w:ascii="Arial" w:hAnsi="Arial" w:cs="Arial"/>
          <w:bCs/>
          <w:sz w:val="22"/>
          <w:szCs w:val="22"/>
        </w:rPr>
        <w:t>poor to absent insight (6B24.1)</w:t>
      </w:r>
      <w:r w:rsidRPr="005D5EA7">
        <w:rPr>
          <w:rFonts w:ascii="Arial" w:hAnsi="Arial" w:cs="Arial"/>
          <w:sz w:val="22"/>
          <w:szCs w:val="22"/>
        </w:rPr>
        <w:t xml:space="preserve">, where the individual remains largely convinced that their hoarding-related beliefs or behaviours are not problematic despite evidence to the contrary. </w:t>
      </w:r>
      <w:r w:rsidRPr="005D5EA7">
        <w:rPr>
          <w:rFonts w:ascii="Arial" w:hAnsi="Arial" w:cs="Arial"/>
          <w:bCs/>
          <w:sz w:val="22"/>
          <w:szCs w:val="22"/>
        </w:rPr>
        <w:t>6B24.Z</w:t>
      </w:r>
      <w:r w:rsidRPr="005D5EA7">
        <w:rPr>
          <w:rFonts w:ascii="Arial" w:hAnsi="Arial" w:cs="Arial"/>
          <w:sz w:val="22"/>
          <w:szCs w:val="22"/>
        </w:rPr>
        <w:t xml:space="preserve"> is used when the level of insight is unspecified (WHO, 2024). This distinction is clinically significant because insight may influence engagement with assessment and treatment. It also demonstrates that ICD-11 recognises variation between individuals rather than treating HD as a uniform presentation.</w:t>
      </w:r>
    </w:p>
    <w:p w14:paraId="3FF0366C" w14:textId="7E3C5CB4" w:rsidR="008E5CB8" w:rsidRDefault="008E5CB8" w:rsidP="00D761AE">
      <w:pPr>
        <w:spacing w:before="100" w:beforeAutospacing="1" w:after="100" w:afterAutospacing="1" w:line="360" w:lineRule="auto"/>
        <w:rPr>
          <w:rFonts w:ascii="Arial" w:hAnsi="Arial" w:cs="Arial"/>
          <w:sz w:val="22"/>
          <w:szCs w:val="22"/>
        </w:rPr>
      </w:pPr>
      <w:r w:rsidRPr="005D5EA7">
        <w:rPr>
          <w:rFonts w:ascii="Arial" w:hAnsi="Arial" w:cs="Arial"/>
          <w:sz w:val="22"/>
          <w:szCs w:val="22"/>
        </w:rPr>
        <w:t>Overall, ICD-11 provides a structured classification that distinguishes clinically significant hoarding from normal collecting while allowing variation in presentation, particularly regarding insight.</w:t>
      </w:r>
    </w:p>
    <w:p w14:paraId="6CBD721B" w14:textId="24286423" w:rsidR="00872883" w:rsidRPr="00872883" w:rsidRDefault="00872883" w:rsidP="00872883">
      <w:pPr>
        <w:spacing w:before="100" w:beforeAutospacing="1" w:after="100" w:afterAutospacing="1" w:line="360" w:lineRule="auto"/>
        <w:outlineLvl w:val="1"/>
        <w:rPr>
          <w:rFonts w:ascii="Arial Black" w:hAnsi="Arial Black" w:cs="Arial"/>
          <w:b/>
          <w:bCs/>
          <w:color w:val="153D63" w:themeColor="text2" w:themeTint="E6"/>
        </w:rPr>
      </w:pPr>
      <w:r>
        <w:rPr>
          <w:rFonts w:ascii="Arial Black" w:hAnsi="Arial Black" w:cs="Arial"/>
          <w:b/>
          <w:bCs/>
          <w:color w:val="153D63" w:themeColor="text2" w:themeTint="E6"/>
        </w:rPr>
        <w:t>3</w:t>
      </w:r>
      <w:r w:rsidRPr="005D5EA7">
        <w:rPr>
          <w:rFonts w:ascii="Arial Black" w:hAnsi="Arial Black" w:cs="Arial"/>
          <w:b/>
          <w:bCs/>
          <w:color w:val="153D63" w:themeColor="text2" w:themeTint="E6"/>
        </w:rPr>
        <w:t xml:space="preserve">. </w:t>
      </w:r>
      <w:r>
        <w:rPr>
          <w:rFonts w:ascii="Arial Black" w:hAnsi="Arial Black" w:cs="Arial"/>
          <w:b/>
          <w:bCs/>
          <w:color w:val="153D63" w:themeColor="text2" w:themeTint="E6"/>
        </w:rPr>
        <w:t xml:space="preserve">Treatment and Rehabilitation </w:t>
      </w:r>
    </w:p>
    <w:p w14:paraId="7D64AF76" w14:textId="77777777" w:rsidR="008E5CB8" w:rsidRPr="00872883" w:rsidRDefault="008E5CB8" w:rsidP="00D761AE">
      <w:pPr>
        <w:pStyle w:val="Heading4"/>
        <w:spacing w:line="360" w:lineRule="auto"/>
        <w:rPr>
          <w:rFonts w:ascii="Arial" w:hAnsi="Arial" w:cs="Arial"/>
          <w:i w:val="0"/>
          <w:color w:val="153D63" w:themeColor="text2" w:themeTint="E6"/>
        </w:rPr>
      </w:pPr>
      <w:r w:rsidRPr="00872883">
        <w:rPr>
          <w:rFonts w:ascii="Arial" w:hAnsi="Arial" w:cs="Arial"/>
          <w:i w:val="0"/>
          <w:color w:val="153D63" w:themeColor="text2" w:themeTint="E6"/>
        </w:rPr>
        <w:t>3.1 Psychological Treatment</w:t>
      </w:r>
    </w:p>
    <w:p w14:paraId="1AAC4718" w14:textId="77777777" w:rsidR="008E5CB8" w:rsidRPr="00D761AE" w:rsidRDefault="008E5CB8" w:rsidP="00D761AE">
      <w:pPr>
        <w:pStyle w:val="NormalWeb"/>
        <w:spacing w:line="360" w:lineRule="auto"/>
        <w:rPr>
          <w:rFonts w:ascii="Arial" w:hAnsi="Arial" w:cs="Arial"/>
          <w:sz w:val="22"/>
          <w:szCs w:val="22"/>
        </w:rPr>
      </w:pPr>
      <w:r w:rsidRPr="00D761AE">
        <w:rPr>
          <w:rFonts w:ascii="Arial" w:hAnsi="Arial" w:cs="Arial"/>
          <w:sz w:val="22"/>
          <w:szCs w:val="22"/>
        </w:rPr>
        <w:t xml:space="preserve">Cognitive Behavioural Therapy (CBT), developed by Frost and </w:t>
      </w:r>
      <w:proofErr w:type="spellStart"/>
      <w:r w:rsidRPr="00D761AE">
        <w:rPr>
          <w:rFonts w:ascii="Arial" w:hAnsi="Arial" w:cs="Arial"/>
          <w:sz w:val="22"/>
          <w:szCs w:val="22"/>
        </w:rPr>
        <w:t>Steketee</w:t>
      </w:r>
      <w:proofErr w:type="spellEnd"/>
      <w:r w:rsidRPr="00D761AE">
        <w:rPr>
          <w:rFonts w:ascii="Arial" w:hAnsi="Arial" w:cs="Arial"/>
          <w:sz w:val="22"/>
          <w:szCs w:val="22"/>
        </w:rPr>
        <w:t>, is the first-line treatment for hoarding disorder (HD) (International OCD Foundation, n.d.). Over roughly 26 sessions it combines assessment, a personalised formulation, motivational interviewing, skills training in categorising and organising, and graded exposure practice at sorting and discarding, alongside cognitive work challenging beliefs about possessions (International OCD Foundation, n.d.). Core targets include maladaptive beliefs about objects' necessity or sentimental value, excessive emotional attachment, avoidance of discarding-related distress, and information-processing deficits underlying poor decision-making.</w:t>
      </w:r>
    </w:p>
    <w:p w14:paraId="5E3015B2" w14:textId="77777777" w:rsidR="008E5CB8" w:rsidRPr="00D761AE" w:rsidRDefault="008E5CB8" w:rsidP="00D761AE">
      <w:pPr>
        <w:pStyle w:val="NormalWeb"/>
        <w:spacing w:line="360" w:lineRule="auto"/>
        <w:rPr>
          <w:rFonts w:ascii="Arial" w:hAnsi="Arial" w:cs="Arial"/>
          <w:sz w:val="22"/>
          <w:szCs w:val="22"/>
        </w:rPr>
      </w:pPr>
      <w:r w:rsidRPr="00D761AE">
        <w:rPr>
          <w:rFonts w:ascii="Arial" w:hAnsi="Arial" w:cs="Arial"/>
          <w:sz w:val="22"/>
          <w:szCs w:val="22"/>
        </w:rPr>
        <w:t xml:space="preserve">The evidence is encouraging but qualified. Frost and </w:t>
      </w:r>
      <w:proofErr w:type="spellStart"/>
      <w:r w:rsidRPr="00D761AE">
        <w:rPr>
          <w:rFonts w:ascii="Arial" w:hAnsi="Arial" w:cs="Arial"/>
          <w:sz w:val="22"/>
          <w:szCs w:val="22"/>
        </w:rPr>
        <w:t>Steketee's</w:t>
      </w:r>
      <w:proofErr w:type="spellEnd"/>
      <w:r w:rsidRPr="00D761AE">
        <w:rPr>
          <w:rFonts w:ascii="Arial" w:hAnsi="Arial" w:cs="Arial"/>
          <w:sz w:val="22"/>
          <w:szCs w:val="22"/>
        </w:rPr>
        <w:t xml:space="preserve"> protocol produced marked improvement in 70–80% of clients after 9–12 months, </w:t>
      </w:r>
      <w:proofErr w:type="gramStart"/>
      <w:r w:rsidRPr="00D761AE">
        <w:rPr>
          <w:rFonts w:ascii="Arial" w:hAnsi="Arial" w:cs="Arial"/>
          <w:sz w:val="22"/>
          <w:szCs w:val="22"/>
        </w:rPr>
        <w:t>largely maintained</w:t>
      </w:r>
      <w:proofErr w:type="gramEnd"/>
      <w:r w:rsidRPr="00D761AE">
        <w:rPr>
          <w:rFonts w:ascii="Arial" w:hAnsi="Arial" w:cs="Arial"/>
          <w:sz w:val="22"/>
          <w:szCs w:val="22"/>
        </w:rPr>
        <w:t xml:space="preserve"> at follow-up, though most still needed further help (International OCD Foundation, n.d.). A 2021 meta-analysis of 16 studies found large effects on hoarding symptoms post-treatment and at follow-up, but only small effects on comorbid depression, and noted that controlled trials and long-term data remain scarce (Rodgers, McDonald and Wootton, 2021). </w:t>
      </w:r>
      <w:proofErr w:type="spellStart"/>
      <w:r w:rsidRPr="00D761AE">
        <w:rPr>
          <w:rFonts w:ascii="Arial" w:hAnsi="Arial" w:cs="Arial"/>
          <w:sz w:val="22"/>
          <w:szCs w:val="22"/>
        </w:rPr>
        <w:t>Morein</w:t>
      </w:r>
      <w:proofErr w:type="spellEnd"/>
      <w:r w:rsidRPr="00D761AE">
        <w:rPr>
          <w:rFonts w:ascii="Arial" w:hAnsi="Arial" w:cs="Arial"/>
          <w:sz w:val="22"/>
          <w:szCs w:val="22"/>
        </w:rPr>
        <w:t xml:space="preserve">-Zamir and Ahluwalia (2023) add that guidelines recommend CBT and SSRIs despite limited underlying evidence, hampered by heterogeneous samples and unclear diagnostic criteria until recently. Reliance </w:t>
      </w:r>
      <w:r w:rsidRPr="00D761AE">
        <w:rPr>
          <w:rFonts w:ascii="Arial" w:hAnsi="Arial" w:cs="Arial"/>
          <w:sz w:val="22"/>
          <w:szCs w:val="22"/>
        </w:rPr>
        <w:lastRenderedPageBreak/>
        <w:t xml:space="preserve">on pre–post rather than randomised designs, older, </w:t>
      </w:r>
      <w:proofErr w:type="gramStart"/>
      <w:r w:rsidRPr="00D761AE">
        <w:rPr>
          <w:rFonts w:ascii="Arial" w:hAnsi="Arial" w:cs="Arial"/>
          <w:sz w:val="22"/>
          <w:szCs w:val="22"/>
        </w:rPr>
        <w:t>predominantly female</w:t>
      </w:r>
      <w:proofErr w:type="gramEnd"/>
      <w:r w:rsidRPr="00D761AE">
        <w:rPr>
          <w:rFonts w:ascii="Arial" w:hAnsi="Arial" w:cs="Arial"/>
          <w:sz w:val="22"/>
          <w:szCs w:val="22"/>
        </w:rPr>
        <w:t xml:space="preserve"> samples, and persistent dropout further temper this evidence: CBT typically reduces rather than resolves hoarding.</w:t>
      </w:r>
    </w:p>
    <w:p w14:paraId="75BD2D6B" w14:textId="77777777" w:rsidR="008E5CB8" w:rsidRPr="00872883" w:rsidRDefault="008E5CB8" w:rsidP="00D761AE">
      <w:pPr>
        <w:pStyle w:val="Heading4"/>
        <w:spacing w:line="360" w:lineRule="auto"/>
        <w:rPr>
          <w:rFonts w:ascii="Arial" w:hAnsi="Arial" w:cs="Arial"/>
          <w:i w:val="0"/>
          <w:color w:val="153D63" w:themeColor="text2" w:themeTint="E6"/>
        </w:rPr>
      </w:pPr>
      <w:r w:rsidRPr="00872883">
        <w:rPr>
          <w:rFonts w:ascii="Arial" w:hAnsi="Arial" w:cs="Arial"/>
          <w:i w:val="0"/>
          <w:color w:val="153D63" w:themeColor="text2" w:themeTint="E6"/>
        </w:rPr>
        <w:t>3.2 Other/Adjunctive Approaches</w:t>
      </w:r>
    </w:p>
    <w:p w14:paraId="75846751" w14:textId="77777777" w:rsidR="008E5CB8" w:rsidRPr="00D761AE" w:rsidRDefault="008E5CB8" w:rsidP="00D761AE">
      <w:pPr>
        <w:pStyle w:val="NormalWeb"/>
        <w:spacing w:line="360" w:lineRule="auto"/>
        <w:rPr>
          <w:rFonts w:ascii="Arial" w:hAnsi="Arial" w:cs="Arial"/>
          <w:sz w:val="22"/>
          <w:szCs w:val="22"/>
        </w:rPr>
      </w:pPr>
      <w:r w:rsidRPr="00D761AE">
        <w:rPr>
          <w:rFonts w:ascii="Arial" w:hAnsi="Arial" w:cs="Arial"/>
          <w:sz w:val="22"/>
          <w:szCs w:val="22"/>
        </w:rPr>
        <w:t>Motivational interviewing is embedded within CBT to address low insight and ambivalence (International OCD Foundation, n.d.). Pharmacotherapy has limited HD-specific evidence but treats comorbid depression, anxiety, or OCD (</w:t>
      </w:r>
      <w:proofErr w:type="spellStart"/>
      <w:r w:rsidRPr="00D761AE">
        <w:rPr>
          <w:rFonts w:ascii="Arial" w:hAnsi="Arial" w:cs="Arial"/>
          <w:sz w:val="22"/>
          <w:szCs w:val="22"/>
        </w:rPr>
        <w:t>Morein</w:t>
      </w:r>
      <w:proofErr w:type="spellEnd"/>
      <w:r w:rsidRPr="00D761AE">
        <w:rPr>
          <w:rFonts w:ascii="Arial" w:hAnsi="Arial" w:cs="Arial"/>
          <w:sz w:val="22"/>
          <w:szCs w:val="22"/>
        </w:rPr>
        <w:t>-Zamir and Ahluwalia, 2023). Family and social interventions reduce unhelpful criticism or enabling, while client-led practical decluttering support extends clinical work between sessions.</w:t>
      </w:r>
    </w:p>
    <w:p w14:paraId="737C7B98" w14:textId="77777777" w:rsidR="008E5CB8" w:rsidRPr="00872883" w:rsidRDefault="008E5CB8" w:rsidP="00D761AE">
      <w:pPr>
        <w:pStyle w:val="Heading4"/>
        <w:spacing w:line="360" w:lineRule="auto"/>
        <w:rPr>
          <w:rFonts w:ascii="Arial" w:hAnsi="Arial" w:cs="Arial"/>
          <w:i w:val="0"/>
          <w:color w:val="153D63" w:themeColor="text2" w:themeTint="E6"/>
        </w:rPr>
      </w:pPr>
      <w:r w:rsidRPr="00872883">
        <w:rPr>
          <w:rFonts w:ascii="Arial" w:hAnsi="Arial" w:cs="Arial"/>
          <w:i w:val="0"/>
          <w:color w:val="153D63" w:themeColor="text2" w:themeTint="E6"/>
        </w:rPr>
        <w:t>3.3 Rehabilitation</w:t>
      </w:r>
    </w:p>
    <w:p w14:paraId="099E6916" w14:textId="77777777" w:rsidR="008E5CB8" w:rsidRPr="00D761AE" w:rsidRDefault="008E5CB8" w:rsidP="00D761AE">
      <w:pPr>
        <w:pStyle w:val="NormalWeb"/>
        <w:spacing w:line="360" w:lineRule="auto"/>
        <w:rPr>
          <w:rFonts w:ascii="Arial" w:hAnsi="Arial" w:cs="Arial"/>
          <w:sz w:val="22"/>
          <w:szCs w:val="22"/>
        </w:rPr>
      </w:pPr>
      <w:r w:rsidRPr="00D761AE">
        <w:rPr>
          <w:rFonts w:ascii="Arial" w:hAnsi="Arial" w:cs="Arial"/>
          <w:sz w:val="22"/>
          <w:szCs w:val="22"/>
        </w:rPr>
        <w:t>HD entered ICD-11 only in 2019 (code 6B24), having previously been subsumed under OCD, a delayed classification that has hindered research and service development (</w:t>
      </w:r>
      <w:proofErr w:type="spellStart"/>
      <w:r w:rsidRPr="00D761AE">
        <w:rPr>
          <w:rFonts w:ascii="Arial" w:hAnsi="Arial" w:cs="Arial"/>
          <w:sz w:val="22"/>
          <w:szCs w:val="22"/>
        </w:rPr>
        <w:t>Morein</w:t>
      </w:r>
      <w:proofErr w:type="spellEnd"/>
      <w:r w:rsidRPr="00D761AE">
        <w:rPr>
          <w:rFonts w:ascii="Arial" w:hAnsi="Arial" w:cs="Arial"/>
          <w:sz w:val="22"/>
          <w:szCs w:val="22"/>
        </w:rPr>
        <w:t>-Zamir and Ahluwalia, 2023). Rehabilitation cannot mean clutter removal alone: HD is strongly linked to fire risk, falls, infestation, safeguarding concerns, isolation, and housing insecurity, and poor insight and stigma mean help-seeking is often delayed by decades (</w:t>
      </w:r>
      <w:proofErr w:type="spellStart"/>
      <w:r w:rsidRPr="00D761AE">
        <w:rPr>
          <w:rFonts w:ascii="Arial" w:hAnsi="Arial" w:cs="Arial"/>
          <w:sz w:val="22"/>
          <w:szCs w:val="22"/>
        </w:rPr>
        <w:t>Morein</w:t>
      </w:r>
      <w:proofErr w:type="spellEnd"/>
      <w:r w:rsidRPr="00D761AE">
        <w:rPr>
          <w:rFonts w:ascii="Arial" w:hAnsi="Arial" w:cs="Arial"/>
          <w:sz w:val="22"/>
          <w:szCs w:val="22"/>
        </w:rPr>
        <w:t>-Zamir and Ahluwalia, 2023). A UK study of council housing officers found 47% of tenants who hoard had a known disability or vulnerability, 34% presented a fire and environmental risk, and 87% lived alone (Porter and Hanson, 2022).</w:t>
      </w:r>
    </w:p>
    <w:p w14:paraId="1D323601" w14:textId="77777777" w:rsidR="008E5CB8" w:rsidRPr="00D761AE" w:rsidRDefault="008E5CB8" w:rsidP="00D761AE">
      <w:pPr>
        <w:pStyle w:val="NormalWeb"/>
        <w:spacing w:line="360" w:lineRule="auto"/>
        <w:rPr>
          <w:rFonts w:ascii="Arial" w:hAnsi="Arial" w:cs="Arial"/>
          <w:sz w:val="22"/>
          <w:szCs w:val="22"/>
        </w:rPr>
      </w:pPr>
      <w:r w:rsidRPr="00D761AE">
        <w:rPr>
          <w:rFonts w:ascii="Arial" w:hAnsi="Arial" w:cs="Arial"/>
          <w:sz w:val="22"/>
          <w:szCs w:val="22"/>
        </w:rPr>
        <w:t>Effective rehabilitation therefore depends on coordinated, multidisciplinary, person-centred working across mental health, social work, housing, safeguarding, and fire services. In England, hoarding falls within adult safeguarding legislation as self-neglect under the Care Act 2014, and local multi-agency protocols exist, though implementation is inconsistent (</w:t>
      </w:r>
      <w:proofErr w:type="spellStart"/>
      <w:r w:rsidRPr="00D761AE">
        <w:rPr>
          <w:rFonts w:ascii="Arial" w:hAnsi="Arial" w:cs="Arial"/>
          <w:sz w:val="22"/>
          <w:szCs w:val="22"/>
        </w:rPr>
        <w:t>Morein</w:t>
      </w:r>
      <w:proofErr w:type="spellEnd"/>
      <w:r w:rsidRPr="00D761AE">
        <w:rPr>
          <w:rFonts w:ascii="Arial" w:hAnsi="Arial" w:cs="Arial"/>
          <w:sz w:val="22"/>
          <w:szCs w:val="22"/>
        </w:rPr>
        <w:t>-Zamir and Ahluwalia, 2023). Practitioners have been unanimous in supporting a multi-agency approach, having found hoarding too often managed through enforced cleaning or eviction rather than coordinated care, approaches found extremely traumatic and unlikely to address the underlying disorder (</w:t>
      </w:r>
      <w:proofErr w:type="spellStart"/>
      <w:r w:rsidRPr="00D761AE">
        <w:rPr>
          <w:rFonts w:ascii="Arial" w:hAnsi="Arial" w:cs="Arial"/>
          <w:sz w:val="22"/>
          <w:szCs w:val="22"/>
        </w:rPr>
        <w:t>Haighton</w:t>
      </w:r>
      <w:proofErr w:type="spellEnd"/>
      <w:r w:rsidRPr="00D761AE">
        <w:rPr>
          <w:rFonts w:ascii="Arial" w:hAnsi="Arial" w:cs="Arial"/>
          <w:sz w:val="22"/>
          <w:szCs w:val="22"/>
        </w:rPr>
        <w:t xml:space="preserve"> et al., 2023). </w:t>
      </w:r>
      <w:proofErr w:type="spellStart"/>
      <w:r w:rsidRPr="00D761AE">
        <w:rPr>
          <w:rFonts w:ascii="Arial" w:hAnsi="Arial" w:cs="Arial"/>
          <w:sz w:val="22"/>
          <w:szCs w:val="22"/>
        </w:rPr>
        <w:t>Morein</w:t>
      </w:r>
      <w:proofErr w:type="spellEnd"/>
      <w:r w:rsidRPr="00D761AE">
        <w:rPr>
          <w:rFonts w:ascii="Arial" w:hAnsi="Arial" w:cs="Arial"/>
          <w:sz w:val="22"/>
          <w:szCs w:val="22"/>
        </w:rPr>
        <w:t>-Zamir and Ahluwalia (2023) similarly note clearances can worsen mental health and offer only temporary relief, and should be a last resort, planned and consented to. This supports the argument that environmental intervention without psychological input risks being ineffective or harmful; sustainable rehabilitation instead paces housing and safety work alongside, not in place of, psychological treatment, with harm reduction sometimes more realistic than full resolution given HD's chronic course (</w:t>
      </w:r>
      <w:proofErr w:type="spellStart"/>
      <w:r w:rsidRPr="00D761AE">
        <w:rPr>
          <w:rFonts w:ascii="Arial" w:hAnsi="Arial" w:cs="Arial"/>
          <w:sz w:val="22"/>
          <w:szCs w:val="22"/>
        </w:rPr>
        <w:t>Morein</w:t>
      </w:r>
      <w:proofErr w:type="spellEnd"/>
      <w:r w:rsidRPr="00D761AE">
        <w:rPr>
          <w:rFonts w:ascii="Arial" w:hAnsi="Arial" w:cs="Arial"/>
          <w:sz w:val="22"/>
          <w:szCs w:val="22"/>
        </w:rPr>
        <w:t xml:space="preserve">-Zamir and Ahluwalia, 2023). </w:t>
      </w:r>
    </w:p>
    <w:p w14:paraId="6CD02ECE" w14:textId="664C9019" w:rsidR="00872883" w:rsidRPr="005254C9" w:rsidRDefault="005254C9" w:rsidP="00D761AE">
      <w:pPr>
        <w:pStyle w:val="Heading4"/>
        <w:spacing w:before="120" w:after="0" w:line="360" w:lineRule="auto"/>
        <w:rPr>
          <w:rFonts w:ascii="Arial Black" w:hAnsi="Arial Black" w:cs="Arial"/>
          <w:b/>
          <w:i w:val="0"/>
          <w:color w:val="153D63" w:themeColor="text2" w:themeTint="E6"/>
          <w:sz w:val="22"/>
          <w:szCs w:val="22"/>
        </w:rPr>
      </w:pPr>
      <w:r w:rsidRPr="005254C9">
        <w:rPr>
          <w:rFonts w:ascii="Arial Black" w:hAnsi="Arial Black"/>
          <w:b/>
          <w:i w:val="0"/>
          <w:color w:val="153D63" w:themeColor="text2" w:themeTint="E6"/>
        </w:rPr>
        <w:lastRenderedPageBreak/>
        <w:t>4. Current Debates and Emerging Issues</w:t>
      </w:r>
    </w:p>
    <w:p w14:paraId="2A4E8301" w14:textId="3C964B36" w:rsidR="008E5CB8" w:rsidRPr="005254C9" w:rsidRDefault="008E5CB8" w:rsidP="00D761AE">
      <w:pPr>
        <w:pStyle w:val="Heading4"/>
        <w:spacing w:before="120" w:after="0" w:line="360" w:lineRule="auto"/>
        <w:rPr>
          <w:rFonts w:ascii="Arial" w:hAnsi="Arial" w:cs="Arial"/>
          <w:i w:val="0"/>
          <w:color w:val="153D63" w:themeColor="text2" w:themeTint="E6"/>
        </w:rPr>
      </w:pPr>
      <w:r w:rsidRPr="005254C9">
        <w:rPr>
          <w:rFonts w:ascii="Arial" w:hAnsi="Arial" w:cs="Arial"/>
          <w:i w:val="0"/>
          <w:color w:val="153D63" w:themeColor="text2" w:themeTint="E6"/>
        </w:rPr>
        <w:t>4.1 Why is Hoarding Classified as a Disorder?</w:t>
      </w:r>
    </w:p>
    <w:p w14:paraId="2F4E563E" w14:textId="77777777" w:rsidR="005254C9" w:rsidRDefault="005254C9" w:rsidP="00D761AE">
      <w:pPr>
        <w:pStyle w:val="font-claude-response-body"/>
        <w:spacing w:before="0" w:beforeAutospacing="0" w:after="0" w:afterAutospacing="0" w:line="360" w:lineRule="auto"/>
        <w:rPr>
          <w:rFonts w:ascii="Arial" w:hAnsi="Arial" w:cs="Arial"/>
          <w:color w:val="0B0B0B"/>
          <w:sz w:val="22"/>
          <w:szCs w:val="22"/>
        </w:rPr>
      </w:pPr>
    </w:p>
    <w:p w14:paraId="21049183" w14:textId="5F9CFA08" w:rsidR="008E5CB8" w:rsidRPr="00D761AE" w:rsidRDefault="008E5CB8" w:rsidP="00D761AE">
      <w:pPr>
        <w:pStyle w:val="font-claude-response-body"/>
        <w:spacing w:before="0" w:beforeAutospacing="0" w:after="0" w:afterAutospacing="0" w:line="360" w:lineRule="auto"/>
        <w:rPr>
          <w:rFonts w:ascii="Arial" w:hAnsi="Arial" w:cs="Arial"/>
          <w:color w:val="0B0B0B"/>
          <w:sz w:val="22"/>
          <w:szCs w:val="22"/>
        </w:rPr>
      </w:pPr>
      <w:r w:rsidRPr="00D761AE">
        <w:rPr>
          <w:rFonts w:ascii="Arial" w:hAnsi="Arial" w:cs="Arial"/>
          <w:color w:val="0B0B0B"/>
          <w:sz w:val="22"/>
          <w:szCs w:val="22"/>
        </w:rPr>
        <w:t xml:space="preserve">The boundary between collecting, clutter, and clinically significant Hoarding Disorder (HD) rests on distress and functional impairment rather than possession volume alone; only when acquisition and difficulty discarding compromise the intended use of living space and </w:t>
      </w:r>
      <w:proofErr w:type="gramStart"/>
      <w:r w:rsidRPr="00D761AE">
        <w:rPr>
          <w:rFonts w:ascii="Arial" w:hAnsi="Arial" w:cs="Arial"/>
          <w:color w:val="0B0B0B"/>
          <w:sz w:val="22"/>
          <w:szCs w:val="22"/>
        </w:rPr>
        <w:t>cause</w:t>
      </w:r>
      <w:proofErr w:type="gramEnd"/>
      <w:r w:rsidRPr="00D761AE">
        <w:rPr>
          <w:rFonts w:ascii="Arial" w:hAnsi="Arial" w:cs="Arial"/>
          <w:color w:val="0B0B0B"/>
          <w:sz w:val="22"/>
          <w:szCs w:val="22"/>
        </w:rPr>
        <w:t xml:space="preserve"> significant distress is HD diagnosed (</w:t>
      </w:r>
      <w:proofErr w:type="spellStart"/>
      <w:r w:rsidRPr="00D761AE">
        <w:rPr>
          <w:rFonts w:ascii="Arial" w:hAnsi="Arial" w:cs="Arial"/>
          <w:color w:val="0B0B0B"/>
          <w:sz w:val="22"/>
          <w:szCs w:val="22"/>
        </w:rPr>
        <w:t>Morein</w:t>
      </w:r>
      <w:proofErr w:type="spellEnd"/>
      <w:r w:rsidRPr="00D761AE">
        <w:rPr>
          <w:rFonts w:ascii="Arial" w:hAnsi="Arial" w:cs="Arial"/>
          <w:color w:val="0B0B0B"/>
          <w:sz w:val="22"/>
          <w:szCs w:val="22"/>
        </w:rPr>
        <w:t xml:space="preserve">-Zamir and Ahluwalia, 2023). This threshold, however, is not culturally neutral. Orr, Preston-Shoot and </w:t>
      </w:r>
      <w:proofErr w:type="spellStart"/>
      <w:r w:rsidRPr="00D761AE">
        <w:rPr>
          <w:rFonts w:ascii="Arial" w:hAnsi="Arial" w:cs="Arial"/>
          <w:color w:val="0B0B0B"/>
          <w:sz w:val="22"/>
          <w:szCs w:val="22"/>
        </w:rPr>
        <w:t>Braye's</w:t>
      </w:r>
      <w:proofErr w:type="spellEnd"/>
      <w:r w:rsidRPr="00D761AE">
        <w:rPr>
          <w:rFonts w:ascii="Arial" w:hAnsi="Arial" w:cs="Arial"/>
          <w:color w:val="0B0B0B"/>
          <w:sz w:val="22"/>
          <w:szCs w:val="22"/>
        </w:rPr>
        <w:t xml:space="preserve"> interviews with people who hoard in England found their narratives drew on the cultural repertoire of values and discourses around waste and worth (Orr, Preston-Shoot and </w:t>
      </w:r>
      <w:proofErr w:type="spellStart"/>
      <w:r w:rsidRPr="00D761AE">
        <w:rPr>
          <w:rFonts w:ascii="Arial" w:hAnsi="Arial" w:cs="Arial"/>
          <w:color w:val="0B0B0B"/>
          <w:sz w:val="22"/>
          <w:szCs w:val="22"/>
        </w:rPr>
        <w:t>Braye</w:t>
      </w:r>
      <w:proofErr w:type="spellEnd"/>
      <w:r w:rsidRPr="00D761AE">
        <w:rPr>
          <w:rFonts w:ascii="Arial" w:hAnsi="Arial" w:cs="Arial"/>
          <w:color w:val="0B0B0B"/>
          <w:sz w:val="22"/>
          <w:szCs w:val="22"/>
        </w:rPr>
        <w:t xml:space="preserve">, 2019), and critical social science has questioned the cultural assumptions built into the "hoarding disorder" construct, expressing concern it may generate stigma outweighing its benefits (Orr, Preston-Shoot and </w:t>
      </w:r>
      <w:proofErr w:type="spellStart"/>
      <w:r w:rsidRPr="00D761AE">
        <w:rPr>
          <w:rFonts w:ascii="Arial" w:hAnsi="Arial" w:cs="Arial"/>
          <w:color w:val="0B0B0B"/>
          <w:sz w:val="22"/>
          <w:szCs w:val="22"/>
        </w:rPr>
        <w:t>Braye</w:t>
      </w:r>
      <w:proofErr w:type="spellEnd"/>
      <w:r w:rsidRPr="00D761AE">
        <w:rPr>
          <w:rFonts w:ascii="Arial" w:hAnsi="Arial" w:cs="Arial"/>
          <w:color w:val="0B0B0B"/>
          <w:sz w:val="22"/>
          <w:szCs w:val="22"/>
        </w:rPr>
        <w:t xml:space="preserve">, 2019). Poverty and housing precarity complicate the picture further: 18.5% of supported housing residents were found to have hoarding behaviour, more than three times the prevalence reported in the general population (Greig, </w:t>
      </w:r>
      <w:proofErr w:type="spellStart"/>
      <w:r w:rsidRPr="00D761AE">
        <w:rPr>
          <w:rFonts w:ascii="Arial" w:hAnsi="Arial" w:cs="Arial"/>
          <w:color w:val="0B0B0B"/>
          <w:sz w:val="22"/>
          <w:szCs w:val="22"/>
        </w:rPr>
        <w:t>Tolin</w:t>
      </w:r>
      <w:proofErr w:type="spellEnd"/>
      <w:r w:rsidRPr="00D761AE">
        <w:rPr>
          <w:rFonts w:ascii="Arial" w:hAnsi="Arial" w:cs="Arial"/>
          <w:color w:val="0B0B0B"/>
          <w:sz w:val="22"/>
          <w:szCs w:val="22"/>
        </w:rPr>
        <w:t xml:space="preserve"> and Tsai, 2020), raising the possibility that scarcity-driven acquisition is sometimes an adaptive response to deprivation rather than a symptom of a discrete disorder. Classification therefore risks medicalising behaviour partly shaped by culture, poverty, or circumstance, though identifiable distress and impairment remain the counter-argument for retaining a clinical threshold</w:t>
      </w:r>
      <w:r w:rsidR="005254C9">
        <w:rPr>
          <w:rFonts w:ascii="Arial" w:hAnsi="Arial" w:cs="Arial"/>
          <w:color w:val="0B0B0B"/>
          <w:sz w:val="22"/>
          <w:szCs w:val="22"/>
        </w:rPr>
        <w:t>.</w:t>
      </w:r>
    </w:p>
    <w:p w14:paraId="19FD8147" w14:textId="77777777" w:rsidR="005254C9" w:rsidRDefault="005254C9" w:rsidP="00D761AE">
      <w:pPr>
        <w:pStyle w:val="Heading4"/>
        <w:spacing w:before="120" w:after="0" w:line="360" w:lineRule="auto"/>
        <w:rPr>
          <w:rFonts w:ascii="Arial" w:hAnsi="Arial" w:cs="Arial"/>
          <w:i w:val="0"/>
          <w:color w:val="153D63" w:themeColor="text2" w:themeTint="E6"/>
        </w:rPr>
      </w:pPr>
    </w:p>
    <w:p w14:paraId="474F0164" w14:textId="1606B293" w:rsidR="008E5CB8" w:rsidRPr="005254C9" w:rsidRDefault="008E5CB8" w:rsidP="00D761AE">
      <w:pPr>
        <w:pStyle w:val="Heading4"/>
        <w:spacing w:before="120" w:after="0" w:line="360" w:lineRule="auto"/>
        <w:rPr>
          <w:rFonts w:ascii="Arial" w:hAnsi="Arial" w:cs="Arial"/>
          <w:i w:val="0"/>
          <w:color w:val="153D63" w:themeColor="text2" w:themeTint="E6"/>
        </w:rPr>
      </w:pPr>
      <w:r w:rsidRPr="005254C9">
        <w:rPr>
          <w:rFonts w:ascii="Arial" w:hAnsi="Arial" w:cs="Arial"/>
          <w:i w:val="0"/>
          <w:color w:val="153D63" w:themeColor="text2" w:themeTint="E6"/>
        </w:rPr>
        <w:t>4.2 Childhood Experiences and Attachment</w:t>
      </w:r>
    </w:p>
    <w:p w14:paraId="3CF53903" w14:textId="2D554C66" w:rsidR="008E5CB8" w:rsidRDefault="008E5CB8" w:rsidP="00D761AE">
      <w:pPr>
        <w:pStyle w:val="font-claude-response-body"/>
        <w:spacing w:before="0" w:beforeAutospacing="0" w:after="0" w:afterAutospacing="0" w:line="360" w:lineRule="auto"/>
        <w:rPr>
          <w:rFonts w:ascii="Arial" w:hAnsi="Arial" w:cs="Arial"/>
          <w:color w:val="0B0B0B"/>
          <w:sz w:val="22"/>
          <w:szCs w:val="22"/>
        </w:rPr>
      </w:pPr>
      <w:r w:rsidRPr="00D761AE">
        <w:rPr>
          <w:rFonts w:ascii="Arial" w:hAnsi="Arial" w:cs="Arial"/>
          <w:color w:val="0B0B0B"/>
          <w:sz w:val="22"/>
          <w:szCs w:val="22"/>
        </w:rPr>
        <w:t xml:space="preserve">A growing evidence base links HD to early developmental factors. Chia </w:t>
      </w:r>
      <w:proofErr w:type="spellStart"/>
      <w:r w:rsidRPr="00D761AE">
        <w:rPr>
          <w:rFonts w:ascii="Arial" w:hAnsi="Arial" w:cs="Arial"/>
          <w:color w:val="0B0B0B"/>
          <w:sz w:val="22"/>
          <w:szCs w:val="22"/>
        </w:rPr>
        <w:t>et</w:t>
      </w:r>
      <w:proofErr w:type="spellEnd"/>
      <w:r w:rsidRPr="00D761AE">
        <w:rPr>
          <w:rFonts w:ascii="Arial" w:hAnsi="Arial" w:cs="Arial"/>
          <w:color w:val="0B0B0B"/>
          <w:sz w:val="22"/>
          <w:szCs w:val="22"/>
        </w:rPr>
        <w:t xml:space="preserve"> al.'s systematic review found insecure attachment and trauma exposure linked to more severe hoarding, and low family warmth combined with high control also linked to greater severity (Chia et al., 2021). The authors frame these as vulnerability factors within a broader developmental pathway rather than direct causes. However, the specificity of these factors to hoarding over other disorders remains unclear, and methodological problems and small samples limit the findings (Chia et al., 2021), meaning longitudinal research is needed before childhood adversity can be treated as more than a contributing vulnerability among several interacting factors. </w:t>
      </w:r>
      <w:r w:rsidR="005254C9" w:rsidRPr="00D761AE">
        <w:rPr>
          <w:rFonts w:ascii="Arial" w:hAnsi="Arial" w:cs="Arial"/>
          <w:color w:val="0B0B0B"/>
          <w:sz w:val="22"/>
          <w:szCs w:val="22"/>
        </w:rPr>
        <w:t xml:space="preserve"> </w:t>
      </w:r>
    </w:p>
    <w:p w14:paraId="3C60A319" w14:textId="77777777" w:rsidR="005254C9" w:rsidRPr="00D761AE" w:rsidRDefault="005254C9" w:rsidP="00D761AE">
      <w:pPr>
        <w:pStyle w:val="font-claude-response-body"/>
        <w:spacing w:before="0" w:beforeAutospacing="0" w:after="0" w:afterAutospacing="0" w:line="360" w:lineRule="auto"/>
        <w:rPr>
          <w:rFonts w:ascii="Arial" w:hAnsi="Arial" w:cs="Arial"/>
          <w:color w:val="0B0B0B"/>
          <w:sz w:val="22"/>
          <w:szCs w:val="22"/>
        </w:rPr>
      </w:pPr>
    </w:p>
    <w:p w14:paraId="26990035" w14:textId="77777777" w:rsidR="008E5CB8" w:rsidRPr="005254C9" w:rsidRDefault="008E5CB8" w:rsidP="00D761AE">
      <w:pPr>
        <w:pStyle w:val="Heading4"/>
        <w:spacing w:before="120" w:after="0" w:line="360" w:lineRule="auto"/>
        <w:rPr>
          <w:rFonts w:ascii="Arial" w:hAnsi="Arial" w:cs="Arial"/>
          <w:i w:val="0"/>
          <w:color w:val="153D63" w:themeColor="text2" w:themeTint="E6"/>
        </w:rPr>
      </w:pPr>
      <w:r w:rsidRPr="005254C9">
        <w:rPr>
          <w:rFonts w:ascii="Arial" w:hAnsi="Arial" w:cs="Arial"/>
          <w:i w:val="0"/>
          <w:color w:val="153D63" w:themeColor="text2" w:themeTint="E6"/>
        </w:rPr>
        <w:t>4.3 Neurodivergence and Reclassification</w:t>
      </w:r>
    </w:p>
    <w:p w14:paraId="56A9BC1B" w14:textId="77777777" w:rsidR="008E5CB8" w:rsidRPr="00D761AE" w:rsidRDefault="008E5CB8" w:rsidP="00D761AE">
      <w:pPr>
        <w:pStyle w:val="font-claude-response-body"/>
        <w:spacing w:before="0" w:beforeAutospacing="0" w:after="0" w:afterAutospacing="0" w:line="360" w:lineRule="auto"/>
        <w:rPr>
          <w:rFonts w:ascii="Arial" w:hAnsi="Arial" w:cs="Arial"/>
          <w:color w:val="0B0B0B"/>
          <w:sz w:val="22"/>
          <w:szCs w:val="22"/>
        </w:rPr>
      </w:pPr>
      <w:r w:rsidRPr="00D761AE">
        <w:rPr>
          <w:rFonts w:ascii="Arial" w:hAnsi="Arial" w:cs="Arial"/>
          <w:color w:val="0B0B0B"/>
          <w:sz w:val="22"/>
          <w:szCs w:val="22"/>
        </w:rPr>
        <w:t xml:space="preserve">HD also shows meaningful overlap with neurodevelopmental conditions. Worden and </w:t>
      </w:r>
      <w:proofErr w:type="spellStart"/>
      <w:r w:rsidRPr="00D761AE">
        <w:rPr>
          <w:rFonts w:ascii="Arial" w:hAnsi="Arial" w:cs="Arial"/>
          <w:color w:val="0B0B0B"/>
          <w:sz w:val="22"/>
          <w:szCs w:val="22"/>
        </w:rPr>
        <w:t>Tolin</w:t>
      </w:r>
      <w:proofErr w:type="spellEnd"/>
      <w:r w:rsidRPr="00D761AE">
        <w:rPr>
          <w:rFonts w:ascii="Arial" w:hAnsi="Arial" w:cs="Arial"/>
          <w:color w:val="0B0B0B"/>
          <w:sz w:val="22"/>
          <w:szCs w:val="22"/>
        </w:rPr>
        <w:t xml:space="preserve"> (2023) found inattentive ADHD symptoms common among people with </w:t>
      </w:r>
      <w:proofErr w:type="gramStart"/>
      <w:r w:rsidRPr="00D761AE">
        <w:rPr>
          <w:rFonts w:ascii="Arial" w:hAnsi="Arial" w:cs="Arial"/>
          <w:color w:val="0B0B0B"/>
          <w:sz w:val="22"/>
          <w:szCs w:val="22"/>
        </w:rPr>
        <w:t>HD, but</w:t>
      </w:r>
      <w:proofErr w:type="gramEnd"/>
      <w:r w:rsidRPr="00D761AE">
        <w:rPr>
          <w:rFonts w:ascii="Arial" w:hAnsi="Arial" w:cs="Arial"/>
          <w:color w:val="0B0B0B"/>
          <w:sz w:val="22"/>
          <w:szCs w:val="22"/>
        </w:rPr>
        <w:t xml:space="preserve"> questioned whether these represent genuine comorbidity or are better understood as intrinsic to </w:t>
      </w:r>
      <w:r w:rsidRPr="00D761AE">
        <w:rPr>
          <w:rFonts w:ascii="Arial" w:hAnsi="Arial" w:cs="Arial"/>
          <w:color w:val="0B0B0B"/>
          <w:sz w:val="22"/>
          <w:szCs w:val="22"/>
        </w:rPr>
        <w:lastRenderedPageBreak/>
        <w:t xml:space="preserve">hoarding itself, since criteria such as disorganisation may simply reflect clutter rather than a separate attentional impairment. Similarly, </w:t>
      </w:r>
      <w:proofErr w:type="spellStart"/>
      <w:r w:rsidRPr="00D761AE">
        <w:rPr>
          <w:rFonts w:ascii="Arial" w:hAnsi="Arial" w:cs="Arial"/>
          <w:color w:val="0B0B0B"/>
          <w:sz w:val="22"/>
          <w:szCs w:val="22"/>
        </w:rPr>
        <w:t>Abouzed</w:t>
      </w:r>
      <w:proofErr w:type="spellEnd"/>
      <w:r w:rsidRPr="00D761AE">
        <w:rPr>
          <w:rFonts w:ascii="Arial" w:hAnsi="Arial" w:cs="Arial"/>
          <w:color w:val="0B0B0B"/>
          <w:sz w:val="22"/>
          <w:szCs w:val="22"/>
        </w:rPr>
        <w:t xml:space="preserve"> et al. (2024) found hoarding behaviours positively correlated with autism traits in a high-functioning autistic sample, plausibly linked to cognitive inflexibility and restricted interests rather than the emotional attachment central to CBT models of HD. Rather than treating hoarding as inherently a marker of neurodivergence, this overlap raises a more productive question: whether current HD classification, built around a single presentation, adequately captures distinct pathways to hoarding behaviour, and whether refinement is needed to distinguish executive-function-driven presentations from attachment- or belief-driven ones for treatment purposes.</w:t>
      </w:r>
    </w:p>
    <w:p w14:paraId="48A24341" w14:textId="77777777" w:rsidR="008E5CB8" w:rsidRPr="00D761AE" w:rsidRDefault="008E5CB8" w:rsidP="00D761AE">
      <w:pPr>
        <w:pStyle w:val="font-claude-response-body"/>
        <w:spacing w:before="0" w:beforeAutospacing="0" w:after="0" w:afterAutospacing="0" w:line="360" w:lineRule="auto"/>
        <w:rPr>
          <w:rFonts w:ascii="Arial" w:hAnsi="Arial" w:cs="Arial"/>
          <w:color w:val="0B0B0B"/>
          <w:sz w:val="22"/>
          <w:szCs w:val="22"/>
        </w:rPr>
      </w:pPr>
    </w:p>
    <w:p w14:paraId="13FB0097" w14:textId="77777777" w:rsidR="008E5CB8" w:rsidRPr="005254C9" w:rsidRDefault="008E5CB8" w:rsidP="00D761AE">
      <w:pPr>
        <w:pStyle w:val="Heading3"/>
        <w:spacing w:line="360" w:lineRule="auto"/>
        <w:rPr>
          <w:rFonts w:ascii="Arial Black" w:hAnsi="Arial Black" w:cs="Arial"/>
          <w:b/>
          <w:color w:val="153D63" w:themeColor="text2" w:themeTint="E6"/>
          <w:sz w:val="24"/>
          <w:szCs w:val="24"/>
        </w:rPr>
      </w:pPr>
      <w:r w:rsidRPr="005254C9">
        <w:rPr>
          <w:rFonts w:ascii="Arial Black" w:hAnsi="Arial Black" w:cs="Arial"/>
          <w:b/>
          <w:color w:val="153D63" w:themeColor="text2" w:themeTint="E6"/>
          <w:sz w:val="24"/>
          <w:szCs w:val="24"/>
        </w:rPr>
        <w:t>5. Recommendations</w:t>
      </w:r>
    </w:p>
    <w:p w14:paraId="1F524A85" w14:textId="77777777" w:rsidR="008E5CB8" w:rsidRPr="00D761AE" w:rsidRDefault="008E5CB8" w:rsidP="00D761AE">
      <w:pPr>
        <w:pStyle w:val="NormalWeb"/>
        <w:spacing w:line="360" w:lineRule="auto"/>
        <w:rPr>
          <w:rFonts w:ascii="Arial" w:hAnsi="Arial" w:cs="Arial"/>
          <w:sz w:val="22"/>
          <w:szCs w:val="22"/>
        </w:rPr>
      </w:pPr>
      <w:r w:rsidRPr="00D761AE">
        <w:rPr>
          <w:rStyle w:val="Strong"/>
          <w:rFonts w:ascii="Arial" w:eastAsiaTheme="majorEastAsia" w:hAnsi="Arial" w:cs="Arial"/>
          <w:sz w:val="22"/>
          <w:szCs w:val="22"/>
        </w:rPr>
        <w:t>Recommendation 1 — Improve early identification.</w:t>
      </w:r>
      <w:r w:rsidRPr="00D761AE">
        <w:rPr>
          <w:rFonts w:ascii="Arial" w:hAnsi="Arial" w:cs="Arial"/>
          <w:sz w:val="22"/>
          <w:szCs w:val="22"/>
        </w:rPr>
        <w:t xml:space="preserve"> Given that help-seeking is often delayed by decades and insight is frequently limited (</w:t>
      </w:r>
      <w:proofErr w:type="spellStart"/>
      <w:r w:rsidRPr="00D761AE">
        <w:rPr>
          <w:rFonts w:ascii="Arial" w:hAnsi="Arial" w:cs="Arial"/>
          <w:sz w:val="22"/>
          <w:szCs w:val="22"/>
        </w:rPr>
        <w:t>Morein</w:t>
      </w:r>
      <w:proofErr w:type="spellEnd"/>
      <w:r w:rsidRPr="00D761AE">
        <w:rPr>
          <w:rFonts w:ascii="Arial" w:hAnsi="Arial" w:cs="Arial"/>
          <w:sz w:val="22"/>
          <w:szCs w:val="22"/>
        </w:rPr>
        <w:t>-Zamir and Ahluwalia, 2023), primary care and community services should be equipped with brief screening tools and training to recognise hoarding behaviours before they reach crisis point, reducing reliance on late-stage, safeguarding-driven intervention.</w:t>
      </w:r>
    </w:p>
    <w:p w14:paraId="3301837E" w14:textId="77777777" w:rsidR="008E5CB8" w:rsidRPr="00D761AE" w:rsidRDefault="008E5CB8" w:rsidP="00D761AE">
      <w:pPr>
        <w:pStyle w:val="NormalWeb"/>
        <w:spacing w:line="360" w:lineRule="auto"/>
        <w:rPr>
          <w:rFonts w:ascii="Arial" w:hAnsi="Arial" w:cs="Arial"/>
          <w:sz w:val="22"/>
          <w:szCs w:val="22"/>
        </w:rPr>
      </w:pPr>
      <w:r w:rsidRPr="00D761AE">
        <w:rPr>
          <w:rStyle w:val="Strong"/>
          <w:rFonts w:ascii="Arial" w:eastAsiaTheme="majorEastAsia" w:hAnsi="Arial" w:cs="Arial"/>
          <w:sz w:val="22"/>
          <w:szCs w:val="22"/>
        </w:rPr>
        <w:t>Recommendation 2 — Use multidisciplinary assessment.</w:t>
      </w:r>
      <w:r w:rsidRPr="00D761AE">
        <w:rPr>
          <w:rFonts w:ascii="Arial" w:hAnsi="Arial" w:cs="Arial"/>
          <w:sz w:val="22"/>
          <w:szCs w:val="22"/>
        </w:rPr>
        <w:t xml:space="preserve"> Because HD intersects with fire risk, safeguarding, and housing insecurity (Porter and Hanson, 2022), assessment should routinely combine mental health, social care, and housing or environmental input from the outset, rather than treating these as separate referral pathways triggered only once risk escalates.</w:t>
      </w:r>
    </w:p>
    <w:p w14:paraId="5C1E54EF" w14:textId="77777777" w:rsidR="008E5CB8" w:rsidRPr="00D761AE" w:rsidRDefault="008E5CB8" w:rsidP="00D761AE">
      <w:pPr>
        <w:pStyle w:val="NormalWeb"/>
        <w:spacing w:line="360" w:lineRule="auto"/>
        <w:rPr>
          <w:rFonts w:ascii="Arial" w:hAnsi="Arial" w:cs="Arial"/>
          <w:sz w:val="22"/>
          <w:szCs w:val="22"/>
        </w:rPr>
      </w:pPr>
      <w:r w:rsidRPr="00D761AE">
        <w:rPr>
          <w:rStyle w:val="Strong"/>
          <w:rFonts w:ascii="Arial" w:eastAsiaTheme="majorEastAsia" w:hAnsi="Arial" w:cs="Arial"/>
          <w:sz w:val="22"/>
          <w:szCs w:val="22"/>
        </w:rPr>
        <w:t>Recommendation 3 — Develop more individualised treatment.</w:t>
      </w:r>
      <w:r w:rsidRPr="00D761AE">
        <w:rPr>
          <w:rFonts w:ascii="Arial" w:hAnsi="Arial" w:cs="Arial"/>
          <w:sz w:val="22"/>
          <w:szCs w:val="22"/>
        </w:rPr>
        <w:t xml:space="preserve"> Since CBT reduces rather than resolves hoarding for many clients (Rodgers, McDonald and Wootton, 2021), treatment planning should move beyond a single standardised protocol, tailoring the balance of exposure, cognitive work, and practical support to insight level, comorbidity, and the presence of executive-function versus attachment-driven presentations.</w:t>
      </w:r>
    </w:p>
    <w:p w14:paraId="12AD3EB3" w14:textId="77777777" w:rsidR="008E5CB8" w:rsidRPr="00D761AE" w:rsidRDefault="008E5CB8" w:rsidP="00D761AE">
      <w:pPr>
        <w:pStyle w:val="NormalWeb"/>
        <w:spacing w:line="360" w:lineRule="auto"/>
        <w:rPr>
          <w:rFonts w:ascii="Arial" w:hAnsi="Arial" w:cs="Arial"/>
          <w:sz w:val="22"/>
          <w:szCs w:val="22"/>
        </w:rPr>
      </w:pPr>
      <w:r w:rsidRPr="00D761AE">
        <w:rPr>
          <w:rStyle w:val="Strong"/>
          <w:rFonts w:ascii="Arial" w:eastAsiaTheme="majorEastAsia" w:hAnsi="Arial" w:cs="Arial"/>
          <w:sz w:val="22"/>
          <w:szCs w:val="22"/>
        </w:rPr>
        <w:t>Recommendation 4 — Expand research.</w:t>
      </w:r>
      <w:r w:rsidRPr="00D761AE">
        <w:rPr>
          <w:rFonts w:ascii="Arial" w:hAnsi="Arial" w:cs="Arial"/>
          <w:sz w:val="22"/>
          <w:szCs w:val="22"/>
        </w:rPr>
        <w:t xml:space="preserve"> Priority areas include childhood and developmental factors, neurodivergence, long-term treatment outcomes beyond one-year follow-up, and culturally sensitive approaches that avoid conflating deprivation-driven accumulation with clinical hoarding.</w:t>
      </w:r>
    </w:p>
    <w:p w14:paraId="1B4B25C2" w14:textId="77777777" w:rsidR="008E5CB8" w:rsidRPr="00D761AE" w:rsidRDefault="008E5CB8" w:rsidP="00D761AE">
      <w:pPr>
        <w:pStyle w:val="NormalWeb"/>
        <w:spacing w:line="360" w:lineRule="auto"/>
        <w:rPr>
          <w:rFonts w:ascii="Arial" w:hAnsi="Arial" w:cs="Arial"/>
          <w:sz w:val="22"/>
          <w:szCs w:val="22"/>
        </w:rPr>
      </w:pPr>
      <w:r w:rsidRPr="00D761AE">
        <w:rPr>
          <w:rFonts w:ascii="Arial" w:hAnsi="Arial" w:cs="Arial"/>
          <w:sz w:val="22"/>
          <w:szCs w:val="22"/>
        </w:rPr>
        <w:t xml:space="preserve">For practice, this means earlier, less adversarial engagement; for policy, sustained investment in multi-agency hoarding protocols and staff training; and for research, </w:t>
      </w:r>
      <w:r w:rsidRPr="00D761AE">
        <w:rPr>
          <w:rFonts w:ascii="Arial" w:hAnsi="Arial" w:cs="Arial"/>
          <w:sz w:val="22"/>
          <w:szCs w:val="22"/>
        </w:rPr>
        <w:lastRenderedPageBreak/>
        <w:t>longitudinal and culturally diverse samples capable of testing which vulnerability factors are causal rather than merely correlated.</w:t>
      </w:r>
    </w:p>
    <w:p w14:paraId="2CF436F4" w14:textId="2ABB8CFC" w:rsidR="008E5CB8" w:rsidRPr="00D761AE" w:rsidRDefault="008E5CB8" w:rsidP="00D761AE">
      <w:pPr>
        <w:spacing w:line="360" w:lineRule="auto"/>
        <w:rPr>
          <w:rFonts w:ascii="Arial" w:hAnsi="Arial" w:cs="Arial"/>
          <w:sz w:val="22"/>
          <w:szCs w:val="22"/>
        </w:rPr>
      </w:pPr>
    </w:p>
    <w:p w14:paraId="2FED0050" w14:textId="77777777" w:rsidR="008E5CB8" w:rsidRPr="001A6385" w:rsidRDefault="008E5CB8" w:rsidP="00D761AE">
      <w:pPr>
        <w:pStyle w:val="Heading3"/>
        <w:spacing w:line="360" w:lineRule="auto"/>
        <w:rPr>
          <w:rFonts w:ascii="Arial Black" w:hAnsi="Arial Black" w:cs="Arial"/>
          <w:b/>
          <w:color w:val="153D63" w:themeColor="text2" w:themeTint="E6"/>
          <w:sz w:val="24"/>
          <w:szCs w:val="24"/>
        </w:rPr>
      </w:pPr>
      <w:r w:rsidRPr="001A6385">
        <w:rPr>
          <w:rFonts w:ascii="Arial Black" w:hAnsi="Arial Black" w:cs="Arial"/>
          <w:b/>
          <w:color w:val="153D63" w:themeColor="text2" w:themeTint="E6"/>
          <w:sz w:val="24"/>
          <w:szCs w:val="24"/>
        </w:rPr>
        <w:t>6. Conclusion</w:t>
      </w:r>
    </w:p>
    <w:p w14:paraId="3231D674" w14:textId="77777777" w:rsidR="008E5CB8" w:rsidRPr="00D761AE" w:rsidRDefault="008E5CB8" w:rsidP="00D761AE">
      <w:pPr>
        <w:pStyle w:val="NormalWeb"/>
        <w:spacing w:line="360" w:lineRule="auto"/>
        <w:rPr>
          <w:rFonts w:ascii="Arial" w:hAnsi="Arial" w:cs="Arial"/>
          <w:sz w:val="22"/>
          <w:szCs w:val="22"/>
        </w:rPr>
      </w:pPr>
      <w:r w:rsidRPr="00D761AE">
        <w:rPr>
          <w:rFonts w:ascii="Arial" w:hAnsi="Arial" w:cs="Arial"/>
          <w:sz w:val="22"/>
          <w:szCs w:val="22"/>
        </w:rPr>
        <w:t xml:space="preserve">ICD-11 recognition has meaningfully improved the classification of hoarding disorder, distinguishing it from OCD and formalising insight specifiers that acknowledge how presentations vary between individuals. Diagnosis nonetheless remains complex, requiring careful differentiation from culturally accepted collecting, poverty- or homelessness-driven accumulation, and overlapping neurodevelopmental and psychiatric conditions. CBT holds the strongest treatment evidence available but is not universally effective, typically reducing rather than fully resolving symptoms, particularly where insight is </w:t>
      </w:r>
      <w:proofErr w:type="gramStart"/>
      <w:r w:rsidRPr="00D761AE">
        <w:rPr>
          <w:rFonts w:ascii="Arial" w:hAnsi="Arial" w:cs="Arial"/>
          <w:sz w:val="22"/>
          <w:szCs w:val="22"/>
        </w:rPr>
        <w:t>limited</w:t>
      </w:r>
      <w:proofErr w:type="gramEnd"/>
      <w:r w:rsidRPr="00D761AE">
        <w:rPr>
          <w:rFonts w:ascii="Arial" w:hAnsi="Arial" w:cs="Arial"/>
          <w:sz w:val="22"/>
          <w:szCs w:val="22"/>
        </w:rPr>
        <w:t xml:space="preserve"> or comorbidities are present. Rehabilitation requires more than environmental clean-up, since forced clearances risk worsening distress without addressing the disorder's underlying psychological mechanisms. Developmental, attachment, and neurodivergence perspectives offer valuable, if still preliminary, insight into why hoarding develops and why it manifests so differently across individuals. Taken together, these findings support multidisciplinary, person-centred approaches that integrate psychological treatment with housing, safeguarding, and social care, rather than treating hoarding disorder as a single, uniformly diagnosable or uniformly treatable condition.</w:t>
      </w:r>
    </w:p>
    <w:p w14:paraId="74EDFB6B" w14:textId="602296C9" w:rsidR="008E5CB8" w:rsidRDefault="008E5CB8" w:rsidP="00D761AE">
      <w:pPr>
        <w:spacing w:line="360" w:lineRule="auto"/>
        <w:rPr>
          <w:rFonts w:ascii="Arial" w:hAnsi="Arial" w:cs="Arial"/>
          <w:color w:val="0B0B0B"/>
          <w:sz w:val="22"/>
          <w:szCs w:val="22"/>
        </w:rPr>
      </w:pPr>
    </w:p>
    <w:p w14:paraId="29FF82B3" w14:textId="4A45D329" w:rsidR="00F5179A" w:rsidRDefault="00F5179A" w:rsidP="00D761AE">
      <w:pPr>
        <w:spacing w:line="360" w:lineRule="auto"/>
        <w:rPr>
          <w:rFonts w:ascii="Arial" w:hAnsi="Arial" w:cs="Arial"/>
          <w:color w:val="0B0B0B"/>
          <w:sz w:val="22"/>
          <w:szCs w:val="22"/>
        </w:rPr>
      </w:pPr>
    </w:p>
    <w:p w14:paraId="73C2A655" w14:textId="0D73EDF0" w:rsidR="00F5179A" w:rsidRDefault="00F5179A" w:rsidP="00D761AE">
      <w:pPr>
        <w:spacing w:line="360" w:lineRule="auto"/>
        <w:rPr>
          <w:rFonts w:ascii="Arial" w:hAnsi="Arial" w:cs="Arial"/>
          <w:color w:val="0B0B0B"/>
          <w:sz w:val="22"/>
          <w:szCs w:val="22"/>
        </w:rPr>
      </w:pPr>
    </w:p>
    <w:p w14:paraId="337BC8C2" w14:textId="2ED199A3" w:rsidR="00F5179A" w:rsidRDefault="00F5179A" w:rsidP="00D761AE">
      <w:pPr>
        <w:spacing w:line="360" w:lineRule="auto"/>
        <w:rPr>
          <w:rFonts w:ascii="Arial" w:hAnsi="Arial" w:cs="Arial"/>
          <w:color w:val="0B0B0B"/>
          <w:sz w:val="22"/>
          <w:szCs w:val="22"/>
        </w:rPr>
      </w:pPr>
    </w:p>
    <w:p w14:paraId="39FFCFEB" w14:textId="25D82BB6" w:rsidR="00F5179A" w:rsidRDefault="00F5179A" w:rsidP="00D761AE">
      <w:pPr>
        <w:spacing w:line="360" w:lineRule="auto"/>
        <w:rPr>
          <w:rFonts w:ascii="Arial" w:hAnsi="Arial" w:cs="Arial"/>
          <w:color w:val="0B0B0B"/>
          <w:sz w:val="22"/>
          <w:szCs w:val="22"/>
        </w:rPr>
      </w:pPr>
    </w:p>
    <w:p w14:paraId="7111A793" w14:textId="4D56B706" w:rsidR="00F5179A" w:rsidRDefault="00F5179A" w:rsidP="00D761AE">
      <w:pPr>
        <w:spacing w:line="360" w:lineRule="auto"/>
        <w:rPr>
          <w:rFonts w:ascii="Arial" w:hAnsi="Arial" w:cs="Arial"/>
          <w:color w:val="0B0B0B"/>
          <w:sz w:val="22"/>
          <w:szCs w:val="22"/>
        </w:rPr>
      </w:pPr>
    </w:p>
    <w:p w14:paraId="12B84E81" w14:textId="43A85EDD" w:rsidR="00F5179A" w:rsidRDefault="00F5179A" w:rsidP="00D761AE">
      <w:pPr>
        <w:spacing w:line="360" w:lineRule="auto"/>
        <w:rPr>
          <w:rFonts w:ascii="Arial" w:hAnsi="Arial" w:cs="Arial"/>
          <w:color w:val="0B0B0B"/>
          <w:sz w:val="22"/>
          <w:szCs w:val="22"/>
        </w:rPr>
      </w:pPr>
    </w:p>
    <w:p w14:paraId="2D4C2060" w14:textId="5C82BF6A" w:rsidR="00F5179A" w:rsidRDefault="00F5179A" w:rsidP="00D761AE">
      <w:pPr>
        <w:spacing w:line="360" w:lineRule="auto"/>
        <w:rPr>
          <w:rFonts w:ascii="Arial" w:hAnsi="Arial" w:cs="Arial"/>
          <w:color w:val="0B0B0B"/>
          <w:sz w:val="22"/>
          <w:szCs w:val="22"/>
        </w:rPr>
      </w:pPr>
    </w:p>
    <w:p w14:paraId="1EF63CB9" w14:textId="6784384E" w:rsidR="00F5179A" w:rsidRDefault="00F5179A" w:rsidP="00D761AE">
      <w:pPr>
        <w:spacing w:line="360" w:lineRule="auto"/>
        <w:rPr>
          <w:rFonts w:ascii="Arial" w:hAnsi="Arial" w:cs="Arial"/>
          <w:color w:val="0B0B0B"/>
          <w:sz w:val="22"/>
          <w:szCs w:val="22"/>
        </w:rPr>
      </w:pPr>
    </w:p>
    <w:p w14:paraId="567103E4" w14:textId="48AF2FD3" w:rsidR="00F5179A" w:rsidRDefault="00F5179A" w:rsidP="00D761AE">
      <w:pPr>
        <w:spacing w:line="360" w:lineRule="auto"/>
        <w:rPr>
          <w:rFonts w:ascii="Arial" w:hAnsi="Arial" w:cs="Arial"/>
          <w:color w:val="0B0B0B"/>
          <w:sz w:val="22"/>
          <w:szCs w:val="22"/>
        </w:rPr>
      </w:pPr>
    </w:p>
    <w:p w14:paraId="03CA7E02" w14:textId="0A50C9BA" w:rsidR="00F5179A" w:rsidRDefault="00F5179A" w:rsidP="00D761AE">
      <w:pPr>
        <w:spacing w:line="360" w:lineRule="auto"/>
        <w:rPr>
          <w:rFonts w:ascii="Arial" w:hAnsi="Arial" w:cs="Arial"/>
          <w:color w:val="0B0B0B"/>
          <w:sz w:val="22"/>
          <w:szCs w:val="22"/>
        </w:rPr>
      </w:pPr>
    </w:p>
    <w:p w14:paraId="5857A47C" w14:textId="77777777" w:rsidR="00F5179A" w:rsidRPr="00D761AE" w:rsidRDefault="00F5179A" w:rsidP="00D761AE">
      <w:pPr>
        <w:spacing w:line="360" w:lineRule="auto"/>
        <w:rPr>
          <w:rFonts w:ascii="Arial" w:hAnsi="Arial" w:cs="Arial"/>
          <w:color w:val="0B0B0B"/>
          <w:sz w:val="22"/>
          <w:szCs w:val="22"/>
        </w:rPr>
      </w:pPr>
    </w:p>
    <w:p w14:paraId="2C5FB17A" w14:textId="77777777" w:rsidR="00F5179A" w:rsidRPr="00F5179A" w:rsidRDefault="00F5179A" w:rsidP="00F5179A">
      <w:pPr>
        <w:pStyle w:val="Heading3"/>
        <w:rPr>
          <w:rFonts w:ascii="Arial Black" w:hAnsi="Arial Black"/>
          <w:b/>
          <w:color w:val="153D63" w:themeColor="text2" w:themeTint="E6"/>
          <w:sz w:val="24"/>
          <w:szCs w:val="24"/>
        </w:rPr>
      </w:pPr>
      <w:r w:rsidRPr="00F5179A">
        <w:rPr>
          <w:rFonts w:ascii="Arial Black" w:hAnsi="Arial Black"/>
          <w:b/>
          <w:color w:val="153D63" w:themeColor="text2" w:themeTint="E6"/>
          <w:sz w:val="24"/>
          <w:szCs w:val="24"/>
        </w:rPr>
        <w:lastRenderedPageBreak/>
        <w:t>References</w:t>
      </w:r>
    </w:p>
    <w:p w14:paraId="6E285C20" w14:textId="5A07AFE1" w:rsidR="00F5179A" w:rsidRPr="00F5179A" w:rsidRDefault="00F5179A" w:rsidP="00F5179A">
      <w:pPr>
        <w:pStyle w:val="NormalWeb"/>
        <w:spacing w:line="360" w:lineRule="auto"/>
        <w:rPr>
          <w:rFonts w:ascii="Arial" w:hAnsi="Arial" w:cs="Arial"/>
          <w:sz w:val="22"/>
          <w:szCs w:val="22"/>
        </w:rPr>
      </w:pPr>
      <w:proofErr w:type="spellStart"/>
      <w:r>
        <w:t>Abouzed</w:t>
      </w:r>
      <w:proofErr w:type="spellEnd"/>
      <w:r>
        <w:t xml:space="preserve">, M., </w:t>
      </w:r>
      <w:proofErr w:type="spellStart"/>
      <w:r>
        <w:t>Gabr</w:t>
      </w:r>
      <w:proofErr w:type="spellEnd"/>
      <w:r>
        <w:t xml:space="preserve">, A., </w:t>
      </w:r>
      <w:proofErr w:type="spellStart"/>
      <w:r>
        <w:t>Elag</w:t>
      </w:r>
      <w:proofErr w:type="spellEnd"/>
      <w:r>
        <w:t xml:space="preserve">, K.A., Soliman, M., </w:t>
      </w:r>
      <w:proofErr w:type="spellStart"/>
      <w:r>
        <w:t>Elsaadouni</w:t>
      </w:r>
      <w:proofErr w:type="spellEnd"/>
      <w:r>
        <w:t xml:space="preserve">, N., </w:t>
      </w:r>
      <w:proofErr w:type="spellStart"/>
      <w:r>
        <w:t>Abou</w:t>
      </w:r>
      <w:proofErr w:type="spellEnd"/>
      <w:r>
        <w:t xml:space="preserve"> </w:t>
      </w:r>
      <w:proofErr w:type="spellStart"/>
      <w:r>
        <w:t>Elzahab</w:t>
      </w:r>
      <w:proofErr w:type="spellEnd"/>
      <w:r>
        <w:t xml:space="preserve">, N., Barakat, </w:t>
      </w:r>
      <w:r w:rsidRPr="00F5179A">
        <w:rPr>
          <w:rFonts w:ascii="Arial" w:hAnsi="Arial" w:cs="Arial"/>
          <w:sz w:val="22"/>
          <w:szCs w:val="22"/>
        </w:rPr>
        <w:t xml:space="preserve">M. and </w:t>
      </w:r>
      <w:proofErr w:type="spellStart"/>
      <w:r w:rsidRPr="00F5179A">
        <w:rPr>
          <w:rFonts w:ascii="Arial" w:hAnsi="Arial" w:cs="Arial"/>
          <w:sz w:val="22"/>
          <w:szCs w:val="22"/>
        </w:rPr>
        <w:t>Elsherbiny</w:t>
      </w:r>
      <w:proofErr w:type="spellEnd"/>
      <w:r w:rsidRPr="00F5179A">
        <w:rPr>
          <w:rFonts w:ascii="Arial" w:hAnsi="Arial" w:cs="Arial"/>
          <w:sz w:val="22"/>
          <w:szCs w:val="22"/>
        </w:rPr>
        <w:t xml:space="preserve">, A. (2024) ‘The prevalence, correlates, and clinical implications of hoarding </w:t>
      </w:r>
      <w:proofErr w:type="spellStart"/>
      <w:r w:rsidRPr="00F5179A">
        <w:rPr>
          <w:rFonts w:ascii="Arial" w:hAnsi="Arial" w:cs="Arial"/>
          <w:sz w:val="22"/>
          <w:szCs w:val="22"/>
        </w:rPr>
        <w:t>behaviors</w:t>
      </w:r>
      <w:proofErr w:type="spellEnd"/>
      <w:r w:rsidRPr="00F5179A">
        <w:rPr>
          <w:rFonts w:ascii="Arial" w:hAnsi="Arial" w:cs="Arial"/>
          <w:sz w:val="22"/>
          <w:szCs w:val="22"/>
        </w:rPr>
        <w:t xml:space="preserve"> in high-functioning autism’, </w:t>
      </w:r>
      <w:r w:rsidRPr="00F5179A">
        <w:rPr>
          <w:rStyle w:val="Emphasis"/>
          <w:rFonts w:ascii="Arial" w:eastAsiaTheme="majorEastAsia" w:hAnsi="Arial" w:cs="Arial"/>
          <w:sz w:val="22"/>
          <w:szCs w:val="22"/>
        </w:rPr>
        <w:t>Scientific Reports</w:t>
      </w:r>
      <w:r w:rsidRPr="00F5179A">
        <w:rPr>
          <w:rFonts w:ascii="Arial" w:hAnsi="Arial" w:cs="Arial"/>
          <w:sz w:val="22"/>
          <w:szCs w:val="22"/>
        </w:rPr>
        <w:t xml:space="preserve">, 14(1), pp. 1–7. Available at: </w:t>
      </w:r>
      <w:hyperlink r:id="rId8" w:tgtFrame="_blank" w:history="1">
        <w:r w:rsidRPr="00F5179A">
          <w:rPr>
            <w:rStyle w:val="Hyperlink"/>
            <w:rFonts w:ascii="Arial" w:eastAsiaTheme="majorEastAsia" w:hAnsi="Arial" w:cs="Arial"/>
            <w:sz w:val="22"/>
            <w:szCs w:val="22"/>
          </w:rPr>
          <w:t>https://doi.org/10.1038/s41598-024-75371-8</w:t>
        </w:r>
      </w:hyperlink>
      <w:r w:rsidRPr="00F5179A">
        <w:rPr>
          <w:rFonts w:ascii="Arial" w:hAnsi="Arial" w:cs="Arial"/>
          <w:sz w:val="22"/>
          <w:szCs w:val="22"/>
        </w:rPr>
        <w:t xml:space="preserve"> (Accessed: </w:t>
      </w:r>
      <w:r w:rsidR="007425CB">
        <w:rPr>
          <w:rFonts w:ascii="Arial" w:hAnsi="Arial" w:cs="Arial"/>
          <w:sz w:val="22"/>
          <w:szCs w:val="22"/>
        </w:rPr>
        <w:t>18</w:t>
      </w:r>
      <w:r w:rsidRPr="00F5179A">
        <w:rPr>
          <w:rFonts w:ascii="Arial" w:hAnsi="Arial" w:cs="Arial"/>
          <w:sz w:val="22"/>
          <w:szCs w:val="22"/>
        </w:rPr>
        <w:t xml:space="preserve"> August 2026).</w:t>
      </w:r>
    </w:p>
    <w:p w14:paraId="1D632A6B" w14:textId="270331DE" w:rsidR="00F5179A" w:rsidRPr="00F5179A" w:rsidRDefault="00F5179A" w:rsidP="00F5179A">
      <w:pPr>
        <w:pStyle w:val="NormalWeb"/>
        <w:spacing w:line="360" w:lineRule="auto"/>
        <w:rPr>
          <w:rFonts w:ascii="Arial" w:hAnsi="Arial" w:cs="Arial"/>
          <w:sz w:val="22"/>
          <w:szCs w:val="22"/>
        </w:rPr>
      </w:pPr>
      <w:proofErr w:type="spellStart"/>
      <w:r w:rsidRPr="00F5179A">
        <w:rPr>
          <w:rFonts w:ascii="Arial" w:hAnsi="Arial" w:cs="Arial"/>
          <w:sz w:val="22"/>
          <w:szCs w:val="22"/>
        </w:rPr>
        <w:t>Bratiotis</w:t>
      </w:r>
      <w:proofErr w:type="spellEnd"/>
      <w:r w:rsidRPr="00F5179A">
        <w:rPr>
          <w:rFonts w:ascii="Arial" w:hAnsi="Arial" w:cs="Arial"/>
          <w:sz w:val="22"/>
          <w:szCs w:val="22"/>
        </w:rPr>
        <w:t xml:space="preserve">, C., </w:t>
      </w:r>
      <w:proofErr w:type="spellStart"/>
      <w:r w:rsidRPr="00F5179A">
        <w:rPr>
          <w:rFonts w:ascii="Arial" w:hAnsi="Arial" w:cs="Arial"/>
          <w:sz w:val="22"/>
          <w:szCs w:val="22"/>
        </w:rPr>
        <w:t>Muroff</w:t>
      </w:r>
      <w:proofErr w:type="spellEnd"/>
      <w:r w:rsidRPr="00F5179A">
        <w:rPr>
          <w:rFonts w:ascii="Arial" w:hAnsi="Arial" w:cs="Arial"/>
          <w:sz w:val="22"/>
          <w:szCs w:val="22"/>
        </w:rPr>
        <w:t xml:space="preserve">, J. and Lin, N.X.Y. (2021) ‘Hoarding disorder: Development in conceptualization, intervention, and evaluation’, </w:t>
      </w:r>
      <w:r w:rsidRPr="00F5179A">
        <w:rPr>
          <w:rStyle w:val="Emphasis"/>
          <w:rFonts w:ascii="Arial" w:eastAsiaTheme="majorEastAsia" w:hAnsi="Arial" w:cs="Arial"/>
          <w:sz w:val="22"/>
          <w:szCs w:val="22"/>
        </w:rPr>
        <w:t>FOCUS</w:t>
      </w:r>
      <w:r w:rsidRPr="00F5179A">
        <w:rPr>
          <w:rFonts w:ascii="Arial" w:hAnsi="Arial" w:cs="Arial"/>
          <w:sz w:val="22"/>
          <w:szCs w:val="22"/>
        </w:rPr>
        <w:t xml:space="preserve">, 19(4), pp. 392–404. </w:t>
      </w:r>
      <w:proofErr w:type="spellStart"/>
      <w:r w:rsidRPr="00F5179A">
        <w:rPr>
          <w:rFonts w:ascii="Arial" w:hAnsi="Arial" w:cs="Arial"/>
          <w:sz w:val="22"/>
          <w:szCs w:val="22"/>
        </w:rPr>
        <w:t>doi</w:t>
      </w:r>
      <w:proofErr w:type="spellEnd"/>
      <w:r w:rsidRPr="00F5179A">
        <w:rPr>
          <w:rFonts w:ascii="Arial" w:hAnsi="Arial" w:cs="Arial"/>
          <w:sz w:val="22"/>
          <w:szCs w:val="22"/>
        </w:rPr>
        <w:t xml:space="preserve">: 10.1176/appi.focus.20210016. Available at: </w:t>
      </w:r>
      <w:hyperlink r:id="rId9" w:tgtFrame="_blank" w:history="1">
        <w:r w:rsidRPr="00F5179A">
          <w:rPr>
            <w:rStyle w:val="Hyperlink"/>
            <w:rFonts w:ascii="Arial" w:eastAsiaTheme="majorEastAsia" w:hAnsi="Arial" w:cs="Arial"/>
            <w:sz w:val="22"/>
            <w:szCs w:val="22"/>
          </w:rPr>
          <w:t>https://pmc.ncbi.nlm.nih.gov/articles/PMC9063579/</w:t>
        </w:r>
      </w:hyperlink>
      <w:r w:rsidRPr="00F5179A">
        <w:rPr>
          <w:rFonts w:ascii="Arial" w:hAnsi="Arial" w:cs="Arial"/>
          <w:sz w:val="22"/>
          <w:szCs w:val="22"/>
        </w:rPr>
        <w:t xml:space="preserve"> (Accessed: </w:t>
      </w:r>
      <w:r w:rsidR="007425CB">
        <w:rPr>
          <w:rFonts w:ascii="Arial" w:hAnsi="Arial" w:cs="Arial"/>
          <w:sz w:val="22"/>
          <w:szCs w:val="22"/>
        </w:rPr>
        <w:t>17</w:t>
      </w:r>
      <w:r w:rsidRPr="00F5179A">
        <w:rPr>
          <w:rFonts w:ascii="Arial" w:hAnsi="Arial" w:cs="Arial"/>
          <w:sz w:val="22"/>
          <w:szCs w:val="22"/>
        </w:rPr>
        <w:t xml:space="preserve"> August 2026).</w:t>
      </w:r>
    </w:p>
    <w:p w14:paraId="005F08D7" w14:textId="3185BF5D" w:rsidR="00F5179A" w:rsidRPr="00F5179A" w:rsidRDefault="00F5179A" w:rsidP="00F5179A">
      <w:pPr>
        <w:pStyle w:val="NormalWeb"/>
        <w:spacing w:line="360" w:lineRule="auto"/>
        <w:rPr>
          <w:rFonts w:ascii="Arial" w:hAnsi="Arial" w:cs="Arial"/>
          <w:sz w:val="22"/>
          <w:szCs w:val="22"/>
        </w:rPr>
      </w:pPr>
      <w:r w:rsidRPr="00F5179A">
        <w:rPr>
          <w:rFonts w:ascii="Arial" w:hAnsi="Arial" w:cs="Arial"/>
          <w:sz w:val="22"/>
          <w:szCs w:val="22"/>
        </w:rPr>
        <w:t xml:space="preserve">Chia, K., </w:t>
      </w:r>
      <w:proofErr w:type="spellStart"/>
      <w:r w:rsidRPr="00F5179A">
        <w:rPr>
          <w:rFonts w:ascii="Arial" w:hAnsi="Arial" w:cs="Arial"/>
          <w:sz w:val="22"/>
          <w:szCs w:val="22"/>
        </w:rPr>
        <w:t>Pasalich</w:t>
      </w:r>
      <w:proofErr w:type="spellEnd"/>
      <w:r w:rsidRPr="00F5179A">
        <w:rPr>
          <w:rFonts w:ascii="Arial" w:hAnsi="Arial" w:cs="Arial"/>
          <w:sz w:val="22"/>
          <w:szCs w:val="22"/>
        </w:rPr>
        <w:t xml:space="preserve">, D.S., </w:t>
      </w:r>
      <w:proofErr w:type="spellStart"/>
      <w:r w:rsidRPr="00F5179A">
        <w:rPr>
          <w:rFonts w:ascii="Arial" w:hAnsi="Arial" w:cs="Arial"/>
          <w:sz w:val="22"/>
          <w:szCs w:val="22"/>
        </w:rPr>
        <w:t>Fassnacht</w:t>
      </w:r>
      <w:proofErr w:type="spellEnd"/>
      <w:r w:rsidRPr="00F5179A">
        <w:rPr>
          <w:rFonts w:ascii="Arial" w:hAnsi="Arial" w:cs="Arial"/>
          <w:sz w:val="22"/>
          <w:szCs w:val="22"/>
        </w:rPr>
        <w:t xml:space="preserve">, D.B., Ali, K., </w:t>
      </w:r>
      <w:proofErr w:type="spellStart"/>
      <w:r w:rsidRPr="00F5179A">
        <w:rPr>
          <w:rFonts w:ascii="Arial" w:hAnsi="Arial" w:cs="Arial"/>
          <w:sz w:val="22"/>
          <w:szCs w:val="22"/>
        </w:rPr>
        <w:t>Kyrios</w:t>
      </w:r>
      <w:proofErr w:type="spellEnd"/>
      <w:r w:rsidRPr="00F5179A">
        <w:rPr>
          <w:rFonts w:ascii="Arial" w:hAnsi="Arial" w:cs="Arial"/>
          <w:sz w:val="22"/>
          <w:szCs w:val="22"/>
        </w:rPr>
        <w:t xml:space="preserve">, M., Maclean, B. and Grisham, J.R. (2021) ‘Interpersonal attachment, early family environment, and trauma in hoarding: A systematic review’, </w:t>
      </w:r>
      <w:r w:rsidRPr="00F5179A">
        <w:rPr>
          <w:rStyle w:val="Emphasis"/>
          <w:rFonts w:ascii="Arial" w:eastAsiaTheme="majorEastAsia" w:hAnsi="Arial" w:cs="Arial"/>
          <w:sz w:val="22"/>
          <w:szCs w:val="22"/>
        </w:rPr>
        <w:t>Clinical Psychology Review</w:t>
      </w:r>
      <w:r w:rsidRPr="00F5179A">
        <w:rPr>
          <w:rFonts w:ascii="Arial" w:hAnsi="Arial" w:cs="Arial"/>
          <w:sz w:val="22"/>
          <w:szCs w:val="22"/>
        </w:rPr>
        <w:t xml:space="preserve">, 90, 102096. Available at: </w:t>
      </w:r>
      <w:hyperlink r:id="rId10" w:tgtFrame="_blank" w:history="1">
        <w:r w:rsidRPr="00F5179A">
          <w:rPr>
            <w:rStyle w:val="Hyperlink"/>
            <w:rFonts w:ascii="Arial" w:eastAsiaTheme="majorEastAsia" w:hAnsi="Arial" w:cs="Arial"/>
            <w:sz w:val="22"/>
            <w:szCs w:val="22"/>
          </w:rPr>
          <w:t>https://pubmed.ncbi.nlm.nih.gov/34717158/</w:t>
        </w:r>
      </w:hyperlink>
      <w:r w:rsidRPr="00F5179A">
        <w:rPr>
          <w:rFonts w:ascii="Arial" w:hAnsi="Arial" w:cs="Arial"/>
          <w:sz w:val="22"/>
          <w:szCs w:val="22"/>
        </w:rPr>
        <w:t xml:space="preserve"> (Accessed: </w:t>
      </w:r>
      <w:r w:rsidR="007425CB">
        <w:rPr>
          <w:rFonts w:ascii="Arial" w:hAnsi="Arial" w:cs="Arial"/>
          <w:sz w:val="22"/>
          <w:szCs w:val="22"/>
        </w:rPr>
        <w:t>19</w:t>
      </w:r>
      <w:r w:rsidRPr="00F5179A">
        <w:rPr>
          <w:rFonts w:ascii="Arial" w:hAnsi="Arial" w:cs="Arial"/>
          <w:sz w:val="22"/>
          <w:szCs w:val="22"/>
        </w:rPr>
        <w:t xml:space="preserve"> August 2026).</w:t>
      </w:r>
    </w:p>
    <w:p w14:paraId="58E2DBE6" w14:textId="77777777" w:rsidR="00F5179A" w:rsidRPr="00F5179A" w:rsidRDefault="00F5179A" w:rsidP="00F5179A">
      <w:pPr>
        <w:pStyle w:val="NormalWeb"/>
        <w:spacing w:line="360" w:lineRule="auto"/>
        <w:rPr>
          <w:rFonts w:ascii="Arial" w:hAnsi="Arial" w:cs="Arial"/>
          <w:sz w:val="22"/>
          <w:szCs w:val="22"/>
        </w:rPr>
      </w:pPr>
      <w:r w:rsidRPr="00F5179A">
        <w:rPr>
          <w:rFonts w:ascii="Arial" w:hAnsi="Arial" w:cs="Arial"/>
          <w:sz w:val="22"/>
          <w:szCs w:val="22"/>
        </w:rPr>
        <w:t xml:space="preserve">Greig, A., </w:t>
      </w:r>
      <w:proofErr w:type="spellStart"/>
      <w:r w:rsidRPr="00F5179A">
        <w:rPr>
          <w:rFonts w:ascii="Arial" w:hAnsi="Arial" w:cs="Arial"/>
          <w:sz w:val="22"/>
          <w:szCs w:val="22"/>
        </w:rPr>
        <w:t>Tolin</w:t>
      </w:r>
      <w:proofErr w:type="spellEnd"/>
      <w:r w:rsidRPr="00F5179A">
        <w:rPr>
          <w:rFonts w:ascii="Arial" w:hAnsi="Arial" w:cs="Arial"/>
          <w:sz w:val="22"/>
          <w:szCs w:val="22"/>
        </w:rPr>
        <w:t xml:space="preserve">, D.F. and Tsai, J. (2020) ‘Prevalence of hoarding </w:t>
      </w:r>
      <w:proofErr w:type="spellStart"/>
      <w:r w:rsidRPr="00F5179A">
        <w:rPr>
          <w:rFonts w:ascii="Arial" w:hAnsi="Arial" w:cs="Arial"/>
          <w:sz w:val="22"/>
          <w:szCs w:val="22"/>
        </w:rPr>
        <w:t>behavior</w:t>
      </w:r>
      <w:proofErr w:type="spellEnd"/>
      <w:r w:rsidRPr="00F5179A">
        <w:rPr>
          <w:rFonts w:ascii="Arial" w:hAnsi="Arial" w:cs="Arial"/>
          <w:sz w:val="22"/>
          <w:szCs w:val="22"/>
        </w:rPr>
        <w:t xml:space="preserve"> among formerly homeless persons living in supported housing’, </w:t>
      </w:r>
      <w:r w:rsidRPr="00F5179A">
        <w:rPr>
          <w:rStyle w:val="Emphasis"/>
          <w:rFonts w:ascii="Arial" w:eastAsiaTheme="majorEastAsia" w:hAnsi="Arial" w:cs="Arial"/>
          <w:sz w:val="22"/>
          <w:szCs w:val="22"/>
        </w:rPr>
        <w:t>The Journal of Nervous and Mental Disease</w:t>
      </w:r>
      <w:r w:rsidRPr="00F5179A">
        <w:rPr>
          <w:rFonts w:ascii="Arial" w:hAnsi="Arial" w:cs="Arial"/>
          <w:sz w:val="22"/>
          <w:szCs w:val="22"/>
        </w:rPr>
        <w:t xml:space="preserve">, 208(10), pp. 822–827. Available at: </w:t>
      </w:r>
      <w:hyperlink r:id="rId11" w:tgtFrame="_blank" w:history="1">
        <w:r w:rsidRPr="00F5179A">
          <w:rPr>
            <w:rStyle w:val="Hyperlink"/>
            <w:rFonts w:ascii="Arial" w:eastAsiaTheme="majorEastAsia" w:hAnsi="Arial" w:cs="Arial"/>
            <w:sz w:val="22"/>
            <w:szCs w:val="22"/>
          </w:rPr>
          <w:t>https://pubmed.ncbi.nlm.nih.gov/33002938/</w:t>
        </w:r>
      </w:hyperlink>
      <w:r w:rsidRPr="00F5179A">
        <w:rPr>
          <w:rFonts w:ascii="Arial" w:hAnsi="Arial" w:cs="Arial"/>
          <w:sz w:val="22"/>
          <w:szCs w:val="22"/>
        </w:rPr>
        <w:t xml:space="preserve"> (Accessed: 21 August 2026).</w:t>
      </w:r>
    </w:p>
    <w:p w14:paraId="121ADE73" w14:textId="60B0FF2F" w:rsidR="00F5179A" w:rsidRPr="00F5179A" w:rsidRDefault="00F5179A" w:rsidP="00F5179A">
      <w:pPr>
        <w:pStyle w:val="NormalWeb"/>
        <w:spacing w:line="360" w:lineRule="auto"/>
        <w:rPr>
          <w:rFonts w:ascii="Arial" w:hAnsi="Arial" w:cs="Arial"/>
          <w:sz w:val="22"/>
          <w:szCs w:val="22"/>
        </w:rPr>
      </w:pPr>
      <w:proofErr w:type="spellStart"/>
      <w:r w:rsidRPr="00F5179A">
        <w:rPr>
          <w:rFonts w:ascii="Arial" w:hAnsi="Arial" w:cs="Arial"/>
          <w:sz w:val="22"/>
          <w:szCs w:val="22"/>
        </w:rPr>
        <w:t>Haighton</w:t>
      </w:r>
      <w:proofErr w:type="spellEnd"/>
      <w:r w:rsidRPr="00F5179A">
        <w:rPr>
          <w:rFonts w:ascii="Arial" w:hAnsi="Arial" w:cs="Arial"/>
          <w:sz w:val="22"/>
          <w:szCs w:val="22"/>
        </w:rPr>
        <w:t xml:space="preserve">, C., </w:t>
      </w:r>
      <w:proofErr w:type="spellStart"/>
      <w:r w:rsidRPr="00F5179A">
        <w:rPr>
          <w:rFonts w:ascii="Arial" w:hAnsi="Arial" w:cs="Arial"/>
          <w:sz w:val="22"/>
          <w:szCs w:val="22"/>
        </w:rPr>
        <w:t>Caiazza</w:t>
      </w:r>
      <w:proofErr w:type="spellEnd"/>
      <w:r w:rsidRPr="00F5179A">
        <w:rPr>
          <w:rFonts w:ascii="Arial" w:hAnsi="Arial" w:cs="Arial"/>
          <w:sz w:val="22"/>
          <w:szCs w:val="22"/>
        </w:rPr>
        <w:t xml:space="preserve">, R., Neave, N., Males, J., </w:t>
      </w:r>
      <w:proofErr w:type="spellStart"/>
      <w:r w:rsidRPr="00F5179A">
        <w:rPr>
          <w:rFonts w:ascii="Arial" w:hAnsi="Arial" w:cs="Arial"/>
          <w:sz w:val="22"/>
          <w:szCs w:val="22"/>
        </w:rPr>
        <w:t>Donlan</w:t>
      </w:r>
      <w:proofErr w:type="spellEnd"/>
      <w:r w:rsidRPr="00F5179A">
        <w:rPr>
          <w:rFonts w:ascii="Arial" w:hAnsi="Arial" w:cs="Arial"/>
          <w:sz w:val="22"/>
          <w:szCs w:val="22"/>
        </w:rPr>
        <w:t xml:space="preserve">, J. and </w:t>
      </w:r>
      <w:proofErr w:type="spellStart"/>
      <w:r w:rsidRPr="00F5179A">
        <w:rPr>
          <w:rFonts w:ascii="Arial" w:hAnsi="Arial" w:cs="Arial"/>
          <w:sz w:val="22"/>
          <w:szCs w:val="22"/>
        </w:rPr>
        <w:t>Ayalew</w:t>
      </w:r>
      <w:proofErr w:type="spellEnd"/>
      <w:r w:rsidRPr="00F5179A">
        <w:rPr>
          <w:rFonts w:ascii="Arial" w:hAnsi="Arial" w:cs="Arial"/>
          <w:sz w:val="22"/>
          <w:szCs w:val="22"/>
        </w:rPr>
        <w:t xml:space="preserve">, M. (2023) ‘“In an ideal world that would be a multiagency service because you need everybody’s expertise.” Managing hoarding disorder: A qualitative investigation of existing procedures and practices’, </w:t>
      </w:r>
      <w:r w:rsidRPr="00F5179A">
        <w:rPr>
          <w:rStyle w:val="Emphasis"/>
          <w:rFonts w:ascii="Arial" w:eastAsiaTheme="majorEastAsia" w:hAnsi="Arial" w:cs="Arial"/>
          <w:sz w:val="22"/>
          <w:szCs w:val="22"/>
        </w:rPr>
        <w:t>PLOS ONE</w:t>
      </w:r>
      <w:r w:rsidRPr="00F5179A">
        <w:rPr>
          <w:rFonts w:ascii="Arial" w:hAnsi="Arial" w:cs="Arial"/>
          <w:sz w:val="22"/>
          <w:szCs w:val="22"/>
        </w:rPr>
        <w:t xml:space="preserve">, 18(3), e0282365. Available at: </w:t>
      </w:r>
      <w:hyperlink r:id="rId12" w:tgtFrame="_blank" w:history="1">
        <w:r w:rsidRPr="00F5179A">
          <w:rPr>
            <w:rStyle w:val="Hyperlink"/>
            <w:rFonts w:ascii="Arial" w:eastAsiaTheme="majorEastAsia" w:hAnsi="Arial" w:cs="Arial"/>
            <w:sz w:val="22"/>
            <w:szCs w:val="22"/>
          </w:rPr>
          <w:t>https://pmc.ncbi.nlm.nih.gov/articles/PMC9997939/</w:t>
        </w:r>
      </w:hyperlink>
      <w:r w:rsidRPr="00F5179A">
        <w:rPr>
          <w:rFonts w:ascii="Arial" w:hAnsi="Arial" w:cs="Arial"/>
          <w:sz w:val="22"/>
          <w:szCs w:val="22"/>
        </w:rPr>
        <w:t xml:space="preserve"> (Accessed: </w:t>
      </w:r>
      <w:r w:rsidR="007425CB">
        <w:rPr>
          <w:rFonts w:ascii="Arial" w:hAnsi="Arial" w:cs="Arial"/>
          <w:sz w:val="22"/>
          <w:szCs w:val="22"/>
        </w:rPr>
        <w:t>16</w:t>
      </w:r>
      <w:r w:rsidRPr="00F5179A">
        <w:rPr>
          <w:rFonts w:ascii="Arial" w:hAnsi="Arial" w:cs="Arial"/>
          <w:sz w:val="22"/>
          <w:szCs w:val="22"/>
        </w:rPr>
        <w:t xml:space="preserve"> August 2026).</w:t>
      </w:r>
    </w:p>
    <w:p w14:paraId="2BD4A61D" w14:textId="41038512" w:rsidR="00F5179A" w:rsidRPr="00F5179A" w:rsidRDefault="00F5179A" w:rsidP="00F5179A">
      <w:pPr>
        <w:pStyle w:val="NormalWeb"/>
        <w:spacing w:line="360" w:lineRule="auto"/>
        <w:rPr>
          <w:rFonts w:ascii="Arial" w:hAnsi="Arial" w:cs="Arial"/>
          <w:sz w:val="22"/>
          <w:szCs w:val="22"/>
        </w:rPr>
      </w:pPr>
      <w:r w:rsidRPr="00F5179A">
        <w:rPr>
          <w:rFonts w:ascii="Arial" w:hAnsi="Arial" w:cs="Arial"/>
          <w:sz w:val="22"/>
          <w:szCs w:val="22"/>
        </w:rPr>
        <w:t xml:space="preserve">International OCD Foundation (n.d.) </w:t>
      </w:r>
      <w:r w:rsidRPr="00F5179A">
        <w:rPr>
          <w:rStyle w:val="Emphasis"/>
          <w:rFonts w:ascii="Arial" w:eastAsiaTheme="majorEastAsia" w:hAnsi="Arial" w:cs="Arial"/>
          <w:sz w:val="22"/>
          <w:szCs w:val="22"/>
        </w:rPr>
        <w:t xml:space="preserve">Treatment of HD – Cognitive </w:t>
      </w:r>
      <w:proofErr w:type="spellStart"/>
      <w:r w:rsidRPr="00F5179A">
        <w:rPr>
          <w:rStyle w:val="Emphasis"/>
          <w:rFonts w:ascii="Arial" w:eastAsiaTheme="majorEastAsia" w:hAnsi="Arial" w:cs="Arial"/>
          <w:sz w:val="22"/>
          <w:szCs w:val="22"/>
        </w:rPr>
        <w:t>Behavioral</w:t>
      </w:r>
      <w:proofErr w:type="spellEnd"/>
      <w:r w:rsidRPr="00F5179A">
        <w:rPr>
          <w:rStyle w:val="Emphasis"/>
          <w:rFonts w:ascii="Arial" w:eastAsiaTheme="majorEastAsia" w:hAnsi="Arial" w:cs="Arial"/>
          <w:sz w:val="22"/>
          <w:szCs w:val="22"/>
        </w:rPr>
        <w:t xml:space="preserve"> Therapy (CBT)</w:t>
      </w:r>
      <w:r w:rsidRPr="00F5179A">
        <w:rPr>
          <w:rFonts w:ascii="Arial" w:hAnsi="Arial" w:cs="Arial"/>
          <w:sz w:val="22"/>
          <w:szCs w:val="22"/>
        </w:rPr>
        <w:t xml:space="preserve">. Available at: </w:t>
      </w:r>
      <w:hyperlink r:id="rId13" w:tgtFrame="_blank" w:history="1">
        <w:r w:rsidRPr="00F5179A">
          <w:rPr>
            <w:rStyle w:val="Hyperlink"/>
            <w:rFonts w:ascii="Arial" w:eastAsiaTheme="majorEastAsia" w:hAnsi="Arial" w:cs="Arial"/>
            <w:sz w:val="22"/>
            <w:szCs w:val="22"/>
          </w:rPr>
          <w:t>https://hoarding.iocdf.org/professionals/treatment-of-hd-cognitive-behavioral-therapy-cbt/</w:t>
        </w:r>
      </w:hyperlink>
      <w:r w:rsidRPr="00F5179A">
        <w:rPr>
          <w:rFonts w:ascii="Arial" w:hAnsi="Arial" w:cs="Arial"/>
          <w:sz w:val="22"/>
          <w:szCs w:val="22"/>
        </w:rPr>
        <w:t xml:space="preserve"> (Accessed: 2</w:t>
      </w:r>
      <w:r w:rsidR="007425CB">
        <w:rPr>
          <w:rFonts w:ascii="Arial" w:hAnsi="Arial" w:cs="Arial"/>
          <w:sz w:val="22"/>
          <w:szCs w:val="22"/>
        </w:rPr>
        <w:t>0</w:t>
      </w:r>
      <w:r w:rsidRPr="00F5179A">
        <w:rPr>
          <w:rFonts w:ascii="Arial" w:hAnsi="Arial" w:cs="Arial"/>
          <w:sz w:val="22"/>
          <w:szCs w:val="22"/>
        </w:rPr>
        <w:t xml:space="preserve"> August 2026).</w:t>
      </w:r>
    </w:p>
    <w:p w14:paraId="17F57331" w14:textId="7CEAFA87" w:rsidR="00F5179A" w:rsidRPr="00F5179A" w:rsidRDefault="00F5179A" w:rsidP="00F5179A">
      <w:pPr>
        <w:pStyle w:val="NormalWeb"/>
        <w:spacing w:line="360" w:lineRule="auto"/>
        <w:rPr>
          <w:rFonts w:ascii="Arial" w:hAnsi="Arial" w:cs="Arial"/>
          <w:sz w:val="22"/>
          <w:szCs w:val="22"/>
        </w:rPr>
      </w:pPr>
      <w:proofErr w:type="spellStart"/>
      <w:r w:rsidRPr="00F5179A">
        <w:rPr>
          <w:rFonts w:ascii="Arial" w:hAnsi="Arial" w:cs="Arial"/>
          <w:sz w:val="22"/>
          <w:szCs w:val="22"/>
        </w:rPr>
        <w:t>Mataix</w:t>
      </w:r>
      <w:proofErr w:type="spellEnd"/>
      <w:r w:rsidRPr="00F5179A">
        <w:rPr>
          <w:rFonts w:ascii="Arial" w:hAnsi="Arial" w:cs="Arial"/>
          <w:sz w:val="22"/>
          <w:szCs w:val="22"/>
        </w:rPr>
        <w:t xml:space="preserve">-Cols, D., </w:t>
      </w:r>
      <w:proofErr w:type="spellStart"/>
      <w:r w:rsidRPr="00F5179A">
        <w:rPr>
          <w:rFonts w:ascii="Arial" w:hAnsi="Arial" w:cs="Arial"/>
          <w:sz w:val="22"/>
          <w:szCs w:val="22"/>
        </w:rPr>
        <w:t>Pertusa</w:t>
      </w:r>
      <w:proofErr w:type="spellEnd"/>
      <w:r w:rsidRPr="00F5179A">
        <w:rPr>
          <w:rFonts w:ascii="Arial" w:hAnsi="Arial" w:cs="Arial"/>
          <w:sz w:val="22"/>
          <w:szCs w:val="22"/>
        </w:rPr>
        <w:t xml:space="preserve">, A. and </w:t>
      </w:r>
      <w:proofErr w:type="spellStart"/>
      <w:r w:rsidRPr="00F5179A">
        <w:rPr>
          <w:rFonts w:ascii="Arial" w:hAnsi="Arial" w:cs="Arial"/>
          <w:sz w:val="22"/>
          <w:szCs w:val="22"/>
        </w:rPr>
        <w:t>Leckman</w:t>
      </w:r>
      <w:proofErr w:type="spellEnd"/>
      <w:r w:rsidRPr="00F5179A">
        <w:rPr>
          <w:rFonts w:ascii="Arial" w:hAnsi="Arial" w:cs="Arial"/>
          <w:sz w:val="22"/>
          <w:szCs w:val="22"/>
        </w:rPr>
        <w:t xml:space="preserve">, J.F. (2010) ‘Issues for DSM-V: How should obsessive-compulsive and related disorders be classified?’, </w:t>
      </w:r>
      <w:r w:rsidRPr="00F5179A">
        <w:rPr>
          <w:rStyle w:val="Emphasis"/>
          <w:rFonts w:ascii="Arial" w:eastAsiaTheme="majorEastAsia" w:hAnsi="Arial" w:cs="Arial"/>
          <w:sz w:val="22"/>
          <w:szCs w:val="22"/>
        </w:rPr>
        <w:t>American Journal of Psychiatry</w:t>
      </w:r>
      <w:r w:rsidRPr="00F5179A">
        <w:rPr>
          <w:rFonts w:ascii="Arial" w:hAnsi="Arial" w:cs="Arial"/>
          <w:sz w:val="22"/>
          <w:szCs w:val="22"/>
        </w:rPr>
        <w:t xml:space="preserve">, 167(3), pp. 270–275. </w:t>
      </w:r>
      <w:proofErr w:type="spellStart"/>
      <w:r w:rsidRPr="00F5179A">
        <w:rPr>
          <w:rFonts w:ascii="Arial" w:hAnsi="Arial" w:cs="Arial"/>
          <w:sz w:val="22"/>
          <w:szCs w:val="22"/>
        </w:rPr>
        <w:t>doi</w:t>
      </w:r>
      <w:proofErr w:type="spellEnd"/>
      <w:r w:rsidRPr="00F5179A">
        <w:rPr>
          <w:rFonts w:ascii="Arial" w:hAnsi="Arial" w:cs="Arial"/>
          <w:sz w:val="22"/>
          <w:szCs w:val="22"/>
        </w:rPr>
        <w:t xml:space="preserve">: 10.1176/appi.ajp.2009.09091359. Available at: </w:t>
      </w:r>
      <w:hyperlink r:id="rId14" w:tgtFrame="_blank" w:history="1">
        <w:r w:rsidRPr="00F5179A">
          <w:rPr>
            <w:rStyle w:val="Hyperlink"/>
            <w:rFonts w:ascii="Arial" w:eastAsiaTheme="majorEastAsia" w:hAnsi="Arial" w:cs="Arial"/>
            <w:sz w:val="22"/>
            <w:szCs w:val="22"/>
          </w:rPr>
          <w:t>https://pubmed.ncbi.nlm.nih.gov/20123917/</w:t>
        </w:r>
      </w:hyperlink>
      <w:r w:rsidRPr="00F5179A">
        <w:rPr>
          <w:rFonts w:ascii="Arial" w:hAnsi="Arial" w:cs="Arial"/>
          <w:sz w:val="22"/>
          <w:szCs w:val="22"/>
        </w:rPr>
        <w:t xml:space="preserve"> (Accessed: </w:t>
      </w:r>
      <w:r w:rsidR="007425CB">
        <w:rPr>
          <w:rFonts w:ascii="Arial" w:hAnsi="Arial" w:cs="Arial"/>
          <w:sz w:val="22"/>
          <w:szCs w:val="22"/>
        </w:rPr>
        <w:t>19</w:t>
      </w:r>
      <w:r w:rsidRPr="00F5179A">
        <w:rPr>
          <w:rFonts w:ascii="Arial" w:hAnsi="Arial" w:cs="Arial"/>
          <w:sz w:val="22"/>
          <w:szCs w:val="22"/>
        </w:rPr>
        <w:t xml:space="preserve"> August 2026).</w:t>
      </w:r>
    </w:p>
    <w:p w14:paraId="3E50CB4F" w14:textId="73F346FE" w:rsidR="00F5179A" w:rsidRPr="00F5179A" w:rsidRDefault="00F5179A" w:rsidP="00F5179A">
      <w:pPr>
        <w:pStyle w:val="NormalWeb"/>
        <w:spacing w:line="360" w:lineRule="auto"/>
        <w:rPr>
          <w:rFonts w:ascii="Arial" w:hAnsi="Arial" w:cs="Arial"/>
          <w:sz w:val="22"/>
          <w:szCs w:val="22"/>
        </w:rPr>
      </w:pPr>
      <w:proofErr w:type="spellStart"/>
      <w:r w:rsidRPr="00F5179A">
        <w:rPr>
          <w:rFonts w:ascii="Arial" w:hAnsi="Arial" w:cs="Arial"/>
          <w:sz w:val="22"/>
          <w:szCs w:val="22"/>
        </w:rPr>
        <w:lastRenderedPageBreak/>
        <w:t>Morein</w:t>
      </w:r>
      <w:proofErr w:type="spellEnd"/>
      <w:r w:rsidRPr="00F5179A">
        <w:rPr>
          <w:rFonts w:ascii="Arial" w:hAnsi="Arial" w:cs="Arial"/>
          <w:sz w:val="22"/>
          <w:szCs w:val="22"/>
        </w:rPr>
        <w:t xml:space="preserve">-Zamir, S. and Ahluwalia, S. (2023) ‘Hoarding disorder: Evidence and best practice in primary care’, </w:t>
      </w:r>
      <w:r w:rsidRPr="00F5179A">
        <w:rPr>
          <w:rStyle w:val="Emphasis"/>
          <w:rFonts w:ascii="Arial" w:eastAsiaTheme="majorEastAsia" w:hAnsi="Arial" w:cs="Arial"/>
          <w:sz w:val="22"/>
          <w:szCs w:val="22"/>
        </w:rPr>
        <w:t>British Journal of General Practice</w:t>
      </w:r>
      <w:r w:rsidRPr="00F5179A">
        <w:rPr>
          <w:rFonts w:ascii="Arial" w:hAnsi="Arial" w:cs="Arial"/>
          <w:sz w:val="22"/>
          <w:szCs w:val="22"/>
        </w:rPr>
        <w:t xml:space="preserve">, 73(729), pp. 182–183. Available at: </w:t>
      </w:r>
      <w:hyperlink r:id="rId15" w:tgtFrame="_blank" w:history="1">
        <w:r w:rsidRPr="00F5179A">
          <w:rPr>
            <w:rStyle w:val="Hyperlink"/>
            <w:rFonts w:ascii="Arial" w:eastAsiaTheme="majorEastAsia" w:hAnsi="Arial" w:cs="Arial"/>
            <w:sz w:val="22"/>
            <w:szCs w:val="22"/>
          </w:rPr>
          <w:t>https://bjgp.org/content/73/729/182</w:t>
        </w:r>
      </w:hyperlink>
      <w:r w:rsidRPr="00F5179A">
        <w:rPr>
          <w:rFonts w:ascii="Arial" w:hAnsi="Arial" w:cs="Arial"/>
          <w:sz w:val="22"/>
          <w:szCs w:val="22"/>
        </w:rPr>
        <w:t xml:space="preserve"> (Accessed: </w:t>
      </w:r>
      <w:r w:rsidR="007425CB">
        <w:rPr>
          <w:rFonts w:ascii="Arial" w:hAnsi="Arial" w:cs="Arial"/>
          <w:sz w:val="22"/>
          <w:szCs w:val="22"/>
        </w:rPr>
        <w:t>19</w:t>
      </w:r>
      <w:r w:rsidRPr="00F5179A">
        <w:rPr>
          <w:rFonts w:ascii="Arial" w:hAnsi="Arial" w:cs="Arial"/>
          <w:sz w:val="22"/>
          <w:szCs w:val="22"/>
        </w:rPr>
        <w:t xml:space="preserve"> August 2026).</w:t>
      </w:r>
    </w:p>
    <w:p w14:paraId="3C946B7E" w14:textId="77777777" w:rsidR="00F5179A" w:rsidRPr="00F5179A" w:rsidRDefault="00F5179A" w:rsidP="00F5179A">
      <w:pPr>
        <w:pStyle w:val="NormalWeb"/>
        <w:spacing w:line="360" w:lineRule="auto"/>
        <w:rPr>
          <w:rFonts w:ascii="Arial" w:hAnsi="Arial" w:cs="Arial"/>
          <w:sz w:val="22"/>
          <w:szCs w:val="22"/>
        </w:rPr>
      </w:pPr>
      <w:r w:rsidRPr="00F5179A">
        <w:rPr>
          <w:rFonts w:ascii="Arial" w:hAnsi="Arial" w:cs="Arial"/>
          <w:sz w:val="22"/>
          <w:szCs w:val="22"/>
        </w:rPr>
        <w:t xml:space="preserve">Orr, D.M.R., Preston-Shoot, M. and </w:t>
      </w:r>
      <w:proofErr w:type="spellStart"/>
      <w:r w:rsidRPr="00F5179A">
        <w:rPr>
          <w:rFonts w:ascii="Arial" w:hAnsi="Arial" w:cs="Arial"/>
          <w:sz w:val="22"/>
          <w:szCs w:val="22"/>
        </w:rPr>
        <w:t>Braye</w:t>
      </w:r>
      <w:proofErr w:type="spellEnd"/>
      <w:r w:rsidRPr="00F5179A">
        <w:rPr>
          <w:rFonts w:ascii="Arial" w:hAnsi="Arial" w:cs="Arial"/>
          <w:sz w:val="22"/>
          <w:szCs w:val="22"/>
        </w:rPr>
        <w:t xml:space="preserve">, S. (2019) ‘Meaning in hoarding: Perspectives of people who hoard on clutter, culture and agency’, </w:t>
      </w:r>
      <w:r w:rsidRPr="00F5179A">
        <w:rPr>
          <w:rStyle w:val="Emphasis"/>
          <w:rFonts w:ascii="Arial" w:eastAsiaTheme="majorEastAsia" w:hAnsi="Arial" w:cs="Arial"/>
          <w:sz w:val="22"/>
          <w:szCs w:val="22"/>
        </w:rPr>
        <w:t>Anthropology &amp; Medicine</w:t>
      </w:r>
      <w:r w:rsidRPr="00F5179A">
        <w:rPr>
          <w:rFonts w:ascii="Arial" w:hAnsi="Arial" w:cs="Arial"/>
          <w:sz w:val="22"/>
          <w:szCs w:val="22"/>
        </w:rPr>
        <w:t xml:space="preserve">, 26(3), pp. 263–279. Available at: </w:t>
      </w:r>
      <w:hyperlink r:id="rId16" w:tgtFrame="_blank" w:history="1">
        <w:r w:rsidRPr="00F5179A">
          <w:rPr>
            <w:rStyle w:val="Hyperlink"/>
            <w:rFonts w:ascii="Arial" w:eastAsiaTheme="majorEastAsia" w:hAnsi="Arial" w:cs="Arial"/>
            <w:sz w:val="22"/>
            <w:szCs w:val="22"/>
          </w:rPr>
          <w:t>https://pubmed.ncbi.nlm.nih.gov/29232962/</w:t>
        </w:r>
      </w:hyperlink>
      <w:r w:rsidRPr="00F5179A">
        <w:rPr>
          <w:rFonts w:ascii="Arial" w:hAnsi="Arial" w:cs="Arial"/>
          <w:sz w:val="22"/>
          <w:szCs w:val="22"/>
        </w:rPr>
        <w:t xml:space="preserve"> (Accessed: 21 August 2026).</w:t>
      </w:r>
    </w:p>
    <w:p w14:paraId="24EC99CA" w14:textId="294697DC" w:rsidR="00F5179A" w:rsidRPr="00F5179A" w:rsidRDefault="00F5179A" w:rsidP="00F5179A">
      <w:pPr>
        <w:pStyle w:val="NormalWeb"/>
        <w:spacing w:line="360" w:lineRule="auto"/>
        <w:rPr>
          <w:rFonts w:ascii="Arial" w:hAnsi="Arial" w:cs="Arial"/>
          <w:sz w:val="22"/>
          <w:szCs w:val="22"/>
        </w:rPr>
      </w:pPr>
      <w:r w:rsidRPr="00F5179A">
        <w:rPr>
          <w:rFonts w:ascii="Arial" w:hAnsi="Arial" w:cs="Arial"/>
          <w:sz w:val="22"/>
          <w:szCs w:val="22"/>
        </w:rPr>
        <w:t xml:space="preserve">Porter, B. and Hanson, S. (2022) ‘Council tenancies and hoarding behaviours: A study with a large social landlord in England’, </w:t>
      </w:r>
      <w:r w:rsidRPr="00F5179A">
        <w:rPr>
          <w:rStyle w:val="Emphasis"/>
          <w:rFonts w:ascii="Arial" w:eastAsiaTheme="majorEastAsia" w:hAnsi="Arial" w:cs="Arial"/>
          <w:sz w:val="22"/>
          <w:szCs w:val="22"/>
        </w:rPr>
        <w:t>Health &amp; Social Care in the Community</w:t>
      </w:r>
      <w:r w:rsidRPr="00F5179A">
        <w:rPr>
          <w:rFonts w:ascii="Arial" w:hAnsi="Arial" w:cs="Arial"/>
          <w:sz w:val="22"/>
          <w:szCs w:val="22"/>
        </w:rPr>
        <w:t xml:space="preserve">, 30(6), pp. 2292–2299. Available at: </w:t>
      </w:r>
      <w:hyperlink r:id="rId17" w:tgtFrame="_blank" w:history="1">
        <w:r w:rsidRPr="00F5179A">
          <w:rPr>
            <w:rStyle w:val="Hyperlink"/>
            <w:rFonts w:ascii="Arial" w:eastAsiaTheme="majorEastAsia" w:hAnsi="Arial" w:cs="Arial"/>
            <w:sz w:val="22"/>
            <w:szCs w:val="22"/>
          </w:rPr>
          <w:t>https://pmc.ncbi.nlm.nih.gov/articles/PMC10078723/</w:t>
        </w:r>
      </w:hyperlink>
      <w:r w:rsidRPr="00F5179A">
        <w:rPr>
          <w:rFonts w:ascii="Arial" w:hAnsi="Arial" w:cs="Arial"/>
          <w:sz w:val="22"/>
          <w:szCs w:val="22"/>
        </w:rPr>
        <w:t xml:space="preserve"> (Accessed: </w:t>
      </w:r>
      <w:r w:rsidR="007425CB">
        <w:rPr>
          <w:rFonts w:ascii="Arial" w:hAnsi="Arial" w:cs="Arial"/>
          <w:sz w:val="22"/>
          <w:szCs w:val="22"/>
        </w:rPr>
        <w:t>16</w:t>
      </w:r>
      <w:r w:rsidRPr="00F5179A">
        <w:rPr>
          <w:rFonts w:ascii="Arial" w:hAnsi="Arial" w:cs="Arial"/>
          <w:sz w:val="22"/>
          <w:szCs w:val="22"/>
        </w:rPr>
        <w:t xml:space="preserve"> August 2026).</w:t>
      </w:r>
    </w:p>
    <w:p w14:paraId="23D4AC22" w14:textId="2C799BF7" w:rsidR="00F5179A" w:rsidRPr="00F5179A" w:rsidRDefault="00F5179A" w:rsidP="00F5179A">
      <w:pPr>
        <w:pStyle w:val="NormalWeb"/>
        <w:spacing w:line="360" w:lineRule="auto"/>
        <w:rPr>
          <w:rFonts w:ascii="Arial" w:hAnsi="Arial" w:cs="Arial"/>
          <w:sz w:val="22"/>
          <w:szCs w:val="22"/>
        </w:rPr>
      </w:pPr>
      <w:r w:rsidRPr="00F5179A">
        <w:rPr>
          <w:rFonts w:ascii="Arial" w:hAnsi="Arial" w:cs="Arial"/>
          <w:sz w:val="22"/>
          <w:szCs w:val="22"/>
        </w:rPr>
        <w:t xml:space="preserve">Rodgers, N., McDonald, S. and Wootton, B.M. (2021) ‘Cognitive </w:t>
      </w:r>
      <w:proofErr w:type="spellStart"/>
      <w:r w:rsidRPr="00F5179A">
        <w:rPr>
          <w:rFonts w:ascii="Arial" w:hAnsi="Arial" w:cs="Arial"/>
          <w:sz w:val="22"/>
          <w:szCs w:val="22"/>
        </w:rPr>
        <w:t>behavioral</w:t>
      </w:r>
      <w:proofErr w:type="spellEnd"/>
      <w:r w:rsidRPr="00F5179A">
        <w:rPr>
          <w:rFonts w:ascii="Arial" w:hAnsi="Arial" w:cs="Arial"/>
          <w:sz w:val="22"/>
          <w:szCs w:val="22"/>
        </w:rPr>
        <w:t xml:space="preserve"> therapy for hoarding disorder: An updated meta-analysis’, </w:t>
      </w:r>
      <w:r w:rsidRPr="00F5179A">
        <w:rPr>
          <w:rStyle w:val="Emphasis"/>
          <w:rFonts w:ascii="Arial" w:eastAsiaTheme="majorEastAsia" w:hAnsi="Arial" w:cs="Arial"/>
          <w:sz w:val="22"/>
          <w:szCs w:val="22"/>
        </w:rPr>
        <w:t>Journal of Affective Disorders</w:t>
      </w:r>
      <w:r w:rsidRPr="00F5179A">
        <w:rPr>
          <w:rFonts w:ascii="Arial" w:hAnsi="Arial" w:cs="Arial"/>
          <w:sz w:val="22"/>
          <w:szCs w:val="22"/>
        </w:rPr>
        <w:t xml:space="preserve">, 290, pp. 128–135. Available at: </w:t>
      </w:r>
      <w:hyperlink r:id="rId18" w:tgtFrame="_blank" w:history="1">
        <w:r w:rsidRPr="00F5179A">
          <w:rPr>
            <w:rStyle w:val="Hyperlink"/>
            <w:rFonts w:ascii="Arial" w:eastAsiaTheme="majorEastAsia" w:hAnsi="Arial" w:cs="Arial"/>
            <w:sz w:val="22"/>
            <w:szCs w:val="22"/>
          </w:rPr>
          <w:t>https://pubmed.ncbi.nlm.nih.gov/33993079/</w:t>
        </w:r>
      </w:hyperlink>
      <w:r w:rsidRPr="00F5179A">
        <w:rPr>
          <w:rFonts w:ascii="Arial" w:hAnsi="Arial" w:cs="Arial"/>
          <w:sz w:val="22"/>
          <w:szCs w:val="22"/>
        </w:rPr>
        <w:t xml:space="preserve"> (Accessed: </w:t>
      </w:r>
      <w:r w:rsidR="007425CB">
        <w:rPr>
          <w:rFonts w:ascii="Arial" w:hAnsi="Arial" w:cs="Arial"/>
          <w:sz w:val="22"/>
          <w:szCs w:val="22"/>
        </w:rPr>
        <w:t>18</w:t>
      </w:r>
      <w:r w:rsidRPr="00F5179A">
        <w:rPr>
          <w:rFonts w:ascii="Arial" w:hAnsi="Arial" w:cs="Arial"/>
          <w:sz w:val="22"/>
          <w:szCs w:val="22"/>
        </w:rPr>
        <w:t xml:space="preserve"> August 2026).</w:t>
      </w:r>
    </w:p>
    <w:p w14:paraId="30DC4E59" w14:textId="5C4102B1" w:rsidR="00F5179A" w:rsidRPr="00F5179A" w:rsidRDefault="00F5179A" w:rsidP="00F5179A">
      <w:pPr>
        <w:pStyle w:val="NormalWeb"/>
        <w:spacing w:line="360" w:lineRule="auto"/>
        <w:rPr>
          <w:rFonts w:ascii="Arial" w:hAnsi="Arial" w:cs="Arial"/>
          <w:sz w:val="22"/>
          <w:szCs w:val="22"/>
        </w:rPr>
      </w:pPr>
      <w:r w:rsidRPr="00F5179A">
        <w:rPr>
          <w:rFonts w:ascii="Arial" w:hAnsi="Arial" w:cs="Arial"/>
          <w:sz w:val="22"/>
          <w:szCs w:val="22"/>
        </w:rPr>
        <w:t xml:space="preserve">World Health Organization (2024) </w:t>
      </w:r>
      <w:r w:rsidRPr="00F5179A">
        <w:rPr>
          <w:rStyle w:val="Emphasis"/>
          <w:rFonts w:ascii="Arial" w:eastAsiaTheme="majorEastAsia" w:hAnsi="Arial" w:cs="Arial"/>
          <w:sz w:val="22"/>
          <w:szCs w:val="22"/>
        </w:rPr>
        <w:t>Clinical descriptions and diagnostic requirements for ICD-11 mental, behavioural and neurodevelopmental disorders</w:t>
      </w:r>
      <w:r w:rsidRPr="00F5179A">
        <w:rPr>
          <w:rFonts w:ascii="Arial" w:hAnsi="Arial" w:cs="Arial"/>
          <w:sz w:val="22"/>
          <w:szCs w:val="22"/>
        </w:rPr>
        <w:t xml:space="preserve">. Geneva: World Health Organization. Available at: </w:t>
      </w:r>
      <w:hyperlink r:id="rId19" w:tgtFrame="_blank" w:history="1">
        <w:r w:rsidRPr="00F5179A">
          <w:rPr>
            <w:rStyle w:val="Hyperlink"/>
            <w:rFonts w:ascii="Arial" w:eastAsiaTheme="majorEastAsia" w:hAnsi="Arial" w:cs="Arial"/>
            <w:sz w:val="22"/>
            <w:szCs w:val="22"/>
          </w:rPr>
          <w:t>https://www.who.int/publications/i/item/9789240077263</w:t>
        </w:r>
      </w:hyperlink>
      <w:r w:rsidRPr="00F5179A">
        <w:rPr>
          <w:rFonts w:ascii="Arial" w:hAnsi="Arial" w:cs="Arial"/>
          <w:sz w:val="22"/>
          <w:szCs w:val="22"/>
        </w:rPr>
        <w:t xml:space="preserve"> (Accessed: </w:t>
      </w:r>
      <w:r w:rsidR="007425CB">
        <w:rPr>
          <w:rFonts w:ascii="Arial" w:hAnsi="Arial" w:cs="Arial"/>
          <w:sz w:val="22"/>
          <w:szCs w:val="22"/>
        </w:rPr>
        <w:t>16</w:t>
      </w:r>
      <w:r w:rsidRPr="00F5179A">
        <w:rPr>
          <w:rFonts w:ascii="Arial" w:hAnsi="Arial" w:cs="Arial"/>
          <w:sz w:val="22"/>
          <w:szCs w:val="22"/>
        </w:rPr>
        <w:t xml:space="preserve"> August 2026).</w:t>
      </w:r>
    </w:p>
    <w:p w14:paraId="00E39964" w14:textId="77777777" w:rsidR="00F5179A" w:rsidRDefault="00F5179A" w:rsidP="00F5179A">
      <w:pPr>
        <w:pStyle w:val="z-BottomofForm"/>
      </w:pPr>
      <w:r>
        <w:t>Bottom of Form</w:t>
      </w:r>
    </w:p>
    <w:p w14:paraId="62800040" w14:textId="77777777" w:rsidR="008E5CB8" w:rsidRPr="00D761AE" w:rsidRDefault="008E5CB8" w:rsidP="00D761AE">
      <w:pPr>
        <w:pStyle w:val="NormalWeb"/>
        <w:spacing w:line="360" w:lineRule="auto"/>
        <w:rPr>
          <w:rFonts w:ascii="Arial" w:hAnsi="Arial" w:cs="Arial"/>
          <w:sz w:val="22"/>
          <w:szCs w:val="22"/>
        </w:rPr>
      </w:pPr>
    </w:p>
    <w:p w14:paraId="696D26A6" w14:textId="5655F870" w:rsidR="008E5CB8" w:rsidRPr="00D761AE" w:rsidRDefault="008D4B02" w:rsidP="00D761AE">
      <w:pPr>
        <w:spacing w:line="360" w:lineRule="auto"/>
        <w:rPr>
          <w:rFonts w:ascii="Arial" w:hAnsi="Arial" w:cs="Arial"/>
          <w:sz w:val="22"/>
          <w:szCs w:val="22"/>
        </w:rPr>
      </w:pPr>
      <w:r w:rsidRPr="00D761AE">
        <w:rPr>
          <w:rStyle w:val="FootnoteReference"/>
          <w:rFonts w:ascii="Arial" w:hAnsi="Arial" w:cs="Arial"/>
          <w:sz w:val="22"/>
          <w:szCs w:val="22"/>
        </w:rPr>
        <w:footnoteReference w:id="1"/>
      </w:r>
    </w:p>
    <w:p w14:paraId="494BAC48" w14:textId="771D2DEE" w:rsidR="008E5CB8" w:rsidRPr="00D761AE" w:rsidRDefault="008E5CB8" w:rsidP="00D761AE">
      <w:pPr>
        <w:spacing w:line="360" w:lineRule="auto"/>
        <w:rPr>
          <w:rFonts w:ascii="Arial" w:hAnsi="Arial" w:cs="Arial"/>
          <w:sz w:val="22"/>
          <w:szCs w:val="22"/>
        </w:rPr>
      </w:pPr>
    </w:p>
    <w:p w14:paraId="1F7074AE" w14:textId="3838F4E1" w:rsidR="008E5CB8" w:rsidRPr="00D761AE" w:rsidRDefault="008E5CB8" w:rsidP="00D761AE">
      <w:pPr>
        <w:spacing w:line="360" w:lineRule="auto"/>
        <w:rPr>
          <w:rFonts w:ascii="Arial" w:hAnsi="Arial" w:cs="Arial"/>
          <w:sz w:val="22"/>
          <w:szCs w:val="22"/>
        </w:rPr>
      </w:pPr>
    </w:p>
    <w:p w14:paraId="7C172205" w14:textId="1E810232" w:rsidR="008E5CB8" w:rsidRPr="00D761AE" w:rsidRDefault="008E5CB8" w:rsidP="00D761AE">
      <w:pPr>
        <w:spacing w:line="360" w:lineRule="auto"/>
        <w:rPr>
          <w:rFonts w:ascii="Arial" w:hAnsi="Arial" w:cs="Arial"/>
          <w:sz w:val="22"/>
          <w:szCs w:val="22"/>
        </w:rPr>
      </w:pPr>
    </w:p>
    <w:p w14:paraId="563DECB0" w14:textId="20AE0271" w:rsidR="008E5CB8" w:rsidRPr="00D761AE" w:rsidRDefault="008E5CB8" w:rsidP="00D761AE">
      <w:pPr>
        <w:spacing w:line="360" w:lineRule="auto"/>
        <w:rPr>
          <w:rFonts w:ascii="Arial" w:hAnsi="Arial" w:cs="Arial"/>
          <w:sz w:val="22"/>
          <w:szCs w:val="22"/>
        </w:rPr>
      </w:pPr>
    </w:p>
    <w:p w14:paraId="4EA06F1C" w14:textId="7BD358A3" w:rsidR="008E5CB8" w:rsidRPr="00D761AE" w:rsidRDefault="008E5CB8" w:rsidP="00D761AE">
      <w:pPr>
        <w:spacing w:line="360" w:lineRule="auto"/>
        <w:rPr>
          <w:rFonts w:ascii="Arial" w:hAnsi="Arial" w:cs="Arial"/>
          <w:sz w:val="22"/>
          <w:szCs w:val="22"/>
        </w:rPr>
      </w:pPr>
    </w:p>
    <w:p w14:paraId="2BEDD415" w14:textId="77777777" w:rsidR="008E5CB8" w:rsidRPr="00D761AE" w:rsidRDefault="008E5CB8" w:rsidP="00D761AE">
      <w:pPr>
        <w:spacing w:line="360" w:lineRule="auto"/>
        <w:rPr>
          <w:rFonts w:ascii="Arial" w:hAnsi="Arial" w:cs="Arial"/>
          <w:sz w:val="22"/>
          <w:szCs w:val="22"/>
        </w:rPr>
      </w:pPr>
    </w:p>
    <w:sectPr w:rsidR="008E5CB8" w:rsidRPr="00D761AE">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EB4E04" w14:textId="77777777" w:rsidR="00AB293D" w:rsidRDefault="00AB293D" w:rsidP="000264A1">
      <w:r>
        <w:separator/>
      </w:r>
    </w:p>
  </w:endnote>
  <w:endnote w:type="continuationSeparator" w:id="0">
    <w:p w14:paraId="08E18E3B" w14:textId="77777777" w:rsidR="00AB293D" w:rsidRDefault="00AB293D" w:rsidP="000264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67B52" w14:textId="77777777" w:rsidR="00AB293D" w:rsidRDefault="00AB293D" w:rsidP="000264A1">
      <w:r>
        <w:separator/>
      </w:r>
    </w:p>
  </w:footnote>
  <w:footnote w:type="continuationSeparator" w:id="0">
    <w:p w14:paraId="2DD970ED" w14:textId="77777777" w:rsidR="00AB293D" w:rsidRDefault="00AB293D" w:rsidP="000264A1">
      <w:r>
        <w:continuationSeparator/>
      </w:r>
    </w:p>
  </w:footnote>
  <w:footnote w:id="1">
    <w:p w14:paraId="3B28B3EF" w14:textId="54F1C3DD" w:rsidR="008D4B02" w:rsidRDefault="008D4B0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50288"/>
    <w:multiLevelType w:val="multilevel"/>
    <w:tmpl w:val="AE847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56CC9"/>
    <w:multiLevelType w:val="multilevel"/>
    <w:tmpl w:val="5498A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E84F31"/>
    <w:multiLevelType w:val="multilevel"/>
    <w:tmpl w:val="AEFA4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BE7D9F"/>
    <w:multiLevelType w:val="multilevel"/>
    <w:tmpl w:val="3A623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1621A"/>
    <w:multiLevelType w:val="multilevel"/>
    <w:tmpl w:val="84A67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9831F5"/>
    <w:multiLevelType w:val="multilevel"/>
    <w:tmpl w:val="6B8E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600EA8"/>
    <w:multiLevelType w:val="multilevel"/>
    <w:tmpl w:val="0409001F"/>
    <w:lvl w:ilvl="0">
      <w:start w:val="1"/>
      <w:numFmt w:val="decimal"/>
      <w:lvlText w:val="%1."/>
      <w:lvlJc w:val="left"/>
      <w:pPr>
        <w:ind w:left="360" w:hanging="360"/>
      </w:pPr>
      <w:rPr>
        <w:rFonts w:hint="default"/>
        <w:b/>
      </w:rPr>
    </w:lvl>
    <w:lvl w:ilvl="1">
      <w:start w:val="1"/>
      <w:numFmt w:val="decimal"/>
      <w:lvlText w:val="%1.%2."/>
      <w:lvlJc w:val="left"/>
      <w:pPr>
        <w:ind w:left="792" w:hanging="432"/>
      </w:pPr>
      <w:rPr>
        <w:rFonts w:hint="default"/>
        <w:b w:val="0"/>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A7814B4"/>
    <w:multiLevelType w:val="multilevel"/>
    <w:tmpl w:val="BF8CE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B75F22"/>
    <w:multiLevelType w:val="multilevel"/>
    <w:tmpl w:val="E3501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010FE7"/>
    <w:multiLevelType w:val="multilevel"/>
    <w:tmpl w:val="ABF8C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FB6A33"/>
    <w:multiLevelType w:val="multilevel"/>
    <w:tmpl w:val="F5124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06509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29E14F9"/>
    <w:multiLevelType w:val="multilevel"/>
    <w:tmpl w:val="76D43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4166E4"/>
    <w:multiLevelType w:val="multilevel"/>
    <w:tmpl w:val="055CF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5C129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EFA22AF"/>
    <w:multiLevelType w:val="multilevel"/>
    <w:tmpl w:val="90381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3931A3"/>
    <w:multiLevelType w:val="multilevel"/>
    <w:tmpl w:val="FFF62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9B75613"/>
    <w:multiLevelType w:val="multilevel"/>
    <w:tmpl w:val="A77E1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393E03"/>
    <w:multiLevelType w:val="multilevel"/>
    <w:tmpl w:val="875A2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2"/>
  </w:num>
  <w:num w:numId="3">
    <w:abstractNumId w:val="7"/>
  </w:num>
  <w:num w:numId="4">
    <w:abstractNumId w:val="2"/>
  </w:num>
  <w:num w:numId="5">
    <w:abstractNumId w:val="8"/>
  </w:num>
  <w:num w:numId="6">
    <w:abstractNumId w:val="1"/>
  </w:num>
  <w:num w:numId="7">
    <w:abstractNumId w:val="17"/>
  </w:num>
  <w:num w:numId="8">
    <w:abstractNumId w:val="9"/>
  </w:num>
  <w:num w:numId="9">
    <w:abstractNumId w:val="5"/>
  </w:num>
  <w:num w:numId="10">
    <w:abstractNumId w:val="13"/>
  </w:num>
  <w:num w:numId="11">
    <w:abstractNumId w:val="16"/>
  </w:num>
  <w:num w:numId="12">
    <w:abstractNumId w:val="10"/>
  </w:num>
  <w:num w:numId="13">
    <w:abstractNumId w:val="18"/>
  </w:num>
  <w:num w:numId="14">
    <w:abstractNumId w:val="3"/>
  </w:num>
  <w:num w:numId="15">
    <w:abstractNumId w:val="4"/>
  </w:num>
  <w:num w:numId="16">
    <w:abstractNumId w:val="15"/>
  </w:num>
  <w:num w:numId="17">
    <w:abstractNumId w:val="6"/>
  </w:num>
  <w:num w:numId="18">
    <w:abstractNumId w:val="14"/>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1E22"/>
    <w:rsid w:val="00014CB1"/>
    <w:rsid w:val="00015077"/>
    <w:rsid w:val="000264A1"/>
    <w:rsid w:val="00034770"/>
    <w:rsid w:val="000545D4"/>
    <w:rsid w:val="00057E2F"/>
    <w:rsid w:val="00060FB4"/>
    <w:rsid w:val="00123ADA"/>
    <w:rsid w:val="001961FE"/>
    <w:rsid w:val="001A5EFA"/>
    <w:rsid w:val="001A6385"/>
    <w:rsid w:val="0026295D"/>
    <w:rsid w:val="002C645B"/>
    <w:rsid w:val="002C7AE8"/>
    <w:rsid w:val="002D0851"/>
    <w:rsid w:val="002D112D"/>
    <w:rsid w:val="002D17E9"/>
    <w:rsid w:val="003276ED"/>
    <w:rsid w:val="00331C07"/>
    <w:rsid w:val="00357B6A"/>
    <w:rsid w:val="003B114C"/>
    <w:rsid w:val="003B79D7"/>
    <w:rsid w:val="003F1A91"/>
    <w:rsid w:val="003F7931"/>
    <w:rsid w:val="00400924"/>
    <w:rsid w:val="0041514C"/>
    <w:rsid w:val="00442555"/>
    <w:rsid w:val="00460FEE"/>
    <w:rsid w:val="00476C09"/>
    <w:rsid w:val="004829A8"/>
    <w:rsid w:val="004D63B9"/>
    <w:rsid w:val="004F5F80"/>
    <w:rsid w:val="005254C9"/>
    <w:rsid w:val="00527099"/>
    <w:rsid w:val="00556503"/>
    <w:rsid w:val="00564B81"/>
    <w:rsid w:val="00637171"/>
    <w:rsid w:val="0063768D"/>
    <w:rsid w:val="00637D5D"/>
    <w:rsid w:val="00672AAD"/>
    <w:rsid w:val="00695A6F"/>
    <w:rsid w:val="006C2633"/>
    <w:rsid w:val="006F0574"/>
    <w:rsid w:val="00722ABC"/>
    <w:rsid w:val="00737272"/>
    <w:rsid w:val="007400D1"/>
    <w:rsid w:val="007425CB"/>
    <w:rsid w:val="0077240F"/>
    <w:rsid w:val="0078325B"/>
    <w:rsid w:val="00786782"/>
    <w:rsid w:val="00830830"/>
    <w:rsid w:val="00843325"/>
    <w:rsid w:val="008442F9"/>
    <w:rsid w:val="00872883"/>
    <w:rsid w:val="0088470D"/>
    <w:rsid w:val="008A6D32"/>
    <w:rsid w:val="008D4B02"/>
    <w:rsid w:val="008E314C"/>
    <w:rsid w:val="008E5CB8"/>
    <w:rsid w:val="00944A6E"/>
    <w:rsid w:val="009740F4"/>
    <w:rsid w:val="009A2D70"/>
    <w:rsid w:val="009C6EA1"/>
    <w:rsid w:val="009E1505"/>
    <w:rsid w:val="009E558B"/>
    <w:rsid w:val="00A60483"/>
    <w:rsid w:val="00AB293D"/>
    <w:rsid w:val="00B62134"/>
    <w:rsid w:val="00B725B2"/>
    <w:rsid w:val="00B741E5"/>
    <w:rsid w:val="00BA517A"/>
    <w:rsid w:val="00BF7013"/>
    <w:rsid w:val="00C008F7"/>
    <w:rsid w:val="00C15486"/>
    <w:rsid w:val="00C2183F"/>
    <w:rsid w:val="00C439D4"/>
    <w:rsid w:val="00CB3AC4"/>
    <w:rsid w:val="00CF2095"/>
    <w:rsid w:val="00D44803"/>
    <w:rsid w:val="00D761AE"/>
    <w:rsid w:val="00E20CB7"/>
    <w:rsid w:val="00E31A13"/>
    <w:rsid w:val="00E41BA3"/>
    <w:rsid w:val="00EF46F7"/>
    <w:rsid w:val="00F02938"/>
    <w:rsid w:val="00F22B17"/>
    <w:rsid w:val="00F5179A"/>
    <w:rsid w:val="00FF1E4E"/>
    <w:rsid w:val="00FF2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6782"/>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pPr>
    <w:rPr>
      <w:lang w:eastAsia="en-GB"/>
    </w:rPr>
  </w:style>
  <w:style w:type="character" w:customStyle="1" w:styleId="apple-converted-space">
    <w:name w:val="apple-converted-space"/>
    <w:basedOn w:val="DefaultParagraphFont"/>
    <w:rsid w:val="008A6D32"/>
  </w:style>
  <w:style w:type="character" w:styleId="Emphasis">
    <w:name w:val="Emphasis"/>
    <w:basedOn w:val="DefaultParagraphFont"/>
    <w:uiPriority w:val="20"/>
    <w:qFormat/>
    <w:rsid w:val="003B79D7"/>
    <w:rPr>
      <w:i/>
      <w:iCs/>
    </w:rPr>
  </w:style>
  <w:style w:type="character" w:styleId="Hyperlink">
    <w:name w:val="Hyperlink"/>
    <w:basedOn w:val="DefaultParagraphFont"/>
    <w:uiPriority w:val="99"/>
    <w:unhideWhenUsed/>
    <w:rsid w:val="00B725B2"/>
    <w:rPr>
      <w:color w:val="467886" w:themeColor="hyperlink"/>
      <w:u w:val="single"/>
    </w:rPr>
  </w:style>
  <w:style w:type="character" w:styleId="UnresolvedMention">
    <w:name w:val="Unresolved Mention"/>
    <w:basedOn w:val="DefaultParagraphFont"/>
    <w:uiPriority w:val="99"/>
    <w:semiHidden/>
    <w:unhideWhenUsed/>
    <w:rsid w:val="00B725B2"/>
    <w:rPr>
      <w:color w:val="605E5C"/>
      <w:shd w:val="clear" w:color="auto" w:fill="E1DFDD"/>
    </w:rPr>
  </w:style>
  <w:style w:type="character" w:customStyle="1" w:styleId="inqyif">
    <w:name w:val="inqyif"/>
    <w:basedOn w:val="DefaultParagraphFont"/>
    <w:rsid w:val="001A5EFA"/>
  </w:style>
  <w:style w:type="character" w:styleId="FollowedHyperlink">
    <w:name w:val="FollowedHyperlink"/>
    <w:basedOn w:val="DefaultParagraphFont"/>
    <w:uiPriority w:val="99"/>
    <w:semiHidden/>
    <w:unhideWhenUsed/>
    <w:rsid w:val="002C7AE8"/>
    <w:rPr>
      <w:color w:val="96607D" w:themeColor="followedHyperlink"/>
      <w:u w:val="single"/>
    </w:rPr>
  </w:style>
  <w:style w:type="paragraph" w:customStyle="1" w:styleId="z1qcye">
    <w:name w:val="z1qcye"/>
    <w:basedOn w:val="Normal"/>
    <w:rsid w:val="00637D5D"/>
    <w:pPr>
      <w:spacing w:before="100" w:beforeAutospacing="1" w:after="100" w:afterAutospacing="1"/>
    </w:pPr>
  </w:style>
  <w:style w:type="character" w:customStyle="1" w:styleId="anchor-text">
    <w:name w:val="anchor-text"/>
    <w:basedOn w:val="DefaultParagraphFont"/>
    <w:rsid w:val="00786782"/>
  </w:style>
  <w:style w:type="character" w:customStyle="1" w:styleId="list-content">
    <w:name w:val="list-content"/>
    <w:basedOn w:val="DefaultParagraphFont"/>
    <w:rsid w:val="0026295D"/>
  </w:style>
  <w:style w:type="paragraph" w:customStyle="1" w:styleId="react-xocs-list-item">
    <w:name w:val="react-xocs-list-item"/>
    <w:basedOn w:val="Normal"/>
    <w:rsid w:val="0026295D"/>
    <w:pPr>
      <w:spacing w:before="100" w:beforeAutospacing="1" w:after="100" w:afterAutospacing="1"/>
    </w:pPr>
  </w:style>
  <w:style w:type="character" w:customStyle="1" w:styleId="list-label">
    <w:name w:val="list-label"/>
    <w:basedOn w:val="DefaultParagraphFont"/>
    <w:rsid w:val="0026295D"/>
  </w:style>
  <w:style w:type="paragraph" w:customStyle="1" w:styleId="isselectedend">
    <w:name w:val="isselectedend"/>
    <w:basedOn w:val="Normal"/>
    <w:rsid w:val="008E5CB8"/>
    <w:pPr>
      <w:spacing w:before="100" w:beforeAutospacing="1" w:after="100" w:afterAutospacing="1"/>
    </w:pPr>
  </w:style>
  <w:style w:type="paragraph" w:customStyle="1" w:styleId="font-claude-response-body">
    <w:name w:val="font-claude-response-body"/>
    <w:basedOn w:val="Normal"/>
    <w:rsid w:val="008E5CB8"/>
    <w:pPr>
      <w:spacing w:before="100" w:beforeAutospacing="1" w:after="100" w:afterAutospacing="1"/>
    </w:pPr>
  </w:style>
  <w:style w:type="character" w:customStyle="1" w:styleId="inline-flex">
    <w:name w:val="inline-flex"/>
    <w:basedOn w:val="DefaultParagraphFont"/>
    <w:rsid w:val="008E5CB8"/>
  </w:style>
  <w:style w:type="character" w:customStyle="1" w:styleId="text-nowrap">
    <w:name w:val="text-nowrap"/>
    <w:basedOn w:val="DefaultParagraphFont"/>
    <w:rsid w:val="008E5CB8"/>
  </w:style>
  <w:style w:type="character" w:customStyle="1" w:styleId="text-sm">
    <w:name w:val="text-sm"/>
    <w:basedOn w:val="DefaultParagraphFont"/>
    <w:rsid w:val="008E5CB8"/>
  </w:style>
  <w:style w:type="paragraph" w:customStyle="1" w:styleId="is-empty">
    <w:name w:val="is-empty"/>
    <w:basedOn w:val="Normal"/>
    <w:rsid w:val="008E5CB8"/>
    <w:pPr>
      <w:spacing w:before="100" w:beforeAutospacing="1" w:after="100" w:afterAutospacing="1"/>
    </w:pPr>
  </w:style>
  <w:style w:type="paragraph" w:styleId="FootnoteText">
    <w:name w:val="footnote text"/>
    <w:basedOn w:val="Normal"/>
    <w:link w:val="FootnoteTextChar"/>
    <w:uiPriority w:val="99"/>
    <w:semiHidden/>
    <w:unhideWhenUsed/>
    <w:rsid w:val="008D4B02"/>
    <w:rPr>
      <w:sz w:val="20"/>
      <w:szCs w:val="20"/>
    </w:rPr>
  </w:style>
  <w:style w:type="character" w:customStyle="1" w:styleId="FootnoteTextChar">
    <w:name w:val="Footnote Text Char"/>
    <w:basedOn w:val="DefaultParagraphFont"/>
    <w:link w:val="FootnoteText"/>
    <w:uiPriority w:val="99"/>
    <w:semiHidden/>
    <w:rsid w:val="008D4B02"/>
    <w:rPr>
      <w:rFonts w:ascii="Times New Roman" w:eastAsia="Times New Roman" w:hAnsi="Times New Roman" w:cs="Times New Roman"/>
      <w:kern w:val="0"/>
      <w:sz w:val="20"/>
      <w:szCs w:val="20"/>
      <w14:ligatures w14:val="none"/>
    </w:rPr>
  </w:style>
  <w:style w:type="character" w:styleId="FootnoteReference">
    <w:name w:val="footnote reference"/>
    <w:basedOn w:val="DefaultParagraphFont"/>
    <w:uiPriority w:val="99"/>
    <w:semiHidden/>
    <w:unhideWhenUsed/>
    <w:rsid w:val="008D4B02"/>
    <w:rPr>
      <w:vertAlign w:val="superscript"/>
    </w:rPr>
  </w:style>
  <w:style w:type="table" w:styleId="TableGrid">
    <w:name w:val="Table Grid"/>
    <w:basedOn w:val="TableNormal"/>
    <w:uiPriority w:val="39"/>
    <w:rsid w:val="007400D1"/>
    <w:pPr>
      <w:spacing w:after="0" w:line="240" w:lineRule="auto"/>
    </w:pPr>
    <w:rPr>
      <w:rFonts w:ascii="Aptos" w:eastAsia="Aptos" w:hAnsi="Aptos" w:cs="Times New Roman"/>
      <w:kern w:val="0"/>
      <w:sz w:val="20"/>
      <w:szCs w:val="2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s">
    <w:name w:val="contents"/>
    <w:basedOn w:val="DefaultParagraphFont"/>
    <w:rsid w:val="00F5179A"/>
  </w:style>
  <w:style w:type="paragraph" w:styleId="z-TopofForm">
    <w:name w:val="HTML Top of Form"/>
    <w:basedOn w:val="Normal"/>
    <w:next w:val="Normal"/>
    <w:link w:val="z-TopofFormChar"/>
    <w:hidden/>
    <w:uiPriority w:val="99"/>
    <w:semiHidden/>
    <w:unhideWhenUsed/>
    <w:rsid w:val="00F5179A"/>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F5179A"/>
    <w:rPr>
      <w:rFonts w:ascii="Arial" w:eastAsia="Times New Roman" w:hAnsi="Arial" w:cs="Arial"/>
      <w:vanish/>
      <w:kern w:val="0"/>
      <w:sz w:val="16"/>
      <w:szCs w:val="16"/>
      <w14:ligatures w14:val="none"/>
    </w:rPr>
  </w:style>
  <w:style w:type="paragraph" w:customStyle="1" w:styleId="placeholder">
    <w:name w:val="placeholder"/>
    <w:basedOn w:val="Normal"/>
    <w:rsid w:val="00F5179A"/>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F5179A"/>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F5179A"/>
    <w:rPr>
      <w:rFonts w:ascii="Arial" w:eastAsia="Times New Roman" w:hAnsi="Arial" w:cs="Arial"/>
      <w:vanish/>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47135">
      <w:bodyDiv w:val="1"/>
      <w:marLeft w:val="0"/>
      <w:marRight w:val="0"/>
      <w:marTop w:val="0"/>
      <w:marBottom w:val="0"/>
      <w:divBdr>
        <w:top w:val="none" w:sz="0" w:space="0" w:color="auto"/>
        <w:left w:val="none" w:sz="0" w:space="0" w:color="auto"/>
        <w:bottom w:val="none" w:sz="0" w:space="0" w:color="auto"/>
        <w:right w:val="none" w:sz="0" w:space="0" w:color="auto"/>
      </w:divBdr>
      <w:divsChild>
        <w:div w:id="2047021370">
          <w:marLeft w:val="0"/>
          <w:marRight w:val="0"/>
          <w:marTop w:val="0"/>
          <w:marBottom w:val="0"/>
          <w:divBdr>
            <w:top w:val="none" w:sz="0" w:space="0" w:color="auto"/>
            <w:left w:val="none" w:sz="0" w:space="0" w:color="auto"/>
            <w:bottom w:val="none" w:sz="0" w:space="0" w:color="auto"/>
            <w:right w:val="none" w:sz="0" w:space="0" w:color="auto"/>
          </w:divBdr>
        </w:div>
        <w:div w:id="1605457216">
          <w:marLeft w:val="0"/>
          <w:marRight w:val="0"/>
          <w:marTop w:val="0"/>
          <w:marBottom w:val="0"/>
          <w:divBdr>
            <w:top w:val="none" w:sz="0" w:space="0" w:color="auto"/>
            <w:left w:val="none" w:sz="0" w:space="0" w:color="auto"/>
            <w:bottom w:val="none" w:sz="0" w:space="0" w:color="auto"/>
            <w:right w:val="none" w:sz="0" w:space="0" w:color="auto"/>
          </w:divBdr>
        </w:div>
        <w:div w:id="415440489">
          <w:marLeft w:val="0"/>
          <w:marRight w:val="0"/>
          <w:marTop w:val="0"/>
          <w:marBottom w:val="0"/>
          <w:divBdr>
            <w:top w:val="none" w:sz="0" w:space="0" w:color="auto"/>
            <w:left w:val="none" w:sz="0" w:space="0" w:color="auto"/>
            <w:bottom w:val="none" w:sz="0" w:space="0" w:color="auto"/>
            <w:right w:val="none" w:sz="0" w:space="0" w:color="auto"/>
          </w:divBdr>
        </w:div>
        <w:div w:id="1083381722">
          <w:marLeft w:val="0"/>
          <w:marRight w:val="0"/>
          <w:marTop w:val="0"/>
          <w:marBottom w:val="0"/>
          <w:divBdr>
            <w:top w:val="none" w:sz="0" w:space="0" w:color="auto"/>
            <w:left w:val="none" w:sz="0" w:space="0" w:color="auto"/>
            <w:bottom w:val="none" w:sz="0" w:space="0" w:color="auto"/>
            <w:right w:val="none" w:sz="0" w:space="0" w:color="auto"/>
          </w:divBdr>
        </w:div>
      </w:divsChild>
    </w:div>
    <w:div w:id="186601974">
      <w:bodyDiv w:val="1"/>
      <w:marLeft w:val="0"/>
      <w:marRight w:val="0"/>
      <w:marTop w:val="0"/>
      <w:marBottom w:val="0"/>
      <w:divBdr>
        <w:top w:val="none" w:sz="0" w:space="0" w:color="auto"/>
        <w:left w:val="none" w:sz="0" w:space="0" w:color="auto"/>
        <w:bottom w:val="none" w:sz="0" w:space="0" w:color="auto"/>
        <w:right w:val="none" w:sz="0" w:space="0" w:color="auto"/>
      </w:divBdr>
      <w:divsChild>
        <w:div w:id="1560557945">
          <w:marLeft w:val="0"/>
          <w:marRight w:val="0"/>
          <w:marTop w:val="0"/>
          <w:marBottom w:val="120"/>
          <w:divBdr>
            <w:top w:val="none" w:sz="0" w:space="0" w:color="auto"/>
            <w:left w:val="none" w:sz="0" w:space="0" w:color="auto"/>
            <w:bottom w:val="none" w:sz="0" w:space="0" w:color="auto"/>
            <w:right w:val="none" w:sz="0" w:space="0" w:color="auto"/>
          </w:divBdr>
        </w:div>
        <w:div w:id="1860121017">
          <w:marLeft w:val="150"/>
          <w:marRight w:val="0"/>
          <w:marTop w:val="0"/>
          <w:marBottom w:val="225"/>
          <w:divBdr>
            <w:top w:val="none" w:sz="0" w:space="0" w:color="auto"/>
            <w:left w:val="none" w:sz="0" w:space="0" w:color="auto"/>
            <w:bottom w:val="none" w:sz="0" w:space="0" w:color="auto"/>
            <w:right w:val="none" w:sz="0" w:space="0" w:color="auto"/>
          </w:divBdr>
        </w:div>
      </w:divsChild>
    </w:div>
    <w:div w:id="256326769">
      <w:bodyDiv w:val="1"/>
      <w:marLeft w:val="0"/>
      <w:marRight w:val="0"/>
      <w:marTop w:val="0"/>
      <w:marBottom w:val="0"/>
      <w:divBdr>
        <w:top w:val="none" w:sz="0" w:space="0" w:color="auto"/>
        <w:left w:val="none" w:sz="0" w:space="0" w:color="auto"/>
        <w:bottom w:val="none" w:sz="0" w:space="0" w:color="auto"/>
        <w:right w:val="none" w:sz="0" w:space="0" w:color="auto"/>
      </w:divBdr>
    </w:div>
    <w:div w:id="468985865">
      <w:bodyDiv w:val="1"/>
      <w:marLeft w:val="0"/>
      <w:marRight w:val="0"/>
      <w:marTop w:val="0"/>
      <w:marBottom w:val="0"/>
      <w:divBdr>
        <w:top w:val="none" w:sz="0" w:space="0" w:color="auto"/>
        <w:left w:val="none" w:sz="0" w:space="0" w:color="auto"/>
        <w:bottom w:val="none" w:sz="0" w:space="0" w:color="auto"/>
        <w:right w:val="none" w:sz="0" w:space="0" w:color="auto"/>
      </w:divBdr>
    </w:div>
    <w:div w:id="494346307">
      <w:bodyDiv w:val="1"/>
      <w:marLeft w:val="0"/>
      <w:marRight w:val="0"/>
      <w:marTop w:val="0"/>
      <w:marBottom w:val="0"/>
      <w:divBdr>
        <w:top w:val="none" w:sz="0" w:space="0" w:color="auto"/>
        <w:left w:val="none" w:sz="0" w:space="0" w:color="auto"/>
        <w:bottom w:val="none" w:sz="0" w:space="0" w:color="auto"/>
        <w:right w:val="none" w:sz="0" w:space="0" w:color="auto"/>
      </w:divBdr>
    </w:div>
    <w:div w:id="496962677">
      <w:bodyDiv w:val="1"/>
      <w:marLeft w:val="0"/>
      <w:marRight w:val="0"/>
      <w:marTop w:val="0"/>
      <w:marBottom w:val="0"/>
      <w:divBdr>
        <w:top w:val="none" w:sz="0" w:space="0" w:color="auto"/>
        <w:left w:val="none" w:sz="0" w:space="0" w:color="auto"/>
        <w:bottom w:val="none" w:sz="0" w:space="0" w:color="auto"/>
        <w:right w:val="none" w:sz="0" w:space="0" w:color="auto"/>
      </w:divBdr>
    </w:div>
    <w:div w:id="500630150">
      <w:bodyDiv w:val="1"/>
      <w:marLeft w:val="0"/>
      <w:marRight w:val="0"/>
      <w:marTop w:val="0"/>
      <w:marBottom w:val="0"/>
      <w:divBdr>
        <w:top w:val="none" w:sz="0" w:space="0" w:color="auto"/>
        <w:left w:val="none" w:sz="0" w:space="0" w:color="auto"/>
        <w:bottom w:val="none" w:sz="0" w:space="0" w:color="auto"/>
        <w:right w:val="none" w:sz="0" w:space="0" w:color="auto"/>
      </w:divBdr>
      <w:divsChild>
        <w:div w:id="1868643526">
          <w:marLeft w:val="0"/>
          <w:marRight w:val="0"/>
          <w:marTop w:val="180"/>
          <w:marBottom w:val="240"/>
          <w:divBdr>
            <w:top w:val="none" w:sz="0" w:space="0" w:color="auto"/>
            <w:left w:val="none" w:sz="0" w:space="0" w:color="auto"/>
            <w:bottom w:val="none" w:sz="0" w:space="0" w:color="auto"/>
            <w:right w:val="none" w:sz="0" w:space="0" w:color="auto"/>
          </w:divBdr>
        </w:div>
        <w:div w:id="398598455">
          <w:marLeft w:val="0"/>
          <w:marRight w:val="0"/>
          <w:marTop w:val="360"/>
          <w:marBottom w:val="180"/>
          <w:divBdr>
            <w:top w:val="none" w:sz="0" w:space="0" w:color="auto"/>
            <w:left w:val="none" w:sz="0" w:space="0" w:color="auto"/>
            <w:bottom w:val="none" w:sz="0" w:space="0" w:color="auto"/>
            <w:right w:val="none" w:sz="0" w:space="0" w:color="auto"/>
          </w:divBdr>
        </w:div>
        <w:div w:id="1031416612">
          <w:marLeft w:val="0"/>
          <w:marRight w:val="0"/>
          <w:marTop w:val="180"/>
          <w:marBottom w:val="240"/>
          <w:divBdr>
            <w:top w:val="none" w:sz="0" w:space="0" w:color="auto"/>
            <w:left w:val="none" w:sz="0" w:space="0" w:color="auto"/>
            <w:bottom w:val="none" w:sz="0" w:space="0" w:color="auto"/>
            <w:right w:val="none" w:sz="0" w:space="0" w:color="auto"/>
          </w:divBdr>
        </w:div>
      </w:divsChild>
    </w:div>
    <w:div w:id="507906087">
      <w:bodyDiv w:val="1"/>
      <w:marLeft w:val="0"/>
      <w:marRight w:val="0"/>
      <w:marTop w:val="0"/>
      <w:marBottom w:val="0"/>
      <w:divBdr>
        <w:top w:val="none" w:sz="0" w:space="0" w:color="auto"/>
        <w:left w:val="none" w:sz="0" w:space="0" w:color="auto"/>
        <w:bottom w:val="none" w:sz="0" w:space="0" w:color="auto"/>
        <w:right w:val="none" w:sz="0" w:space="0" w:color="auto"/>
      </w:divBdr>
    </w:div>
    <w:div w:id="882212521">
      <w:bodyDiv w:val="1"/>
      <w:marLeft w:val="0"/>
      <w:marRight w:val="0"/>
      <w:marTop w:val="0"/>
      <w:marBottom w:val="0"/>
      <w:divBdr>
        <w:top w:val="none" w:sz="0" w:space="0" w:color="auto"/>
        <w:left w:val="none" w:sz="0" w:space="0" w:color="auto"/>
        <w:bottom w:val="none" w:sz="0" w:space="0" w:color="auto"/>
        <w:right w:val="none" w:sz="0" w:space="0" w:color="auto"/>
      </w:divBdr>
    </w:div>
    <w:div w:id="929436846">
      <w:bodyDiv w:val="1"/>
      <w:marLeft w:val="0"/>
      <w:marRight w:val="0"/>
      <w:marTop w:val="0"/>
      <w:marBottom w:val="0"/>
      <w:divBdr>
        <w:top w:val="none" w:sz="0" w:space="0" w:color="auto"/>
        <w:left w:val="none" w:sz="0" w:space="0" w:color="auto"/>
        <w:bottom w:val="none" w:sz="0" w:space="0" w:color="auto"/>
        <w:right w:val="none" w:sz="0" w:space="0" w:color="auto"/>
      </w:divBdr>
    </w:div>
    <w:div w:id="944459420">
      <w:bodyDiv w:val="1"/>
      <w:marLeft w:val="0"/>
      <w:marRight w:val="0"/>
      <w:marTop w:val="0"/>
      <w:marBottom w:val="0"/>
      <w:divBdr>
        <w:top w:val="none" w:sz="0" w:space="0" w:color="auto"/>
        <w:left w:val="none" w:sz="0" w:space="0" w:color="auto"/>
        <w:bottom w:val="none" w:sz="0" w:space="0" w:color="auto"/>
        <w:right w:val="none" w:sz="0" w:space="0" w:color="auto"/>
      </w:divBdr>
    </w:div>
    <w:div w:id="1161122386">
      <w:bodyDiv w:val="1"/>
      <w:marLeft w:val="0"/>
      <w:marRight w:val="0"/>
      <w:marTop w:val="0"/>
      <w:marBottom w:val="0"/>
      <w:divBdr>
        <w:top w:val="none" w:sz="0" w:space="0" w:color="auto"/>
        <w:left w:val="none" w:sz="0" w:space="0" w:color="auto"/>
        <w:bottom w:val="none" w:sz="0" w:space="0" w:color="auto"/>
        <w:right w:val="none" w:sz="0" w:space="0" w:color="auto"/>
      </w:divBdr>
      <w:divsChild>
        <w:div w:id="1581328597">
          <w:marLeft w:val="0"/>
          <w:marRight w:val="0"/>
          <w:marTop w:val="0"/>
          <w:marBottom w:val="0"/>
          <w:divBdr>
            <w:top w:val="none" w:sz="0" w:space="0" w:color="auto"/>
            <w:left w:val="none" w:sz="0" w:space="0" w:color="auto"/>
            <w:bottom w:val="none" w:sz="0" w:space="0" w:color="auto"/>
            <w:right w:val="none" w:sz="0" w:space="0" w:color="auto"/>
          </w:divBdr>
        </w:div>
        <w:div w:id="2005164560">
          <w:marLeft w:val="0"/>
          <w:marRight w:val="0"/>
          <w:marTop w:val="0"/>
          <w:marBottom w:val="0"/>
          <w:divBdr>
            <w:top w:val="none" w:sz="0" w:space="0" w:color="auto"/>
            <w:left w:val="none" w:sz="0" w:space="0" w:color="auto"/>
            <w:bottom w:val="none" w:sz="0" w:space="0" w:color="auto"/>
            <w:right w:val="none" w:sz="0" w:space="0" w:color="auto"/>
          </w:divBdr>
        </w:div>
        <w:div w:id="524289184">
          <w:marLeft w:val="0"/>
          <w:marRight w:val="0"/>
          <w:marTop w:val="0"/>
          <w:marBottom w:val="0"/>
          <w:divBdr>
            <w:top w:val="none" w:sz="0" w:space="0" w:color="auto"/>
            <w:left w:val="none" w:sz="0" w:space="0" w:color="auto"/>
            <w:bottom w:val="none" w:sz="0" w:space="0" w:color="auto"/>
            <w:right w:val="none" w:sz="0" w:space="0" w:color="auto"/>
          </w:divBdr>
        </w:div>
        <w:div w:id="1741977473">
          <w:marLeft w:val="0"/>
          <w:marRight w:val="0"/>
          <w:marTop w:val="0"/>
          <w:marBottom w:val="0"/>
          <w:divBdr>
            <w:top w:val="none" w:sz="0" w:space="0" w:color="auto"/>
            <w:left w:val="none" w:sz="0" w:space="0" w:color="auto"/>
            <w:bottom w:val="none" w:sz="0" w:space="0" w:color="auto"/>
            <w:right w:val="none" w:sz="0" w:space="0" w:color="auto"/>
          </w:divBdr>
        </w:div>
      </w:divsChild>
    </w:div>
    <w:div w:id="1335910954">
      <w:bodyDiv w:val="1"/>
      <w:marLeft w:val="0"/>
      <w:marRight w:val="0"/>
      <w:marTop w:val="0"/>
      <w:marBottom w:val="0"/>
      <w:divBdr>
        <w:top w:val="none" w:sz="0" w:space="0" w:color="auto"/>
        <w:left w:val="none" w:sz="0" w:space="0" w:color="auto"/>
        <w:bottom w:val="none" w:sz="0" w:space="0" w:color="auto"/>
        <w:right w:val="none" w:sz="0" w:space="0" w:color="auto"/>
      </w:divBdr>
    </w:div>
    <w:div w:id="1407726007">
      <w:bodyDiv w:val="1"/>
      <w:marLeft w:val="0"/>
      <w:marRight w:val="0"/>
      <w:marTop w:val="0"/>
      <w:marBottom w:val="0"/>
      <w:divBdr>
        <w:top w:val="none" w:sz="0" w:space="0" w:color="auto"/>
        <w:left w:val="none" w:sz="0" w:space="0" w:color="auto"/>
        <w:bottom w:val="none" w:sz="0" w:space="0" w:color="auto"/>
        <w:right w:val="none" w:sz="0" w:space="0" w:color="auto"/>
      </w:divBdr>
    </w:div>
    <w:div w:id="1708679902">
      <w:bodyDiv w:val="1"/>
      <w:marLeft w:val="0"/>
      <w:marRight w:val="0"/>
      <w:marTop w:val="0"/>
      <w:marBottom w:val="0"/>
      <w:divBdr>
        <w:top w:val="none" w:sz="0" w:space="0" w:color="auto"/>
        <w:left w:val="none" w:sz="0" w:space="0" w:color="auto"/>
        <w:bottom w:val="none" w:sz="0" w:space="0" w:color="auto"/>
        <w:right w:val="none" w:sz="0" w:space="0" w:color="auto"/>
      </w:divBdr>
    </w:div>
    <w:div w:id="1718429042">
      <w:bodyDiv w:val="1"/>
      <w:marLeft w:val="0"/>
      <w:marRight w:val="0"/>
      <w:marTop w:val="0"/>
      <w:marBottom w:val="0"/>
      <w:divBdr>
        <w:top w:val="none" w:sz="0" w:space="0" w:color="auto"/>
        <w:left w:val="none" w:sz="0" w:space="0" w:color="auto"/>
        <w:bottom w:val="none" w:sz="0" w:space="0" w:color="auto"/>
        <w:right w:val="none" w:sz="0" w:space="0" w:color="auto"/>
      </w:divBdr>
      <w:divsChild>
        <w:div w:id="1281230666">
          <w:marLeft w:val="0"/>
          <w:marRight w:val="0"/>
          <w:marTop w:val="180"/>
          <w:marBottom w:val="240"/>
          <w:divBdr>
            <w:top w:val="none" w:sz="0" w:space="0" w:color="auto"/>
            <w:left w:val="none" w:sz="0" w:space="0" w:color="auto"/>
            <w:bottom w:val="none" w:sz="0" w:space="0" w:color="auto"/>
            <w:right w:val="none" w:sz="0" w:space="0" w:color="auto"/>
          </w:divBdr>
        </w:div>
        <w:div w:id="462161172">
          <w:marLeft w:val="0"/>
          <w:marRight w:val="0"/>
          <w:marTop w:val="180"/>
          <w:marBottom w:val="240"/>
          <w:divBdr>
            <w:top w:val="none" w:sz="0" w:space="0" w:color="auto"/>
            <w:left w:val="none" w:sz="0" w:space="0" w:color="auto"/>
            <w:bottom w:val="none" w:sz="0" w:space="0" w:color="auto"/>
            <w:right w:val="none" w:sz="0" w:space="0" w:color="auto"/>
          </w:divBdr>
        </w:div>
      </w:divsChild>
    </w:div>
    <w:div w:id="1837845032">
      <w:bodyDiv w:val="1"/>
      <w:marLeft w:val="0"/>
      <w:marRight w:val="0"/>
      <w:marTop w:val="0"/>
      <w:marBottom w:val="0"/>
      <w:divBdr>
        <w:top w:val="none" w:sz="0" w:space="0" w:color="auto"/>
        <w:left w:val="none" w:sz="0" w:space="0" w:color="auto"/>
        <w:bottom w:val="none" w:sz="0" w:space="0" w:color="auto"/>
        <w:right w:val="none" w:sz="0" w:space="0" w:color="auto"/>
      </w:divBdr>
      <w:divsChild>
        <w:div w:id="1763145706">
          <w:marLeft w:val="0"/>
          <w:marRight w:val="0"/>
          <w:marTop w:val="0"/>
          <w:marBottom w:val="0"/>
          <w:divBdr>
            <w:top w:val="none" w:sz="0" w:space="0" w:color="auto"/>
            <w:left w:val="none" w:sz="0" w:space="0" w:color="auto"/>
            <w:bottom w:val="none" w:sz="0" w:space="0" w:color="auto"/>
            <w:right w:val="none" w:sz="0" w:space="0" w:color="auto"/>
          </w:divBdr>
          <w:divsChild>
            <w:div w:id="106707364">
              <w:marLeft w:val="0"/>
              <w:marRight w:val="0"/>
              <w:marTop w:val="0"/>
              <w:marBottom w:val="0"/>
              <w:divBdr>
                <w:top w:val="none" w:sz="0" w:space="0" w:color="auto"/>
                <w:left w:val="none" w:sz="0" w:space="0" w:color="auto"/>
                <w:bottom w:val="none" w:sz="0" w:space="0" w:color="auto"/>
                <w:right w:val="none" w:sz="0" w:space="0" w:color="auto"/>
              </w:divBdr>
              <w:divsChild>
                <w:div w:id="924144225">
                  <w:marLeft w:val="0"/>
                  <w:marRight w:val="0"/>
                  <w:marTop w:val="0"/>
                  <w:marBottom w:val="0"/>
                  <w:divBdr>
                    <w:top w:val="none" w:sz="0" w:space="0" w:color="auto"/>
                    <w:left w:val="none" w:sz="0" w:space="0" w:color="auto"/>
                    <w:bottom w:val="none" w:sz="0" w:space="0" w:color="auto"/>
                    <w:right w:val="none" w:sz="0" w:space="0" w:color="auto"/>
                  </w:divBdr>
                  <w:divsChild>
                    <w:div w:id="1542788526">
                      <w:marLeft w:val="0"/>
                      <w:marRight w:val="0"/>
                      <w:marTop w:val="0"/>
                      <w:marBottom w:val="0"/>
                      <w:divBdr>
                        <w:top w:val="none" w:sz="0" w:space="0" w:color="auto"/>
                        <w:left w:val="none" w:sz="0" w:space="0" w:color="auto"/>
                        <w:bottom w:val="none" w:sz="0" w:space="0" w:color="auto"/>
                        <w:right w:val="none" w:sz="0" w:space="0" w:color="auto"/>
                      </w:divBdr>
                      <w:divsChild>
                        <w:div w:id="1552493270">
                          <w:marLeft w:val="0"/>
                          <w:marRight w:val="0"/>
                          <w:marTop w:val="0"/>
                          <w:marBottom w:val="0"/>
                          <w:divBdr>
                            <w:top w:val="none" w:sz="0" w:space="0" w:color="auto"/>
                            <w:left w:val="none" w:sz="0" w:space="0" w:color="auto"/>
                            <w:bottom w:val="none" w:sz="0" w:space="0" w:color="auto"/>
                            <w:right w:val="none" w:sz="0" w:space="0" w:color="auto"/>
                          </w:divBdr>
                          <w:divsChild>
                            <w:div w:id="1720471590">
                              <w:marLeft w:val="0"/>
                              <w:marRight w:val="0"/>
                              <w:marTop w:val="0"/>
                              <w:marBottom w:val="0"/>
                              <w:divBdr>
                                <w:top w:val="none" w:sz="0" w:space="0" w:color="auto"/>
                                <w:left w:val="none" w:sz="0" w:space="0" w:color="auto"/>
                                <w:bottom w:val="none" w:sz="0" w:space="0" w:color="auto"/>
                                <w:right w:val="none" w:sz="0" w:space="0" w:color="auto"/>
                              </w:divBdr>
                              <w:divsChild>
                                <w:div w:id="1360624067">
                                  <w:marLeft w:val="0"/>
                                  <w:marRight w:val="0"/>
                                  <w:marTop w:val="0"/>
                                  <w:marBottom w:val="0"/>
                                  <w:divBdr>
                                    <w:top w:val="none" w:sz="0" w:space="0" w:color="auto"/>
                                    <w:left w:val="none" w:sz="0" w:space="0" w:color="auto"/>
                                    <w:bottom w:val="none" w:sz="0" w:space="0" w:color="auto"/>
                                    <w:right w:val="none" w:sz="0" w:space="0" w:color="auto"/>
                                  </w:divBdr>
                                  <w:divsChild>
                                    <w:div w:id="310604332">
                                      <w:blockQuote w:val="1"/>
                                      <w:marLeft w:val="720"/>
                                      <w:marRight w:val="720"/>
                                      <w:marTop w:val="100"/>
                                      <w:marBottom w:val="100"/>
                                      <w:divBdr>
                                        <w:top w:val="none" w:sz="0" w:space="0" w:color="auto"/>
                                        <w:left w:val="none" w:sz="0" w:space="0" w:color="auto"/>
                                        <w:bottom w:val="none" w:sz="0" w:space="0" w:color="auto"/>
                                        <w:right w:val="none" w:sz="0" w:space="0" w:color="auto"/>
                                      </w:divBdr>
                                    </w:div>
                                    <w:div w:id="1450977597">
                                      <w:blockQuote w:val="1"/>
                                      <w:marLeft w:val="720"/>
                                      <w:marRight w:val="720"/>
                                      <w:marTop w:val="100"/>
                                      <w:marBottom w:val="100"/>
                                      <w:divBdr>
                                        <w:top w:val="none" w:sz="0" w:space="0" w:color="auto"/>
                                        <w:left w:val="none" w:sz="0" w:space="0" w:color="auto"/>
                                        <w:bottom w:val="none" w:sz="0" w:space="0" w:color="auto"/>
                                        <w:right w:val="none" w:sz="0" w:space="0" w:color="auto"/>
                                      </w:divBdr>
                                    </w:div>
                                    <w:div w:id="1401367737">
                                      <w:blockQuote w:val="1"/>
                                      <w:marLeft w:val="720"/>
                                      <w:marRight w:val="720"/>
                                      <w:marTop w:val="100"/>
                                      <w:marBottom w:val="100"/>
                                      <w:divBdr>
                                        <w:top w:val="none" w:sz="0" w:space="0" w:color="auto"/>
                                        <w:left w:val="none" w:sz="0" w:space="0" w:color="auto"/>
                                        <w:bottom w:val="none" w:sz="0" w:space="0" w:color="auto"/>
                                        <w:right w:val="none" w:sz="0" w:space="0" w:color="auto"/>
                                      </w:divBdr>
                                    </w:div>
                                    <w:div w:id="1505584202">
                                      <w:blockQuote w:val="1"/>
                                      <w:marLeft w:val="720"/>
                                      <w:marRight w:val="720"/>
                                      <w:marTop w:val="100"/>
                                      <w:marBottom w:val="100"/>
                                      <w:divBdr>
                                        <w:top w:val="none" w:sz="0" w:space="0" w:color="auto"/>
                                        <w:left w:val="none" w:sz="0" w:space="0" w:color="auto"/>
                                        <w:bottom w:val="none" w:sz="0" w:space="0" w:color="auto"/>
                                        <w:right w:val="none" w:sz="0" w:space="0" w:color="auto"/>
                                      </w:divBdr>
                                    </w:div>
                                    <w:div w:id="1793010035">
                                      <w:blockQuote w:val="1"/>
                                      <w:marLeft w:val="720"/>
                                      <w:marRight w:val="720"/>
                                      <w:marTop w:val="100"/>
                                      <w:marBottom w:val="100"/>
                                      <w:divBdr>
                                        <w:top w:val="none" w:sz="0" w:space="0" w:color="auto"/>
                                        <w:left w:val="none" w:sz="0" w:space="0" w:color="auto"/>
                                        <w:bottom w:val="none" w:sz="0" w:space="0" w:color="auto"/>
                                        <w:right w:val="none" w:sz="0" w:space="0" w:color="auto"/>
                                      </w:divBdr>
                                    </w:div>
                                    <w:div w:id="835729559">
                                      <w:marLeft w:val="0"/>
                                      <w:marRight w:val="0"/>
                                      <w:marTop w:val="0"/>
                                      <w:marBottom w:val="0"/>
                                      <w:divBdr>
                                        <w:top w:val="none" w:sz="0" w:space="0" w:color="auto"/>
                                        <w:left w:val="none" w:sz="0" w:space="0" w:color="auto"/>
                                        <w:bottom w:val="none" w:sz="0" w:space="0" w:color="auto"/>
                                        <w:right w:val="none" w:sz="0" w:space="0" w:color="auto"/>
                                      </w:divBdr>
                                      <w:divsChild>
                                        <w:div w:id="1469474024">
                                          <w:marLeft w:val="0"/>
                                          <w:marRight w:val="0"/>
                                          <w:marTop w:val="0"/>
                                          <w:marBottom w:val="0"/>
                                          <w:divBdr>
                                            <w:top w:val="none" w:sz="0" w:space="0" w:color="auto"/>
                                            <w:left w:val="none" w:sz="0" w:space="0" w:color="auto"/>
                                            <w:bottom w:val="none" w:sz="0" w:space="0" w:color="auto"/>
                                            <w:right w:val="none" w:sz="0" w:space="0" w:color="auto"/>
                                          </w:divBdr>
                                        </w:div>
                                      </w:divsChild>
                                    </w:div>
                                    <w:div w:id="4860956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4441473">
      <w:bodyDiv w:val="1"/>
      <w:marLeft w:val="0"/>
      <w:marRight w:val="0"/>
      <w:marTop w:val="0"/>
      <w:marBottom w:val="0"/>
      <w:divBdr>
        <w:top w:val="none" w:sz="0" w:space="0" w:color="auto"/>
        <w:left w:val="none" w:sz="0" w:space="0" w:color="auto"/>
        <w:bottom w:val="none" w:sz="0" w:space="0" w:color="auto"/>
        <w:right w:val="none" w:sz="0" w:space="0" w:color="auto"/>
      </w:divBdr>
      <w:divsChild>
        <w:div w:id="1633906056">
          <w:marLeft w:val="0"/>
          <w:marRight w:val="0"/>
          <w:marTop w:val="360"/>
          <w:marBottom w:val="180"/>
          <w:divBdr>
            <w:top w:val="none" w:sz="0" w:space="0" w:color="auto"/>
            <w:left w:val="none" w:sz="0" w:space="0" w:color="auto"/>
            <w:bottom w:val="none" w:sz="0" w:space="0" w:color="auto"/>
            <w:right w:val="none" w:sz="0" w:space="0" w:color="auto"/>
          </w:divBdr>
        </w:div>
        <w:div w:id="1358041882">
          <w:marLeft w:val="0"/>
          <w:marRight w:val="0"/>
          <w:marTop w:val="360"/>
          <w:marBottom w:val="180"/>
          <w:divBdr>
            <w:top w:val="none" w:sz="0" w:space="0" w:color="auto"/>
            <w:left w:val="none" w:sz="0" w:space="0" w:color="auto"/>
            <w:bottom w:val="none" w:sz="0" w:space="0" w:color="auto"/>
            <w:right w:val="none" w:sz="0" w:space="0" w:color="auto"/>
          </w:divBdr>
        </w:div>
      </w:divsChild>
    </w:div>
    <w:div w:id="2053142635">
      <w:bodyDiv w:val="1"/>
      <w:marLeft w:val="0"/>
      <w:marRight w:val="0"/>
      <w:marTop w:val="0"/>
      <w:marBottom w:val="0"/>
      <w:divBdr>
        <w:top w:val="none" w:sz="0" w:space="0" w:color="auto"/>
        <w:left w:val="none" w:sz="0" w:space="0" w:color="auto"/>
        <w:bottom w:val="none" w:sz="0" w:space="0" w:color="auto"/>
        <w:right w:val="none" w:sz="0" w:space="0" w:color="auto"/>
      </w:divBdr>
      <w:divsChild>
        <w:div w:id="141239744">
          <w:marLeft w:val="0"/>
          <w:marRight w:val="0"/>
          <w:marTop w:val="0"/>
          <w:marBottom w:val="0"/>
          <w:divBdr>
            <w:top w:val="none" w:sz="0" w:space="0" w:color="auto"/>
            <w:left w:val="none" w:sz="0" w:space="0" w:color="auto"/>
            <w:bottom w:val="none" w:sz="0" w:space="0" w:color="auto"/>
            <w:right w:val="none" w:sz="0" w:space="0" w:color="auto"/>
          </w:divBdr>
          <w:divsChild>
            <w:div w:id="1951475191">
              <w:marLeft w:val="0"/>
              <w:marRight w:val="0"/>
              <w:marTop w:val="0"/>
              <w:marBottom w:val="0"/>
              <w:divBdr>
                <w:top w:val="none" w:sz="0" w:space="0" w:color="auto"/>
                <w:left w:val="none" w:sz="0" w:space="0" w:color="auto"/>
                <w:bottom w:val="none" w:sz="0" w:space="0" w:color="auto"/>
                <w:right w:val="none" w:sz="0" w:space="0" w:color="auto"/>
              </w:divBdr>
              <w:divsChild>
                <w:div w:id="856625413">
                  <w:marLeft w:val="0"/>
                  <w:marRight w:val="0"/>
                  <w:marTop w:val="0"/>
                  <w:marBottom w:val="0"/>
                  <w:divBdr>
                    <w:top w:val="none" w:sz="0" w:space="0" w:color="auto"/>
                    <w:left w:val="none" w:sz="0" w:space="0" w:color="auto"/>
                    <w:bottom w:val="none" w:sz="0" w:space="0" w:color="auto"/>
                    <w:right w:val="none" w:sz="0" w:space="0" w:color="auto"/>
                  </w:divBdr>
                  <w:divsChild>
                    <w:div w:id="773013089">
                      <w:marLeft w:val="0"/>
                      <w:marRight w:val="0"/>
                      <w:marTop w:val="0"/>
                      <w:marBottom w:val="0"/>
                      <w:divBdr>
                        <w:top w:val="none" w:sz="0" w:space="0" w:color="auto"/>
                        <w:left w:val="none" w:sz="0" w:space="0" w:color="auto"/>
                        <w:bottom w:val="none" w:sz="0" w:space="0" w:color="auto"/>
                        <w:right w:val="none" w:sz="0" w:space="0" w:color="auto"/>
                      </w:divBdr>
                      <w:divsChild>
                        <w:div w:id="71658381">
                          <w:marLeft w:val="0"/>
                          <w:marRight w:val="0"/>
                          <w:marTop w:val="0"/>
                          <w:marBottom w:val="0"/>
                          <w:divBdr>
                            <w:top w:val="none" w:sz="0" w:space="0" w:color="auto"/>
                            <w:left w:val="none" w:sz="0" w:space="0" w:color="auto"/>
                            <w:bottom w:val="none" w:sz="0" w:space="0" w:color="auto"/>
                            <w:right w:val="none" w:sz="0" w:space="0" w:color="auto"/>
                          </w:divBdr>
                          <w:divsChild>
                            <w:div w:id="1407847772">
                              <w:marLeft w:val="0"/>
                              <w:marRight w:val="0"/>
                              <w:marTop w:val="0"/>
                              <w:marBottom w:val="0"/>
                              <w:divBdr>
                                <w:top w:val="none" w:sz="0" w:space="0" w:color="auto"/>
                                <w:left w:val="none" w:sz="0" w:space="0" w:color="auto"/>
                                <w:bottom w:val="none" w:sz="0" w:space="0" w:color="auto"/>
                                <w:right w:val="none" w:sz="0" w:space="0" w:color="auto"/>
                              </w:divBdr>
                              <w:divsChild>
                                <w:div w:id="17434970">
                                  <w:marLeft w:val="0"/>
                                  <w:marRight w:val="0"/>
                                  <w:marTop w:val="0"/>
                                  <w:marBottom w:val="0"/>
                                  <w:divBdr>
                                    <w:top w:val="none" w:sz="0" w:space="0" w:color="auto"/>
                                    <w:left w:val="none" w:sz="0" w:space="0" w:color="auto"/>
                                    <w:bottom w:val="none" w:sz="0" w:space="0" w:color="auto"/>
                                    <w:right w:val="none" w:sz="0" w:space="0" w:color="auto"/>
                                  </w:divBdr>
                                  <w:divsChild>
                                    <w:div w:id="56629193">
                                      <w:marLeft w:val="0"/>
                                      <w:marRight w:val="0"/>
                                      <w:marTop w:val="0"/>
                                      <w:marBottom w:val="0"/>
                                      <w:divBdr>
                                        <w:top w:val="none" w:sz="0" w:space="0" w:color="auto"/>
                                        <w:left w:val="none" w:sz="0" w:space="0" w:color="auto"/>
                                        <w:bottom w:val="none" w:sz="0" w:space="0" w:color="auto"/>
                                        <w:right w:val="none" w:sz="0" w:space="0" w:color="auto"/>
                                      </w:divBdr>
                                      <w:divsChild>
                                        <w:div w:id="1177378049">
                                          <w:marLeft w:val="0"/>
                                          <w:marRight w:val="0"/>
                                          <w:marTop w:val="0"/>
                                          <w:marBottom w:val="0"/>
                                          <w:divBdr>
                                            <w:top w:val="none" w:sz="0" w:space="0" w:color="auto"/>
                                            <w:left w:val="none" w:sz="0" w:space="0" w:color="auto"/>
                                            <w:bottom w:val="none" w:sz="0" w:space="0" w:color="auto"/>
                                            <w:right w:val="none" w:sz="0" w:space="0" w:color="auto"/>
                                          </w:divBdr>
                                          <w:divsChild>
                                            <w:div w:id="77255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405663">
                                  <w:marLeft w:val="0"/>
                                  <w:marRight w:val="0"/>
                                  <w:marTop w:val="0"/>
                                  <w:marBottom w:val="0"/>
                                  <w:divBdr>
                                    <w:top w:val="none" w:sz="0" w:space="0" w:color="auto"/>
                                    <w:left w:val="none" w:sz="0" w:space="0" w:color="auto"/>
                                    <w:bottom w:val="none" w:sz="0" w:space="0" w:color="auto"/>
                                    <w:right w:val="none" w:sz="0" w:space="0" w:color="auto"/>
                                  </w:divBdr>
                                  <w:divsChild>
                                    <w:div w:id="492186859">
                                      <w:marLeft w:val="0"/>
                                      <w:marRight w:val="0"/>
                                      <w:marTop w:val="0"/>
                                      <w:marBottom w:val="0"/>
                                      <w:divBdr>
                                        <w:top w:val="none" w:sz="0" w:space="0" w:color="auto"/>
                                        <w:left w:val="none" w:sz="0" w:space="0" w:color="auto"/>
                                        <w:bottom w:val="none" w:sz="0" w:space="0" w:color="auto"/>
                                        <w:right w:val="none" w:sz="0" w:space="0" w:color="auto"/>
                                      </w:divBdr>
                                      <w:divsChild>
                                        <w:div w:id="1929729888">
                                          <w:marLeft w:val="0"/>
                                          <w:marRight w:val="0"/>
                                          <w:marTop w:val="0"/>
                                          <w:marBottom w:val="0"/>
                                          <w:divBdr>
                                            <w:top w:val="none" w:sz="0" w:space="0" w:color="auto"/>
                                            <w:left w:val="none" w:sz="0" w:space="0" w:color="auto"/>
                                            <w:bottom w:val="none" w:sz="0" w:space="0" w:color="auto"/>
                                            <w:right w:val="none" w:sz="0" w:space="0" w:color="auto"/>
                                          </w:divBdr>
                                          <w:divsChild>
                                            <w:div w:id="1099830256">
                                              <w:marLeft w:val="0"/>
                                              <w:marRight w:val="0"/>
                                              <w:marTop w:val="0"/>
                                              <w:marBottom w:val="0"/>
                                              <w:divBdr>
                                                <w:top w:val="none" w:sz="0" w:space="0" w:color="auto"/>
                                                <w:left w:val="none" w:sz="0" w:space="0" w:color="auto"/>
                                                <w:bottom w:val="none" w:sz="0" w:space="0" w:color="auto"/>
                                                <w:right w:val="none" w:sz="0" w:space="0" w:color="auto"/>
                                              </w:divBdr>
                                              <w:divsChild>
                                                <w:div w:id="709652923">
                                                  <w:marLeft w:val="0"/>
                                                  <w:marRight w:val="0"/>
                                                  <w:marTop w:val="0"/>
                                                  <w:marBottom w:val="0"/>
                                                  <w:divBdr>
                                                    <w:top w:val="none" w:sz="0" w:space="0" w:color="auto"/>
                                                    <w:left w:val="none" w:sz="0" w:space="0" w:color="auto"/>
                                                    <w:bottom w:val="none" w:sz="0" w:space="0" w:color="auto"/>
                                                    <w:right w:val="none" w:sz="0" w:space="0" w:color="auto"/>
                                                  </w:divBdr>
                                                  <w:divsChild>
                                                    <w:div w:id="1920364363">
                                                      <w:marLeft w:val="0"/>
                                                      <w:marRight w:val="0"/>
                                                      <w:marTop w:val="0"/>
                                                      <w:marBottom w:val="0"/>
                                                      <w:divBdr>
                                                        <w:top w:val="none" w:sz="0" w:space="0" w:color="auto"/>
                                                        <w:left w:val="none" w:sz="0" w:space="0" w:color="auto"/>
                                                        <w:bottom w:val="none" w:sz="0" w:space="0" w:color="auto"/>
                                                        <w:right w:val="none" w:sz="0" w:space="0" w:color="auto"/>
                                                      </w:divBdr>
                                                      <w:divsChild>
                                                        <w:div w:id="105528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05251646">
          <w:marLeft w:val="0"/>
          <w:marRight w:val="0"/>
          <w:marTop w:val="0"/>
          <w:marBottom w:val="0"/>
          <w:divBdr>
            <w:top w:val="none" w:sz="0" w:space="0" w:color="auto"/>
            <w:left w:val="none" w:sz="0" w:space="0" w:color="auto"/>
            <w:bottom w:val="none" w:sz="0" w:space="0" w:color="auto"/>
            <w:right w:val="none" w:sz="0" w:space="0" w:color="auto"/>
          </w:divBdr>
          <w:divsChild>
            <w:div w:id="1854152390">
              <w:marLeft w:val="0"/>
              <w:marRight w:val="0"/>
              <w:marTop w:val="0"/>
              <w:marBottom w:val="0"/>
              <w:divBdr>
                <w:top w:val="none" w:sz="0" w:space="0" w:color="auto"/>
                <w:left w:val="none" w:sz="0" w:space="0" w:color="auto"/>
                <w:bottom w:val="none" w:sz="0" w:space="0" w:color="auto"/>
                <w:right w:val="none" w:sz="0" w:space="0" w:color="auto"/>
              </w:divBdr>
              <w:divsChild>
                <w:div w:id="1189491094">
                  <w:marLeft w:val="0"/>
                  <w:marRight w:val="0"/>
                  <w:marTop w:val="0"/>
                  <w:marBottom w:val="0"/>
                  <w:divBdr>
                    <w:top w:val="none" w:sz="0" w:space="0" w:color="auto"/>
                    <w:left w:val="none" w:sz="0" w:space="0" w:color="auto"/>
                    <w:bottom w:val="none" w:sz="0" w:space="0" w:color="auto"/>
                    <w:right w:val="none" w:sz="0" w:space="0" w:color="auto"/>
                  </w:divBdr>
                  <w:divsChild>
                    <w:div w:id="1428888780">
                      <w:marLeft w:val="0"/>
                      <w:marRight w:val="0"/>
                      <w:marTop w:val="0"/>
                      <w:marBottom w:val="0"/>
                      <w:divBdr>
                        <w:top w:val="none" w:sz="0" w:space="0" w:color="auto"/>
                        <w:left w:val="none" w:sz="0" w:space="0" w:color="auto"/>
                        <w:bottom w:val="none" w:sz="0" w:space="0" w:color="auto"/>
                        <w:right w:val="none" w:sz="0" w:space="0" w:color="auto"/>
                      </w:divBdr>
                      <w:divsChild>
                        <w:div w:id="1768621352">
                          <w:marLeft w:val="0"/>
                          <w:marRight w:val="0"/>
                          <w:marTop w:val="0"/>
                          <w:marBottom w:val="0"/>
                          <w:divBdr>
                            <w:top w:val="none" w:sz="0" w:space="0" w:color="auto"/>
                            <w:left w:val="none" w:sz="0" w:space="0" w:color="auto"/>
                            <w:bottom w:val="none" w:sz="0" w:space="0" w:color="auto"/>
                            <w:right w:val="none" w:sz="0" w:space="0" w:color="auto"/>
                          </w:divBdr>
                          <w:divsChild>
                            <w:div w:id="1015571759">
                              <w:marLeft w:val="0"/>
                              <w:marRight w:val="0"/>
                              <w:marTop w:val="0"/>
                              <w:marBottom w:val="0"/>
                              <w:divBdr>
                                <w:top w:val="none" w:sz="0" w:space="0" w:color="auto"/>
                                <w:left w:val="none" w:sz="0" w:space="0" w:color="auto"/>
                                <w:bottom w:val="none" w:sz="0" w:space="0" w:color="auto"/>
                                <w:right w:val="none" w:sz="0" w:space="0" w:color="auto"/>
                              </w:divBdr>
                              <w:divsChild>
                                <w:div w:id="875043466">
                                  <w:marLeft w:val="0"/>
                                  <w:marRight w:val="0"/>
                                  <w:marTop w:val="0"/>
                                  <w:marBottom w:val="0"/>
                                  <w:divBdr>
                                    <w:top w:val="none" w:sz="0" w:space="0" w:color="auto"/>
                                    <w:left w:val="none" w:sz="0" w:space="0" w:color="auto"/>
                                    <w:bottom w:val="none" w:sz="0" w:space="0" w:color="auto"/>
                                    <w:right w:val="none" w:sz="0" w:space="0" w:color="auto"/>
                                  </w:divBdr>
                                  <w:divsChild>
                                    <w:div w:id="2112384893">
                                      <w:marLeft w:val="0"/>
                                      <w:marRight w:val="0"/>
                                      <w:marTop w:val="0"/>
                                      <w:marBottom w:val="0"/>
                                      <w:divBdr>
                                        <w:top w:val="none" w:sz="0" w:space="0" w:color="auto"/>
                                        <w:left w:val="none" w:sz="0" w:space="0" w:color="auto"/>
                                        <w:bottom w:val="none" w:sz="0" w:space="0" w:color="auto"/>
                                        <w:right w:val="none" w:sz="0" w:space="0" w:color="auto"/>
                                      </w:divBdr>
                                      <w:divsChild>
                                        <w:div w:id="729427054">
                                          <w:marLeft w:val="0"/>
                                          <w:marRight w:val="0"/>
                                          <w:marTop w:val="0"/>
                                          <w:marBottom w:val="0"/>
                                          <w:divBdr>
                                            <w:top w:val="none" w:sz="0" w:space="0" w:color="auto"/>
                                            <w:left w:val="none" w:sz="0" w:space="0" w:color="auto"/>
                                            <w:bottom w:val="none" w:sz="0" w:space="0" w:color="auto"/>
                                            <w:right w:val="none" w:sz="0" w:space="0" w:color="auto"/>
                                          </w:divBdr>
                                          <w:divsChild>
                                            <w:div w:id="570652838">
                                              <w:marLeft w:val="0"/>
                                              <w:marRight w:val="0"/>
                                              <w:marTop w:val="0"/>
                                              <w:marBottom w:val="0"/>
                                              <w:divBdr>
                                                <w:top w:val="none" w:sz="0" w:space="0" w:color="auto"/>
                                                <w:left w:val="none" w:sz="0" w:space="0" w:color="auto"/>
                                                <w:bottom w:val="none" w:sz="0" w:space="0" w:color="auto"/>
                                                <w:right w:val="none" w:sz="0" w:space="0" w:color="auto"/>
                                              </w:divBdr>
                                              <w:divsChild>
                                                <w:div w:id="613366939">
                                                  <w:marLeft w:val="0"/>
                                                  <w:marRight w:val="0"/>
                                                  <w:marTop w:val="0"/>
                                                  <w:marBottom w:val="0"/>
                                                  <w:divBdr>
                                                    <w:top w:val="none" w:sz="0" w:space="0" w:color="auto"/>
                                                    <w:left w:val="none" w:sz="0" w:space="0" w:color="auto"/>
                                                    <w:bottom w:val="none" w:sz="0" w:space="0" w:color="auto"/>
                                                    <w:right w:val="none" w:sz="0" w:space="0" w:color="auto"/>
                                                  </w:divBdr>
                                                  <w:divsChild>
                                                    <w:div w:id="1589925868">
                                                      <w:marLeft w:val="0"/>
                                                      <w:marRight w:val="0"/>
                                                      <w:marTop w:val="0"/>
                                                      <w:marBottom w:val="0"/>
                                                      <w:divBdr>
                                                        <w:top w:val="none" w:sz="0" w:space="0" w:color="auto"/>
                                                        <w:left w:val="none" w:sz="0" w:space="0" w:color="auto"/>
                                                        <w:bottom w:val="none" w:sz="0" w:space="0" w:color="auto"/>
                                                        <w:right w:val="none" w:sz="0" w:space="0" w:color="auto"/>
                                                      </w:divBdr>
                                                      <w:divsChild>
                                                        <w:div w:id="401875496">
                                                          <w:marLeft w:val="0"/>
                                                          <w:marRight w:val="0"/>
                                                          <w:marTop w:val="0"/>
                                                          <w:marBottom w:val="0"/>
                                                          <w:divBdr>
                                                            <w:top w:val="none" w:sz="0" w:space="0" w:color="auto"/>
                                                            <w:left w:val="none" w:sz="0" w:space="0" w:color="auto"/>
                                                            <w:bottom w:val="none" w:sz="0" w:space="0" w:color="auto"/>
                                                            <w:right w:val="none" w:sz="0" w:space="0" w:color="auto"/>
                                                          </w:divBdr>
                                                          <w:divsChild>
                                                            <w:div w:id="150235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86028076">
      <w:bodyDiv w:val="1"/>
      <w:marLeft w:val="0"/>
      <w:marRight w:val="0"/>
      <w:marTop w:val="0"/>
      <w:marBottom w:val="0"/>
      <w:divBdr>
        <w:top w:val="none" w:sz="0" w:space="0" w:color="auto"/>
        <w:left w:val="none" w:sz="0" w:space="0" w:color="auto"/>
        <w:bottom w:val="none" w:sz="0" w:space="0" w:color="auto"/>
        <w:right w:val="none" w:sz="0" w:space="0" w:color="auto"/>
      </w:divBdr>
      <w:divsChild>
        <w:div w:id="806362435">
          <w:marLeft w:val="0"/>
          <w:marRight w:val="0"/>
          <w:marTop w:val="360"/>
          <w:marBottom w:val="1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8/s41598-024-75371-8?utm_source=chatgpt.com" TargetMode="External"/><Relationship Id="rId13" Type="http://schemas.openxmlformats.org/officeDocument/2006/relationships/hyperlink" Target="https://hoarding.iocdf.org/professionals/treatment-of-hd-cognitive-behavioral-therapy-cbt/?utm_source=chatgpt.com" TargetMode="External"/><Relationship Id="rId18" Type="http://schemas.openxmlformats.org/officeDocument/2006/relationships/hyperlink" Target="https://pubmed.ncbi.nlm.nih.gov/33993079/?utm_source=chatgpt.com"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pmc.ncbi.nlm.nih.gov/articles/PMC9997939/?utm_source=chatgpt.com" TargetMode="External"/><Relationship Id="rId17" Type="http://schemas.openxmlformats.org/officeDocument/2006/relationships/hyperlink" Target="https://pmc.ncbi.nlm.nih.gov/articles/PMC10078723/?utm_source=chatgpt.com" TargetMode="External"/><Relationship Id="rId2" Type="http://schemas.openxmlformats.org/officeDocument/2006/relationships/styles" Target="styles.xml"/><Relationship Id="rId16" Type="http://schemas.openxmlformats.org/officeDocument/2006/relationships/hyperlink" Target="https://pubmed.ncbi.nlm.nih.gov/29232962/?utm_source=chatgpt.c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33002938/?utm_source=chatgpt.com" TargetMode="External"/><Relationship Id="rId5" Type="http://schemas.openxmlformats.org/officeDocument/2006/relationships/footnotes" Target="footnotes.xml"/><Relationship Id="rId15" Type="http://schemas.openxmlformats.org/officeDocument/2006/relationships/hyperlink" Target="https://bjgp.org/content/73/729/182?utm_source=chatgpt.com" TargetMode="External"/><Relationship Id="rId23" Type="http://schemas.openxmlformats.org/officeDocument/2006/relationships/theme" Target="theme/theme1.xml"/><Relationship Id="rId10" Type="http://schemas.openxmlformats.org/officeDocument/2006/relationships/hyperlink" Target="https://pubmed.ncbi.nlm.nih.gov/34717158/?utm_source=chatgpt.com" TargetMode="External"/><Relationship Id="rId19" Type="http://schemas.openxmlformats.org/officeDocument/2006/relationships/hyperlink" Target="https://www.who.int/publications/i/item/9789240077263?utm_source=chatgpt.com" TargetMode="External"/><Relationship Id="rId4" Type="http://schemas.openxmlformats.org/officeDocument/2006/relationships/webSettings" Target="webSettings.xml"/><Relationship Id="rId9" Type="http://schemas.openxmlformats.org/officeDocument/2006/relationships/hyperlink" Target="https://pmc.ncbi.nlm.nih.gov/articles/PMC9063579/?utm_source=chatgpt.com" TargetMode="External"/><Relationship Id="rId14" Type="http://schemas.openxmlformats.org/officeDocument/2006/relationships/hyperlink" Target="https://pubmed.ncbi.nlm.nih.gov/20123917/?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86</TotalTime>
  <Pages>11</Pages>
  <Words>3347</Words>
  <Characters>19079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Ekaterina Kist (2336279)</cp:lastModifiedBy>
  <cp:revision>30</cp:revision>
  <dcterms:created xsi:type="dcterms:W3CDTF">2026-08-21T10:44:00Z</dcterms:created>
  <dcterms:modified xsi:type="dcterms:W3CDTF">2026-08-21T12:18:00Z</dcterms:modified>
</cp:coreProperties>
</file>