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9077172" w14:textId="77777777" w:rsidR="006424DE" w:rsidRDefault="006424DE" w:rsidP="006424DE">
      <w:pPr>
        <w:rPr>
          <w:lang w:val="en-US"/>
        </w:rPr>
      </w:pPr>
      <w:r w:rsidRPr="006504AF">
        <w:rPr>
          <w:b/>
          <w:lang w:val="en-US"/>
        </w:rPr>
        <w:t xml:space="preserve">Exercise </w:t>
      </w:r>
      <w:r>
        <w:rPr>
          <w:b/>
          <w:lang w:val="en-US"/>
        </w:rPr>
        <w:t>7</w:t>
      </w:r>
      <w:r w:rsidRPr="006504AF">
        <w:rPr>
          <w:b/>
          <w:lang w:val="en-US"/>
        </w:rPr>
        <w:t xml:space="preserve">-1 </w:t>
      </w:r>
      <w:r w:rsidRPr="006504AF">
        <w:rPr>
          <w:lang w:val="en-US"/>
        </w:rPr>
        <w:t>(10 minutes)</w:t>
      </w:r>
    </w:p>
    <w:p w14:paraId="5D981FD8" w14:textId="77777777" w:rsidR="006424DE" w:rsidRPr="006504AF" w:rsidRDefault="006424DE" w:rsidP="006424DE">
      <w:pPr>
        <w:rPr>
          <w:lang w:val="en-US"/>
        </w:rPr>
      </w:pPr>
    </w:p>
    <w:p w14:paraId="300A7DDB" w14:textId="77777777" w:rsidR="006424DE" w:rsidRPr="006504AF" w:rsidRDefault="006424DE" w:rsidP="006424DE">
      <w:pPr>
        <w:rPr>
          <w:lang w:val="en-US"/>
        </w:rPr>
      </w:pPr>
      <w:r w:rsidRPr="006504AF">
        <w:rPr>
          <w:lang w:val="en-US"/>
        </w:rPr>
        <w:tab/>
        <w:t>(Note: All currency values are in thousands of rupiah.)</w:t>
      </w:r>
    </w:p>
    <w:p w14:paraId="1D8B12FA" w14:textId="77777777" w:rsidR="006424DE" w:rsidRPr="006504AF" w:rsidRDefault="006424DE" w:rsidP="006424DE">
      <w:pPr>
        <w:rPr>
          <w:lang w:val="en-US"/>
        </w:rPr>
      </w:pPr>
    </w:p>
    <w:p w14:paraId="7B63C12E" w14:textId="77777777" w:rsidR="006424DE" w:rsidRPr="006504AF" w:rsidRDefault="006424DE" w:rsidP="006424DE">
      <w:pPr>
        <w:ind w:left="720" w:hanging="720"/>
        <w:rPr>
          <w:lang w:val="en-US"/>
        </w:rPr>
      </w:pPr>
      <w:r w:rsidRPr="006504AF">
        <w:rPr>
          <w:lang w:val="en-US"/>
        </w:rPr>
        <w:t>1.</w:t>
      </w:r>
      <w:r w:rsidRPr="006504AF">
        <w:rPr>
          <w:lang w:val="en-US"/>
        </w:rPr>
        <w:tab/>
        <w:t>Under absorption costing, all manufacturing costs (variable and fixed) are included in product costs.</w:t>
      </w:r>
    </w:p>
    <w:p w14:paraId="3CF7030A" w14:textId="77777777" w:rsidR="006424DE" w:rsidRPr="006504AF" w:rsidRDefault="006424DE" w:rsidP="006424DE">
      <w:pPr>
        <w:rPr>
          <w:lang w:val="en-US"/>
        </w:rPr>
      </w:pPr>
    </w:p>
    <w:tbl>
      <w:tblPr>
        <w:tblW w:w="0" w:type="auto"/>
        <w:tblInd w:w="704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6460"/>
        <w:gridCol w:w="245"/>
        <w:gridCol w:w="879"/>
      </w:tblGrid>
      <w:tr w:rsidR="006424DE" w:rsidRPr="006504AF" w14:paraId="540D036B" w14:textId="77777777" w:rsidTr="00243EA4">
        <w:tc>
          <w:tcPr>
            <w:tcW w:w="6460" w:type="dxa"/>
          </w:tcPr>
          <w:p w14:paraId="6B3C5DE3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Direct materials</w:t>
            </w:r>
            <w:r w:rsidRPr="006504AF">
              <w:rPr>
                <w:lang w:val="en-US"/>
              </w:rPr>
              <w:tab/>
            </w:r>
          </w:p>
        </w:tc>
        <w:tc>
          <w:tcPr>
            <w:tcW w:w="245" w:type="dxa"/>
          </w:tcPr>
          <w:p w14:paraId="05EAC3B5" w14:textId="77777777" w:rsidR="006424DE" w:rsidRPr="006504AF" w:rsidRDefault="006424DE" w:rsidP="00243EA4">
            <w:pPr>
              <w:rPr>
                <w:lang w:val="en-US"/>
              </w:rPr>
            </w:pPr>
          </w:p>
        </w:tc>
        <w:tc>
          <w:tcPr>
            <w:tcW w:w="879" w:type="dxa"/>
          </w:tcPr>
          <w:p w14:paraId="1A629C25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Rp100</w:t>
            </w:r>
          </w:p>
        </w:tc>
      </w:tr>
      <w:tr w:rsidR="006424DE" w:rsidRPr="006504AF" w14:paraId="43B7BF37" w14:textId="77777777" w:rsidTr="00243EA4">
        <w:tc>
          <w:tcPr>
            <w:tcW w:w="6460" w:type="dxa"/>
          </w:tcPr>
          <w:p w14:paraId="124900C2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Direct labour</w:t>
            </w:r>
            <w:r w:rsidRPr="006504AF">
              <w:rPr>
                <w:lang w:val="en-US"/>
              </w:rPr>
              <w:tab/>
            </w:r>
          </w:p>
        </w:tc>
        <w:tc>
          <w:tcPr>
            <w:tcW w:w="245" w:type="dxa"/>
          </w:tcPr>
          <w:p w14:paraId="15AEC0A3" w14:textId="77777777" w:rsidR="006424DE" w:rsidRPr="006504AF" w:rsidRDefault="006424DE" w:rsidP="00243EA4">
            <w:pPr>
              <w:rPr>
                <w:lang w:val="en-US"/>
              </w:rPr>
            </w:pPr>
          </w:p>
        </w:tc>
        <w:tc>
          <w:tcPr>
            <w:tcW w:w="879" w:type="dxa"/>
          </w:tcPr>
          <w:p w14:paraId="6C20DC7E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320</w:t>
            </w:r>
          </w:p>
        </w:tc>
      </w:tr>
      <w:tr w:rsidR="006424DE" w:rsidRPr="006504AF" w14:paraId="765BB240" w14:textId="77777777" w:rsidTr="00243EA4">
        <w:tc>
          <w:tcPr>
            <w:tcW w:w="6460" w:type="dxa"/>
          </w:tcPr>
          <w:p w14:paraId="7B2F7B1E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Variable manufacturing overhead</w:t>
            </w:r>
            <w:r w:rsidRPr="006504AF">
              <w:rPr>
                <w:lang w:val="en-US"/>
              </w:rPr>
              <w:tab/>
            </w:r>
          </w:p>
        </w:tc>
        <w:tc>
          <w:tcPr>
            <w:tcW w:w="245" w:type="dxa"/>
          </w:tcPr>
          <w:p w14:paraId="67931B71" w14:textId="77777777" w:rsidR="006424DE" w:rsidRPr="006504AF" w:rsidRDefault="006424DE" w:rsidP="00243EA4">
            <w:pPr>
              <w:rPr>
                <w:lang w:val="en-US"/>
              </w:rPr>
            </w:pPr>
          </w:p>
        </w:tc>
        <w:tc>
          <w:tcPr>
            <w:tcW w:w="879" w:type="dxa"/>
          </w:tcPr>
          <w:p w14:paraId="1190AD79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40</w:t>
            </w:r>
          </w:p>
        </w:tc>
      </w:tr>
      <w:tr w:rsidR="006424DE" w:rsidRPr="006504AF" w14:paraId="57EF6055" w14:textId="77777777" w:rsidTr="00243EA4">
        <w:tc>
          <w:tcPr>
            <w:tcW w:w="6460" w:type="dxa"/>
          </w:tcPr>
          <w:p w14:paraId="36D24367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 xml:space="preserve">Fixed manufacturing overhead </w:t>
            </w:r>
          </w:p>
          <w:p w14:paraId="3B708D87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 xml:space="preserve">  (Rp60,000 </w:t>
            </w:r>
            <w:r w:rsidRPr="006504AF">
              <w:rPr>
                <w:lang w:val="en-US"/>
              </w:rPr>
              <w:sym w:font="Symbol" w:char="F0B8"/>
            </w:r>
            <w:r w:rsidRPr="006504AF">
              <w:rPr>
                <w:lang w:val="en-US"/>
              </w:rPr>
              <w:t xml:space="preserve"> 250 units)</w:t>
            </w:r>
            <w:r w:rsidRPr="006504AF">
              <w:rPr>
                <w:lang w:val="en-US"/>
              </w:rPr>
              <w:tab/>
            </w:r>
          </w:p>
        </w:tc>
        <w:tc>
          <w:tcPr>
            <w:tcW w:w="245" w:type="dxa"/>
          </w:tcPr>
          <w:p w14:paraId="67F235FA" w14:textId="77777777" w:rsidR="006424DE" w:rsidRPr="006504AF" w:rsidRDefault="006424DE" w:rsidP="00243EA4">
            <w:pPr>
              <w:rPr>
                <w:lang w:val="en-US"/>
              </w:rPr>
            </w:pPr>
          </w:p>
        </w:tc>
        <w:tc>
          <w:tcPr>
            <w:tcW w:w="879" w:type="dxa"/>
            <w:tcBorders>
              <w:bottom w:val="single" w:sz="4" w:space="0" w:color="auto"/>
            </w:tcBorders>
          </w:tcPr>
          <w:p w14:paraId="520DB207" w14:textId="77777777" w:rsidR="006424DE" w:rsidRPr="006504AF" w:rsidRDefault="006424DE" w:rsidP="00243EA4">
            <w:pPr>
              <w:rPr>
                <w:lang w:val="en-US"/>
              </w:rPr>
            </w:pPr>
          </w:p>
          <w:p w14:paraId="72739A32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240</w:t>
            </w:r>
          </w:p>
        </w:tc>
      </w:tr>
      <w:tr w:rsidR="006424DE" w:rsidRPr="006504AF" w14:paraId="449D24AE" w14:textId="77777777" w:rsidTr="00243EA4">
        <w:tc>
          <w:tcPr>
            <w:tcW w:w="6460" w:type="dxa"/>
          </w:tcPr>
          <w:p w14:paraId="154F7393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 xml:space="preserve">   Unit product cost</w:t>
            </w:r>
            <w:r w:rsidRPr="006504AF">
              <w:rPr>
                <w:lang w:val="en-US"/>
              </w:rPr>
              <w:tab/>
            </w:r>
          </w:p>
        </w:tc>
        <w:tc>
          <w:tcPr>
            <w:tcW w:w="245" w:type="dxa"/>
          </w:tcPr>
          <w:p w14:paraId="241187F3" w14:textId="77777777" w:rsidR="006424DE" w:rsidRPr="006504AF" w:rsidRDefault="006424DE" w:rsidP="00243EA4">
            <w:pPr>
              <w:rPr>
                <w:lang w:val="en-US"/>
              </w:rPr>
            </w:pPr>
          </w:p>
        </w:tc>
        <w:tc>
          <w:tcPr>
            <w:tcW w:w="879" w:type="dxa"/>
            <w:tcBorders>
              <w:top w:val="single" w:sz="4" w:space="0" w:color="auto"/>
              <w:bottom w:val="double" w:sz="4" w:space="0" w:color="auto"/>
            </w:tcBorders>
          </w:tcPr>
          <w:p w14:paraId="4F993BEF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Rp700</w:t>
            </w:r>
          </w:p>
        </w:tc>
      </w:tr>
    </w:tbl>
    <w:p w14:paraId="5B94ED6B" w14:textId="77777777" w:rsidR="006424DE" w:rsidRPr="006504AF" w:rsidRDefault="006424DE" w:rsidP="006424DE">
      <w:pPr>
        <w:rPr>
          <w:lang w:val="en-US"/>
        </w:rPr>
      </w:pPr>
    </w:p>
    <w:p w14:paraId="7B650346" w14:textId="77777777" w:rsidR="006424DE" w:rsidRPr="006504AF" w:rsidRDefault="006424DE" w:rsidP="006424DE">
      <w:pPr>
        <w:ind w:left="720" w:hanging="720"/>
        <w:rPr>
          <w:lang w:val="en-US"/>
        </w:rPr>
      </w:pPr>
      <w:r w:rsidRPr="006504AF">
        <w:rPr>
          <w:lang w:val="en-US"/>
        </w:rPr>
        <w:t>2.</w:t>
      </w:r>
      <w:r w:rsidRPr="006504AF">
        <w:rPr>
          <w:lang w:val="en-US"/>
        </w:rPr>
        <w:tab/>
        <w:t>Under variable costing, only the variable manufacturing costs are included in product costs.</w:t>
      </w:r>
    </w:p>
    <w:p w14:paraId="6D3B99BA" w14:textId="77777777" w:rsidR="006424DE" w:rsidRPr="006504AF" w:rsidRDefault="006424DE" w:rsidP="006424DE">
      <w:pPr>
        <w:rPr>
          <w:lang w:val="en-US"/>
        </w:rPr>
      </w:pPr>
    </w:p>
    <w:tbl>
      <w:tblPr>
        <w:tblW w:w="0" w:type="auto"/>
        <w:tblInd w:w="704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6460"/>
        <w:gridCol w:w="224"/>
        <w:gridCol w:w="900"/>
      </w:tblGrid>
      <w:tr w:rsidR="006424DE" w:rsidRPr="006504AF" w14:paraId="1051C44B" w14:textId="77777777" w:rsidTr="00243EA4">
        <w:tc>
          <w:tcPr>
            <w:tcW w:w="6460" w:type="dxa"/>
          </w:tcPr>
          <w:p w14:paraId="228553CE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Direct materials</w:t>
            </w:r>
            <w:r w:rsidRPr="006504AF">
              <w:rPr>
                <w:lang w:val="en-US"/>
              </w:rPr>
              <w:tab/>
            </w:r>
          </w:p>
        </w:tc>
        <w:tc>
          <w:tcPr>
            <w:tcW w:w="224" w:type="dxa"/>
          </w:tcPr>
          <w:p w14:paraId="6FECDA94" w14:textId="77777777" w:rsidR="006424DE" w:rsidRPr="006504AF" w:rsidRDefault="006424DE" w:rsidP="00243EA4">
            <w:pPr>
              <w:rPr>
                <w:lang w:val="en-US"/>
              </w:rPr>
            </w:pPr>
          </w:p>
        </w:tc>
        <w:tc>
          <w:tcPr>
            <w:tcW w:w="900" w:type="dxa"/>
          </w:tcPr>
          <w:p w14:paraId="6C8A4A50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Rp100</w:t>
            </w:r>
          </w:p>
        </w:tc>
      </w:tr>
      <w:tr w:rsidR="006424DE" w:rsidRPr="006504AF" w14:paraId="7F9D64A6" w14:textId="77777777" w:rsidTr="00243EA4">
        <w:tc>
          <w:tcPr>
            <w:tcW w:w="6460" w:type="dxa"/>
          </w:tcPr>
          <w:p w14:paraId="2BE43402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Direct labour</w:t>
            </w:r>
            <w:r w:rsidRPr="006504AF">
              <w:rPr>
                <w:lang w:val="en-US"/>
              </w:rPr>
              <w:tab/>
            </w:r>
          </w:p>
        </w:tc>
        <w:tc>
          <w:tcPr>
            <w:tcW w:w="224" w:type="dxa"/>
          </w:tcPr>
          <w:p w14:paraId="6CAC047E" w14:textId="77777777" w:rsidR="006424DE" w:rsidRPr="006504AF" w:rsidRDefault="006424DE" w:rsidP="00243EA4">
            <w:pPr>
              <w:rPr>
                <w:lang w:val="en-US"/>
              </w:rPr>
            </w:pPr>
          </w:p>
        </w:tc>
        <w:tc>
          <w:tcPr>
            <w:tcW w:w="900" w:type="dxa"/>
          </w:tcPr>
          <w:p w14:paraId="1E3558D3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320</w:t>
            </w:r>
          </w:p>
        </w:tc>
      </w:tr>
      <w:tr w:rsidR="006424DE" w:rsidRPr="006504AF" w14:paraId="2F9AEB44" w14:textId="77777777" w:rsidTr="00243EA4">
        <w:tc>
          <w:tcPr>
            <w:tcW w:w="6460" w:type="dxa"/>
          </w:tcPr>
          <w:p w14:paraId="542B37E1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Variable manufacturing overhead</w:t>
            </w:r>
            <w:r w:rsidRPr="006504AF">
              <w:rPr>
                <w:lang w:val="en-US"/>
              </w:rPr>
              <w:tab/>
            </w:r>
          </w:p>
        </w:tc>
        <w:tc>
          <w:tcPr>
            <w:tcW w:w="224" w:type="dxa"/>
          </w:tcPr>
          <w:p w14:paraId="190B8B15" w14:textId="77777777" w:rsidR="006424DE" w:rsidRPr="006504AF" w:rsidRDefault="006424DE" w:rsidP="00243EA4">
            <w:pPr>
              <w:rPr>
                <w:lang w:val="en-US"/>
              </w:rPr>
            </w:pPr>
          </w:p>
        </w:tc>
        <w:tc>
          <w:tcPr>
            <w:tcW w:w="900" w:type="dxa"/>
            <w:tcBorders>
              <w:bottom w:val="single" w:sz="4" w:space="0" w:color="auto"/>
            </w:tcBorders>
          </w:tcPr>
          <w:p w14:paraId="6AE35E06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40</w:t>
            </w:r>
          </w:p>
        </w:tc>
      </w:tr>
      <w:tr w:rsidR="006424DE" w:rsidRPr="006504AF" w14:paraId="5EBD4FE3" w14:textId="77777777" w:rsidTr="00243EA4">
        <w:tc>
          <w:tcPr>
            <w:tcW w:w="6460" w:type="dxa"/>
          </w:tcPr>
          <w:p w14:paraId="65405682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 xml:space="preserve">   Unit product cost</w:t>
            </w:r>
            <w:r w:rsidRPr="006504AF">
              <w:rPr>
                <w:lang w:val="en-US"/>
              </w:rPr>
              <w:tab/>
            </w:r>
          </w:p>
        </w:tc>
        <w:tc>
          <w:tcPr>
            <w:tcW w:w="224" w:type="dxa"/>
          </w:tcPr>
          <w:p w14:paraId="7043AC04" w14:textId="77777777" w:rsidR="006424DE" w:rsidRPr="006504AF" w:rsidRDefault="006424DE" w:rsidP="00243EA4">
            <w:pPr>
              <w:rPr>
                <w:lang w:val="en-US"/>
              </w:rPr>
            </w:pPr>
          </w:p>
        </w:tc>
        <w:tc>
          <w:tcPr>
            <w:tcW w:w="900" w:type="dxa"/>
            <w:tcBorders>
              <w:top w:val="single" w:sz="4" w:space="0" w:color="auto"/>
              <w:bottom w:val="double" w:sz="4" w:space="0" w:color="auto"/>
            </w:tcBorders>
          </w:tcPr>
          <w:p w14:paraId="6F2AF9C8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Rp460</w:t>
            </w:r>
          </w:p>
        </w:tc>
      </w:tr>
    </w:tbl>
    <w:p w14:paraId="1FAE9667" w14:textId="77777777" w:rsidR="006424DE" w:rsidRPr="006504AF" w:rsidRDefault="006424DE" w:rsidP="006424DE">
      <w:pPr>
        <w:rPr>
          <w:lang w:val="en-US"/>
        </w:rPr>
      </w:pPr>
    </w:p>
    <w:p w14:paraId="07CCA638" w14:textId="77777777" w:rsidR="006424DE" w:rsidRPr="006504AF" w:rsidRDefault="006424DE" w:rsidP="006424DE">
      <w:pPr>
        <w:rPr>
          <w:lang w:val="en-US"/>
        </w:rPr>
      </w:pPr>
      <w:r w:rsidRPr="006504AF">
        <w:rPr>
          <w:lang w:val="en-US"/>
        </w:rPr>
        <w:t>Note that selling and administrative expenses are not treated as product costs under either absorption or variable costing; that is, they are not included in the costs that are inventoried. These expenses are always treated as period costs and are charged against the current period’s revenue.</w:t>
      </w:r>
    </w:p>
    <w:p w14:paraId="4A8DAFF6" w14:textId="77777777" w:rsidR="006424DE" w:rsidRDefault="006424DE" w:rsidP="006424DE">
      <w:pPr>
        <w:rPr>
          <w:lang w:val="en-US"/>
        </w:rPr>
      </w:pPr>
    </w:p>
    <w:p w14:paraId="332E958A" w14:textId="77777777" w:rsidR="008C18E1" w:rsidRPr="008C18E1" w:rsidRDefault="008C18E1" w:rsidP="008C18E1">
      <w:pPr>
        <w:rPr>
          <w:lang w:val="en-US"/>
        </w:rPr>
      </w:pPr>
    </w:p>
    <w:p w14:paraId="2C9CC58C" w14:textId="77777777" w:rsidR="008C18E1" w:rsidRPr="008C18E1" w:rsidRDefault="008C18E1" w:rsidP="008C18E1">
      <w:pPr>
        <w:rPr>
          <w:lang w:val="en-US"/>
        </w:rPr>
      </w:pPr>
    </w:p>
    <w:p w14:paraId="1E45EAB9" w14:textId="77777777" w:rsidR="008C18E1" w:rsidRDefault="008C18E1" w:rsidP="008C18E1">
      <w:pPr>
        <w:rPr>
          <w:lang w:val="en-US"/>
        </w:rPr>
      </w:pPr>
    </w:p>
    <w:p w14:paraId="71D57D9F" w14:textId="77777777" w:rsidR="008C18E1" w:rsidRDefault="008C18E1" w:rsidP="008C18E1">
      <w:pPr>
        <w:rPr>
          <w:lang w:val="en-US"/>
        </w:rPr>
      </w:pPr>
    </w:p>
    <w:p w14:paraId="2FB5A283" w14:textId="77777777" w:rsidR="008C18E1" w:rsidRDefault="008C18E1" w:rsidP="008C18E1">
      <w:pPr>
        <w:rPr>
          <w:lang w:val="en-US"/>
        </w:rPr>
      </w:pPr>
    </w:p>
    <w:p w14:paraId="348D4CB2" w14:textId="77777777" w:rsidR="008C18E1" w:rsidRDefault="008C18E1" w:rsidP="008C18E1">
      <w:pPr>
        <w:rPr>
          <w:lang w:val="en-US"/>
        </w:rPr>
      </w:pPr>
    </w:p>
    <w:p w14:paraId="1AD789CB" w14:textId="77777777" w:rsidR="008C18E1" w:rsidRDefault="008C18E1" w:rsidP="008C18E1">
      <w:pPr>
        <w:rPr>
          <w:lang w:val="en-US"/>
        </w:rPr>
      </w:pPr>
    </w:p>
    <w:p w14:paraId="4C31BF70" w14:textId="77777777" w:rsidR="008C18E1" w:rsidRDefault="008C18E1" w:rsidP="008C18E1">
      <w:pPr>
        <w:rPr>
          <w:lang w:val="en-US"/>
        </w:rPr>
      </w:pPr>
    </w:p>
    <w:p w14:paraId="68874346" w14:textId="77777777" w:rsidR="008C18E1" w:rsidRDefault="008C18E1" w:rsidP="008C18E1">
      <w:pPr>
        <w:rPr>
          <w:lang w:val="en-US"/>
        </w:rPr>
      </w:pPr>
    </w:p>
    <w:p w14:paraId="58A45684" w14:textId="77777777" w:rsidR="008C18E1" w:rsidRDefault="008C18E1" w:rsidP="008C18E1">
      <w:pPr>
        <w:rPr>
          <w:lang w:val="en-US"/>
        </w:rPr>
      </w:pPr>
    </w:p>
    <w:p w14:paraId="67C6FA02" w14:textId="77777777" w:rsidR="008C18E1" w:rsidRDefault="008C18E1" w:rsidP="008C18E1">
      <w:pPr>
        <w:rPr>
          <w:lang w:val="en-US"/>
        </w:rPr>
      </w:pPr>
    </w:p>
    <w:p w14:paraId="4AD53EC9" w14:textId="77777777" w:rsidR="008C18E1" w:rsidRDefault="008C18E1" w:rsidP="008C18E1">
      <w:pPr>
        <w:rPr>
          <w:lang w:val="en-US"/>
        </w:rPr>
      </w:pPr>
    </w:p>
    <w:p w14:paraId="4EECD727" w14:textId="77777777" w:rsidR="008C18E1" w:rsidRDefault="008C18E1" w:rsidP="008C18E1">
      <w:pPr>
        <w:rPr>
          <w:lang w:val="en-US"/>
        </w:rPr>
      </w:pPr>
    </w:p>
    <w:p w14:paraId="7127AC16" w14:textId="77777777" w:rsidR="008C18E1" w:rsidRDefault="008C18E1" w:rsidP="008C18E1">
      <w:pPr>
        <w:rPr>
          <w:lang w:val="en-US"/>
        </w:rPr>
      </w:pPr>
    </w:p>
    <w:p w14:paraId="52726C03" w14:textId="77777777" w:rsidR="008C18E1" w:rsidRDefault="008C18E1" w:rsidP="008C18E1">
      <w:pPr>
        <w:rPr>
          <w:lang w:val="en-US"/>
        </w:rPr>
      </w:pPr>
    </w:p>
    <w:p w14:paraId="3386711F" w14:textId="77777777" w:rsidR="008C18E1" w:rsidRDefault="008C18E1" w:rsidP="008C18E1">
      <w:pPr>
        <w:rPr>
          <w:lang w:val="en-US"/>
        </w:rPr>
      </w:pPr>
    </w:p>
    <w:p w14:paraId="0F63E60F" w14:textId="77777777" w:rsidR="008C18E1" w:rsidRDefault="008C18E1" w:rsidP="008C18E1">
      <w:pPr>
        <w:rPr>
          <w:lang w:val="en-US"/>
        </w:rPr>
      </w:pPr>
    </w:p>
    <w:p w14:paraId="1893EC97" w14:textId="77777777" w:rsidR="008C18E1" w:rsidRDefault="008C18E1" w:rsidP="008C18E1">
      <w:pPr>
        <w:rPr>
          <w:lang w:val="en-US"/>
        </w:rPr>
      </w:pPr>
    </w:p>
    <w:p w14:paraId="4CDB26A0" w14:textId="77777777" w:rsidR="008C18E1" w:rsidRDefault="008C18E1" w:rsidP="008C18E1">
      <w:pPr>
        <w:rPr>
          <w:lang w:val="en-US"/>
        </w:rPr>
      </w:pPr>
    </w:p>
    <w:p w14:paraId="6CAFCAA4" w14:textId="77777777" w:rsidR="008C18E1" w:rsidRDefault="008C18E1" w:rsidP="008C18E1">
      <w:pPr>
        <w:rPr>
          <w:lang w:val="en-US"/>
        </w:rPr>
      </w:pPr>
    </w:p>
    <w:p w14:paraId="5D2A29AA" w14:textId="77777777" w:rsidR="008C18E1" w:rsidRDefault="008C18E1" w:rsidP="008C18E1">
      <w:pPr>
        <w:rPr>
          <w:lang w:val="en-US"/>
        </w:rPr>
      </w:pPr>
    </w:p>
    <w:p w14:paraId="078462F4" w14:textId="77777777" w:rsidR="008C18E1" w:rsidRDefault="008C18E1" w:rsidP="008C18E1">
      <w:pPr>
        <w:rPr>
          <w:lang w:val="en-US"/>
        </w:rPr>
      </w:pPr>
    </w:p>
    <w:p w14:paraId="0E0F0E6D" w14:textId="77777777" w:rsidR="008C18E1" w:rsidRDefault="008C18E1" w:rsidP="008C18E1">
      <w:pPr>
        <w:rPr>
          <w:lang w:val="en-US"/>
        </w:rPr>
      </w:pPr>
    </w:p>
    <w:p w14:paraId="3A12A57A" w14:textId="7CD4E2D5" w:rsidR="008C18E1" w:rsidRPr="008C18E1" w:rsidRDefault="008C18E1" w:rsidP="008C18E1">
      <w:pPr>
        <w:rPr>
          <w:lang w:val="en-US"/>
        </w:rPr>
      </w:pPr>
      <w:r>
        <w:rPr>
          <w:lang w:val="en-US"/>
        </w:rPr>
        <w:lastRenderedPageBreak/>
        <w:t>Exercise 7-2</w:t>
      </w:r>
    </w:p>
    <w:p w14:paraId="0C6CD75D" w14:textId="77777777" w:rsidR="008C18E1" w:rsidRPr="008C18E1" w:rsidRDefault="008C18E1" w:rsidP="008C18E1">
      <w:pPr>
        <w:rPr>
          <w:lang w:val="en-US"/>
        </w:rPr>
      </w:pPr>
    </w:p>
    <w:p w14:paraId="2E86CD46" w14:textId="77777777" w:rsidR="008C18E1" w:rsidRPr="008D426D" w:rsidRDefault="008C18E1" w:rsidP="008C18E1">
      <w:pPr>
        <w:rPr>
          <w:rFonts w:cstheme="minorHAnsi"/>
          <w:b/>
          <w:bCs/>
        </w:rPr>
      </w:pPr>
      <w:r w:rsidRPr="008D426D">
        <w:rPr>
          <w:rFonts w:asciiTheme="minorHAnsi" w:hAnsiTheme="minorHAnsi" w:cstheme="minorHAnsi"/>
          <w:b/>
          <w:bCs/>
        </w:rPr>
        <w:t>Define marginal costing and absorption costing. What is the key difference between the two methods? [10 marks]</w:t>
      </w:r>
    </w:p>
    <w:p w14:paraId="047DC2C9" w14:textId="77777777" w:rsidR="008C18E1" w:rsidRPr="008D426D" w:rsidRDefault="008C18E1" w:rsidP="008C18E1">
      <w:pPr>
        <w:rPr>
          <w:rFonts w:cstheme="minorHAnsi"/>
          <w:b/>
          <w:bCs/>
        </w:rPr>
      </w:pPr>
    </w:p>
    <w:p w14:paraId="67A65004" w14:textId="77777777" w:rsidR="008C18E1" w:rsidRPr="008D426D" w:rsidRDefault="008C18E1" w:rsidP="008C18E1">
      <w:pPr>
        <w:pStyle w:val="ListParagraph"/>
        <w:numPr>
          <w:ilvl w:val="0"/>
          <w:numId w:val="3"/>
        </w:numPr>
        <w:rPr>
          <w:rStyle w:val="Emphasis"/>
          <w:rFonts w:ascii="Calibri" w:hAnsi="Calibri" w:cs="Calibri"/>
          <w:color w:val="FF0000"/>
        </w:rPr>
      </w:pPr>
      <w:r w:rsidRPr="008D426D">
        <w:rPr>
          <w:rStyle w:val="Strong"/>
          <w:rFonts w:ascii="Calibri" w:eastAsiaTheme="majorEastAsia" w:hAnsi="Calibri" w:cs="Calibri"/>
          <w:color w:val="FF0000"/>
        </w:rPr>
        <w:t>Marginal Costing Definition:</w:t>
      </w:r>
      <w:r w:rsidRPr="008D426D">
        <w:rPr>
          <w:rFonts w:ascii="Calibri" w:hAnsi="Calibri" w:cs="Calibri"/>
          <w:color w:val="FF0000"/>
        </w:rPr>
        <w:t xml:space="preserve"> A costing method where only </w:t>
      </w:r>
      <w:r w:rsidRPr="008D426D">
        <w:rPr>
          <w:rStyle w:val="Strong"/>
          <w:rFonts w:ascii="Calibri" w:eastAsiaTheme="majorEastAsia" w:hAnsi="Calibri" w:cs="Calibri"/>
          <w:color w:val="FF0000"/>
        </w:rPr>
        <w:t>variable costs</w:t>
      </w:r>
      <w:r w:rsidRPr="008D426D">
        <w:rPr>
          <w:rFonts w:ascii="Calibri" w:hAnsi="Calibri" w:cs="Calibri"/>
          <w:color w:val="FF0000"/>
        </w:rPr>
        <w:t xml:space="preserve"> (direct materials, direct </w:t>
      </w:r>
      <w:proofErr w:type="spellStart"/>
      <w:r w:rsidRPr="008D426D">
        <w:rPr>
          <w:rFonts w:ascii="Calibri" w:hAnsi="Calibri" w:cs="Calibri"/>
          <w:color w:val="FF0000"/>
        </w:rPr>
        <w:t>labor</w:t>
      </w:r>
      <w:proofErr w:type="spellEnd"/>
      <w:r w:rsidRPr="008D426D">
        <w:rPr>
          <w:rFonts w:ascii="Calibri" w:hAnsi="Calibri" w:cs="Calibri"/>
          <w:color w:val="FF0000"/>
        </w:rPr>
        <w:t xml:space="preserve">, variable overheads) are charged to products, while </w:t>
      </w:r>
      <w:r w:rsidRPr="008D426D">
        <w:rPr>
          <w:rStyle w:val="Strong"/>
          <w:rFonts w:ascii="Calibri" w:eastAsiaTheme="majorEastAsia" w:hAnsi="Calibri" w:cs="Calibri"/>
          <w:color w:val="FF0000"/>
        </w:rPr>
        <w:t>fixed costs</w:t>
      </w:r>
      <w:r w:rsidRPr="008D426D">
        <w:rPr>
          <w:rFonts w:ascii="Calibri" w:hAnsi="Calibri" w:cs="Calibri"/>
          <w:color w:val="FF0000"/>
        </w:rPr>
        <w:t xml:space="preserve"> are treated as period costs and written off in the period they occur. </w:t>
      </w:r>
      <w:r w:rsidRPr="008D426D">
        <w:rPr>
          <w:rStyle w:val="Emphasis"/>
          <w:rFonts w:ascii="Calibri" w:eastAsiaTheme="majorEastAsia" w:hAnsi="Calibri" w:cs="Calibri"/>
          <w:color w:val="FF0000"/>
        </w:rPr>
        <w:t>(4 marks)</w:t>
      </w:r>
    </w:p>
    <w:p w14:paraId="72588FBA" w14:textId="77777777" w:rsidR="008C18E1" w:rsidRPr="008D426D" w:rsidRDefault="008C18E1" w:rsidP="008C18E1">
      <w:pPr>
        <w:pStyle w:val="ListParagraph"/>
        <w:numPr>
          <w:ilvl w:val="0"/>
          <w:numId w:val="3"/>
        </w:numPr>
        <w:rPr>
          <w:rStyle w:val="Emphasis"/>
          <w:rFonts w:ascii="Calibri" w:hAnsi="Calibri" w:cs="Calibri"/>
          <w:color w:val="FF0000"/>
        </w:rPr>
      </w:pPr>
      <w:r w:rsidRPr="008D426D">
        <w:rPr>
          <w:rStyle w:val="Strong"/>
          <w:rFonts w:ascii="Calibri" w:eastAsiaTheme="majorEastAsia" w:hAnsi="Calibri" w:cs="Calibri"/>
          <w:color w:val="FF0000"/>
        </w:rPr>
        <w:t>Absorption Costing Definition:</w:t>
      </w:r>
      <w:r w:rsidRPr="008D426D">
        <w:rPr>
          <w:rFonts w:ascii="Calibri" w:hAnsi="Calibri" w:cs="Calibri"/>
          <w:color w:val="FF0000"/>
        </w:rPr>
        <w:t xml:space="preserve"> A costing method where </w:t>
      </w:r>
      <w:r w:rsidRPr="008D426D">
        <w:rPr>
          <w:rStyle w:val="Strong"/>
          <w:rFonts w:ascii="Calibri" w:eastAsiaTheme="majorEastAsia" w:hAnsi="Calibri" w:cs="Calibri"/>
          <w:color w:val="FF0000"/>
        </w:rPr>
        <w:t>both variable and fixed production costs</w:t>
      </w:r>
      <w:r w:rsidRPr="008D426D">
        <w:rPr>
          <w:rFonts w:ascii="Calibri" w:hAnsi="Calibri" w:cs="Calibri"/>
          <w:color w:val="FF0000"/>
        </w:rPr>
        <w:t xml:space="preserve"> are included in the product cost, meaning fixed costs are absorbed into inventory. </w:t>
      </w:r>
      <w:r w:rsidRPr="008D426D">
        <w:rPr>
          <w:rStyle w:val="Emphasis"/>
          <w:rFonts w:ascii="Calibri" w:eastAsiaTheme="majorEastAsia" w:hAnsi="Calibri" w:cs="Calibri"/>
          <w:color w:val="FF0000"/>
        </w:rPr>
        <w:t>(4 marks)</w:t>
      </w:r>
    </w:p>
    <w:p w14:paraId="4A8ED073" w14:textId="77777777" w:rsidR="008C18E1" w:rsidRPr="008D426D" w:rsidRDefault="008C18E1" w:rsidP="008C18E1">
      <w:pPr>
        <w:pStyle w:val="ListParagraph"/>
        <w:numPr>
          <w:ilvl w:val="0"/>
          <w:numId w:val="3"/>
        </w:numPr>
        <w:rPr>
          <w:rFonts w:ascii="Calibri" w:hAnsi="Calibri" w:cs="Calibri"/>
          <w:color w:val="FF0000"/>
        </w:rPr>
      </w:pPr>
      <w:r w:rsidRPr="008D426D">
        <w:rPr>
          <w:rStyle w:val="Strong"/>
          <w:rFonts w:ascii="Calibri" w:eastAsiaTheme="majorEastAsia" w:hAnsi="Calibri" w:cs="Calibri"/>
          <w:color w:val="FF0000"/>
        </w:rPr>
        <w:t>Key Difference:</w:t>
      </w:r>
      <w:r w:rsidRPr="008D426D">
        <w:rPr>
          <w:rFonts w:ascii="Calibri" w:hAnsi="Calibri" w:cs="Calibri"/>
          <w:color w:val="FF0000"/>
        </w:rPr>
        <w:t xml:space="preserve"> Marginal costing treats fixed costs as a </w:t>
      </w:r>
      <w:r w:rsidRPr="008D426D">
        <w:rPr>
          <w:rStyle w:val="Strong"/>
          <w:rFonts w:ascii="Calibri" w:eastAsiaTheme="majorEastAsia" w:hAnsi="Calibri" w:cs="Calibri"/>
          <w:color w:val="FF0000"/>
        </w:rPr>
        <w:t>period expense</w:t>
      </w:r>
      <w:r w:rsidRPr="008D426D">
        <w:rPr>
          <w:rFonts w:ascii="Calibri" w:hAnsi="Calibri" w:cs="Calibri"/>
          <w:color w:val="FF0000"/>
        </w:rPr>
        <w:t xml:space="preserve">, while absorption costing allocates fixed costs to </w:t>
      </w:r>
      <w:r w:rsidRPr="008D426D">
        <w:rPr>
          <w:rStyle w:val="Strong"/>
          <w:rFonts w:ascii="Calibri" w:eastAsiaTheme="majorEastAsia" w:hAnsi="Calibri" w:cs="Calibri"/>
          <w:color w:val="FF0000"/>
        </w:rPr>
        <w:t>each unit produced</w:t>
      </w:r>
      <w:r w:rsidRPr="008D426D">
        <w:rPr>
          <w:rFonts w:ascii="Calibri" w:hAnsi="Calibri" w:cs="Calibri"/>
          <w:color w:val="FF0000"/>
        </w:rPr>
        <w:t xml:space="preserve">. </w:t>
      </w:r>
      <w:r w:rsidRPr="008D426D">
        <w:rPr>
          <w:rStyle w:val="Emphasis"/>
          <w:rFonts w:ascii="Calibri" w:eastAsiaTheme="majorEastAsia" w:hAnsi="Calibri" w:cs="Calibri"/>
          <w:color w:val="FF0000"/>
        </w:rPr>
        <w:t>(2 mark)</w:t>
      </w:r>
    </w:p>
    <w:p w14:paraId="63DFAB9C" w14:textId="7F38DC06" w:rsidR="008C18E1" w:rsidRPr="003775F2" w:rsidRDefault="008C18E1" w:rsidP="008C18E1">
      <w:pPr>
        <w:spacing w:before="100" w:beforeAutospacing="1" w:after="100" w:afterAutospacing="1"/>
        <w:rPr>
          <w:rFonts w:asciiTheme="minorHAnsi" w:hAnsiTheme="minorHAnsi" w:cstheme="minorHAnsi"/>
        </w:rPr>
      </w:pPr>
      <w:r w:rsidRPr="008D426D">
        <w:rPr>
          <w:rFonts w:asciiTheme="minorHAnsi" w:hAnsiTheme="minorHAnsi" w:cstheme="minorHAnsi"/>
          <w:b/>
          <w:bCs/>
        </w:rPr>
        <w:t xml:space="preserve">2) </w:t>
      </w:r>
      <w:r w:rsidRPr="003775F2">
        <w:rPr>
          <w:rFonts w:asciiTheme="minorHAnsi" w:hAnsiTheme="minorHAnsi" w:cstheme="minorHAnsi"/>
          <w:b/>
          <w:bCs/>
        </w:rPr>
        <w:t xml:space="preserve">A company produces </w:t>
      </w:r>
      <w:r>
        <w:rPr>
          <w:rFonts w:asciiTheme="minorHAnsi" w:hAnsiTheme="minorHAnsi" w:cstheme="minorHAnsi"/>
          <w:b/>
          <w:bCs/>
        </w:rPr>
        <w:t>2</w:t>
      </w:r>
      <w:r w:rsidRPr="003775F2">
        <w:rPr>
          <w:rFonts w:asciiTheme="minorHAnsi" w:hAnsiTheme="minorHAnsi" w:cstheme="minorHAnsi"/>
          <w:b/>
          <w:bCs/>
        </w:rPr>
        <w:t>,000 units of a product with the following costs:</w:t>
      </w:r>
    </w:p>
    <w:p w14:paraId="16C765BA" w14:textId="53981BD0" w:rsidR="008C18E1" w:rsidRPr="003775F2" w:rsidRDefault="008C18E1" w:rsidP="008C18E1">
      <w:pPr>
        <w:numPr>
          <w:ilvl w:val="0"/>
          <w:numId w:val="1"/>
        </w:numPr>
        <w:spacing w:before="100" w:beforeAutospacing="1" w:after="100" w:afterAutospacing="1"/>
        <w:rPr>
          <w:rFonts w:asciiTheme="minorHAnsi" w:hAnsiTheme="minorHAnsi" w:cstheme="minorHAnsi"/>
        </w:rPr>
      </w:pPr>
      <w:r w:rsidRPr="003775F2">
        <w:rPr>
          <w:rFonts w:asciiTheme="minorHAnsi" w:hAnsiTheme="minorHAnsi" w:cstheme="minorHAnsi"/>
        </w:rPr>
        <w:t xml:space="preserve">Direct material per unit: </w:t>
      </w:r>
      <w:r w:rsidRPr="003775F2">
        <w:rPr>
          <w:rFonts w:asciiTheme="minorHAnsi" w:hAnsiTheme="minorHAnsi" w:cstheme="minorHAnsi"/>
          <w:b/>
          <w:bCs/>
        </w:rPr>
        <w:t>$1</w:t>
      </w:r>
      <w:r>
        <w:rPr>
          <w:rFonts w:asciiTheme="minorHAnsi" w:hAnsiTheme="minorHAnsi" w:cstheme="minorHAnsi"/>
          <w:b/>
          <w:bCs/>
        </w:rPr>
        <w:t>5</w:t>
      </w:r>
    </w:p>
    <w:p w14:paraId="7A96532E" w14:textId="77777777" w:rsidR="008C18E1" w:rsidRPr="003775F2" w:rsidRDefault="008C18E1" w:rsidP="008C18E1">
      <w:pPr>
        <w:numPr>
          <w:ilvl w:val="0"/>
          <w:numId w:val="1"/>
        </w:numPr>
        <w:spacing w:before="100" w:beforeAutospacing="1" w:after="100" w:afterAutospacing="1"/>
        <w:rPr>
          <w:rFonts w:asciiTheme="minorHAnsi" w:hAnsiTheme="minorHAnsi" w:cstheme="minorHAnsi"/>
        </w:rPr>
      </w:pPr>
      <w:r w:rsidRPr="003775F2">
        <w:rPr>
          <w:rFonts w:asciiTheme="minorHAnsi" w:hAnsiTheme="minorHAnsi" w:cstheme="minorHAnsi"/>
        </w:rPr>
        <w:t xml:space="preserve">Direct labour per unit: </w:t>
      </w:r>
      <w:r w:rsidRPr="003775F2">
        <w:rPr>
          <w:rFonts w:asciiTheme="minorHAnsi" w:hAnsiTheme="minorHAnsi" w:cstheme="minorHAnsi"/>
          <w:b/>
          <w:bCs/>
        </w:rPr>
        <w:t>$8</w:t>
      </w:r>
    </w:p>
    <w:p w14:paraId="7401F7E8" w14:textId="77777777" w:rsidR="008C18E1" w:rsidRPr="003775F2" w:rsidRDefault="008C18E1" w:rsidP="008C18E1">
      <w:pPr>
        <w:numPr>
          <w:ilvl w:val="0"/>
          <w:numId w:val="1"/>
        </w:numPr>
        <w:spacing w:before="100" w:beforeAutospacing="1" w:after="100" w:afterAutospacing="1"/>
        <w:rPr>
          <w:rFonts w:asciiTheme="minorHAnsi" w:hAnsiTheme="minorHAnsi" w:cstheme="minorHAnsi"/>
        </w:rPr>
      </w:pPr>
      <w:r w:rsidRPr="003775F2">
        <w:rPr>
          <w:rFonts w:asciiTheme="minorHAnsi" w:hAnsiTheme="minorHAnsi" w:cstheme="minorHAnsi"/>
        </w:rPr>
        <w:t xml:space="preserve">Variable overhead per unit: </w:t>
      </w:r>
      <w:r w:rsidRPr="003775F2">
        <w:rPr>
          <w:rFonts w:asciiTheme="minorHAnsi" w:hAnsiTheme="minorHAnsi" w:cstheme="minorHAnsi"/>
          <w:b/>
          <w:bCs/>
        </w:rPr>
        <w:t>$5</w:t>
      </w:r>
    </w:p>
    <w:p w14:paraId="0A906437" w14:textId="1573ADC2" w:rsidR="008C18E1" w:rsidRPr="003775F2" w:rsidRDefault="008C18E1" w:rsidP="008C18E1">
      <w:pPr>
        <w:numPr>
          <w:ilvl w:val="0"/>
          <w:numId w:val="1"/>
        </w:numPr>
        <w:spacing w:before="100" w:beforeAutospacing="1" w:after="100" w:afterAutospacing="1"/>
        <w:rPr>
          <w:rFonts w:asciiTheme="minorHAnsi" w:hAnsiTheme="minorHAnsi" w:cstheme="minorHAnsi"/>
        </w:rPr>
      </w:pPr>
      <w:r w:rsidRPr="003775F2">
        <w:rPr>
          <w:rFonts w:asciiTheme="minorHAnsi" w:hAnsiTheme="minorHAnsi" w:cstheme="minorHAnsi"/>
        </w:rPr>
        <w:t xml:space="preserve">Fixed production overhead: </w:t>
      </w:r>
      <w:r w:rsidRPr="003775F2">
        <w:rPr>
          <w:rFonts w:asciiTheme="minorHAnsi" w:hAnsiTheme="minorHAnsi" w:cstheme="minorHAnsi"/>
          <w:b/>
          <w:bCs/>
        </w:rPr>
        <w:t>$</w:t>
      </w:r>
      <w:r>
        <w:rPr>
          <w:rFonts w:asciiTheme="minorHAnsi" w:hAnsiTheme="minorHAnsi" w:cstheme="minorHAnsi"/>
          <w:b/>
          <w:bCs/>
        </w:rPr>
        <w:t>3</w:t>
      </w:r>
      <w:r w:rsidRPr="003775F2">
        <w:rPr>
          <w:rFonts w:asciiTheme="minorHAnsi" w:hAnsiTheme="minorHAnsi" w:cstheme="minorHAnsi"/>
          <w:b/>
          <w:bCs/>
        </w:rPr>
        <w:t>0,000</w:t>
      </w:r>
    </w:p>
    <w:p w14:paraId="606138DE" w14:textId="77777777" w:rsidR="008C18E1" w:rsidRPr="00404F67" w:rsidRDefault="008C18E1" w:rsidP="008C18E1">
      <w:pPr>
        <w:pStyle w:val="ListParagraph"/>
        <w:numPr>
          <w:ilvl w:val="0"/>
          <w:numId w:val="2"/>
        </w:numPr>
        <w:spacing w:before="100" w:beforeAutospacing="1" w:after="100" w:afterAutospacing="1"/>
        <w:contextualSpacing w:val="0"/>
        <w:rPr>
          <w:rFonts w:eastAsia="Times New Roman" w:cstheme="minorHAnsi"/>
          <w:b/>
          <w:bCs/>
          <w:lang w:eastAsia="en-GB"/>
        </w:rPr>
      </w:pPr>
      <w:r w:rsidRPr="00404F67">
        <w:rPr>
          <w:rFonts w:eastAsia="Times New Roman" w:cstheme="minorHAnsi"/>
          <w:b/>
          <w:bCs/>
          <w:lang w:eastAsia="en-GB"/>
        </w:rPr>
        <w:t>Calculate the cost per unit under marginal costing. [5 marks]</w:t>
      </w:r>
    </w:p>
    <w:p w14:paraId="0CCF80E8" w14:textId="77777777" w:rsidR="008C18E1" w:rsidRDefault="008C18E1" w:rsidP="008C18E1">
      <w:pPr>
        <w:pStyle w:val="ListParagraph"/>
        <w:numPr>
          <w:ilvl w:val="0"/>
          <w:numId w:val="2"/>
        </w:numPr>
        <w:spacing w:before="100" w:beforeAutospacing="1" w:after="100" w:afterAutospacing="1"/>
        <w:contextualSpacing w:val="0"/>
        <w:rPr>
          <w:rFonts w:eastAsia="Times New Roman" w:cstheme="minorHAnsi"/>
          <w:b/>
          <w:bCs/>
          <w:lang w:eastAsia="en-GB"/>
        </w:rPr>
      </w:pPr>
      <w:r w:rsidRPr="00404F67">
        <w:rPr>
          <w:rFonts w:eastAsia="Times New Roman" w:cstheme="minorHAnsi"/>
          <w:b/>
          <w:bCs/>
          <w:lang w:eastAsia="en-GB"/>
        </w:rPr>
        <w:t>Calculate the cost per unit under absorption costing (assuming production and sales are equal). [5 marks]</w:t>
      </w:r>
    </w:p>
    <w:p w14:paraId="0F90F91C" w14:textId="77777777" w:rsidR="008C18E1" w:rsidRDefault="008C18E1" w:rsidP="008C18E1">
      <w:pPr>
        <w:spacing w:before="100" w:beforeAutospacing="1" w:after="100" w:afterAutospacing="1"/>
        <w:ind w:left="360"/>
        <w:rPr>
          <w:rFonts w:asciiTheme="minorHAnsi" w:hAnsiTheme="minorHAnsi" w:cstheme="minorHAnsi"/>
          <w:b/>
          <w:bCs/>
        </w:rPr>
      </w:pPr>
    </w:p>
    <w:p w14:paraId="47B15CD2" w14:textId="77777777" w:rsidR="008C18E1" w:rsidRPr="00D133DE" w:rsidRDefault="008C18E1" w:rsidP="008C18E1">
      <w:pPr>
        <w:spacing w:before="100" w:beforeAutospacing="1" w:after="100" w:afterAutospacing="1" w:line="360" w:lineRule="auto"/>
        <w:ind w:left="720"/>
        <w:rPr>
          <w:rFonts w:asciiTheme="minorHAnsi" w:hAnsiTheme="minorHAnsi" w:cstheme="minorHAnsi"/>
          <w:b/>
          <w:bCs/>
        </w:rPr>
      </w:pPr>
      <w:r w:rsidRPr="003775F2">
        <w:rPr>
          <w:rFonts w:asciiTheme="minorHAnsi" w:hAnsiTheme="minorHAnsi" w:cstheme="minorHAnsi"/>
          <w:b/>
          <w:bCs/>
        </w:rPr>
        <w:t xml:space="preserve">TOTAL = </w:t>
      </w:r>
      <w:r>
        <w:rPr>
          <w:rFonts w:asciiTheme="minorHAnsi" w:hAnsiTheme="minorHAnsi" w:cstheme="minorHAnsi"/>
          <w:b/>
          <w:bCs/>
        </w:rPr>
        <w:t>2</w:t>
      </w:r>
      <w:r w:rsidRPr="003775F2">
        <w:rPr>
          <w:rFonts w:asciiTheme="minorHAnsi" w:hAnsiTheme="minorHAnsi" w:cstheme="minorHAnsi"/>
          <w:b/>
          <w:bCs/>
        </w:rPr>
        <w:t>0 MARKS</w:t>
      </w:r>
    </w:p>
    <w:p w14:paraId="7A42C039" w14:textId="77777777" w:rsidR="008C18E1" w:rsidRPr="00CF0982" w:rsidRDefault="008C18E1" w:rsidP="008C18E1">
      <w:pPr>
        <w:spacing w:line="360" w:lineRule="auto"/>
        <w:rPr>
          <w:rFonts w:ascii="Calibri" w:hAnsi="Calibri" w:cs="Calibri"/>
          <w:b/>
          <w:bCs/>
        </w:rPr>
      </w:pPr>
      <w:r w:rsidRPr="00CF0982">
        <w:rPr>
          <w:rFonts w:ascii="Calibri" w:eastAsiaTheme="majorEastAsia" w:hAnsi="Calibri" w:cs="Calibri"/>
          <w:b/>
          <w:bCs/>
        </w:rPr>
        <w:t>(a) Calculate the cost per unit under marginal costing.</w:t>
      </w:r>
      <w:r w:rsidRPr="00CF0982">
        <w:rPr>
          <w:rFonts w:ascii="Calibri" w:hAnsi="Calibri" w:cs="Calibri"/>
          <w:b/>
          <w:bCs/>
        </w:rPr>
        <w:t xml:space="preserve"> </w:t>
      </w:r>
      <w:r w:rsidRPr="00CF0982">
        <w:rPr>
          <w:rFonts w:ascii="Calibri" w:eastAsiaTheme="majorEastAsia" w:hAnsi="Calibri" w:cs="Calibri"/>
          <w:b/>
          <w:bCs/>
          <w:i/>
          <w:iCs/>
        </w:rPr>
        <w:t>(3 marks)</w:t>
      </w:r>
    </w:p>
    <w:p w14:paraId="6DD54609" w14:textId="77777777" w:rsidR="008C18E1" w:rsidRDefault="008C18E1" w:rsidP="008C18E1">
      <w:pPr>
        <w:spacing w:line="360" w:lineRule="auto"/>
        <w:rPr>
          <w:rFonts w:ascii="Calibri" w:hAnsi="Calibri" w:cs="Calibri"/>
        </w:rPr>
      </w:pPr>
      <w:r w:rsidRPr="00CF0982">
        <w:rPr>
          <w:rFonts w:ascii="Calibri" w:hAnsi="Calibri" w:cs="Calibri"/>
        </w:rPr>
        <w:t>Cost per unit</w:t>
      </w:r>
      <w:r>
        <w:rPr>
          <w:rFonts w:ascii="Calibri" w:hAnsi="Calibri" w:cs="Calibri"/>
        </w:rPr>
        <w:t xml:space="preserve"> = </w:t>
      </w:r>
      <w:r w:rsidRPr="00CF0982">
        <w:rPr>
          <w:rFonts w:ascii="Calibri" w:eastAsiaTheme="majorEastAsia" w:hAnsi="Calibri" w:cs="Calibri"/>
        </w:rPr>
        <w:t>Direct Materials</w:t>
      </w:r>
      <w:r>
        <w:rPr>
          <w:rFonts w:ascii="Calibri" w:hAnsi="Calibri" w:cs="Calibri"/>
        </w:rPr>
        <w:t xml:space="preserve"> </w:t>
      </w:r>
      <w:r w:rsidRPr="00CF0982">
        <w:rPr>
          <w:rFonts w:ascii="Calibri" w:eastAsiaTheme="majorEastAsia" w:hAnsi="Calibri" w:cs="Calibri"/>
        </w:rPr>
        <w:t>+</w:t>
      </w:r>
      <w:r>
        <w:rPr>
          <w:rFonts w:ascii="Calibri" w:hAnsi="Calibri" w:cs="Calibri"/>
        </w:rPr>
        <w:t xml:space="preserve"> </w:t>
      </w:r>
      <w:r w:rsidRPr="00CF0982">
        <w:rPr>
          <w:rFonts w:ascii="Calibri" w:eastAsiaTheme="majorEastAsia" w:hAnsi="Calibri" w:cs="Calibri"/>
        </w:rPr>
        <w:t>Direct Labor</w:t>
      </w:r>
      <w:r>
        <w:rPr>
          <w:rFonts w:ascii="Calibri" w:hAnsi="Calibri" w:cs="Calibri"/>
        </w:rPr>
        <w:t xml:space="preserve"> </w:t>
      </w:r>
      <w:r w:rsidRPr="00CF0982">
        <w:rPr>
          <w:rFonts w:ascii="Calibri" w:eastAsiaTheme="majorEastAsia" w:hAnsi="Calibri" w:cs="Calibri"/>
        </w:rPr>
        <w:t>+</w:t>
      </w:r>
      <w:r>
        <w:rPr>
          <w:rFonts w:ascii="Calibri" w:hAnsi="Calibri" w:cs="Calibri"/>
        </w:rPr>
        <w:t xml:space="preserve"> </w:t>
      </w:r>
      <w:r w:rsidRPr="00CF0982">
        <w:rPr>
          <w:rFonts w:ascii="Calibri" w:eastAsiaTheme="majorEastAsia" w:hAnsi="Calibri" w:cs="Calibri"/>
        </w:rPr>
        <w:t>Variable Overhead</w:t>
      </w:r>
    </w:p>
    <w:p w14:paraId="29ECC6E0" w14:textId="040E2103" w:rsidR="008C18E1" w:rsidRDefault="008C18E1" w:rsidP="008C18E1">
      <w:pPr>
        <w:spacing w:line="360" w:lineRule="auto"/>
        <w:rPr>
          <w:rFonts w:cstheme="minorHAnsi"/>
          <w:b/>
          <w:bCs/>
        </w:rPr>
      </w:pPr>
      <w:r w:rsidRPr="00CF0982">
        <w:rPr>
          <w:rFonts w:ascii="Calibri" w:eastAsiaTheme="majorEastAsia" w:hAnsi="Calibri" w:cs="Calibri"/>
        </w:rPr>
        <w:t>=</w:t>
      </w:r>
      <w:r>
        <w:rPr>
          <w:rFonts w:ascii="Calibri" w:hAnsi="Calibri" w:cs="Calibri"/>
        </w:rPr>
        <w:t xml:space="preserve"> </w:t>
      </w:r>
      <w:r w:rsidRPr="00CF0982">
        <w:rPr>
          <w:rFonts w:ascii="Calibri" w:eastAsiaTheme="majorEastAsia" w:hAnsi="Calibri" w:cs="Calibri"/>
        </w:rPr>
        <w:t>1</w:t>
      </w:r>
      <w:r>
        <w:rPr>
          <w:rFonts w:ascii="Calibri" w:eastAsiaTheme="majorEastAsia" w:hAnsi="Calibri" w:cs="Calibri"/>
        </w:rPr>
        <w:t>5</w:t>
      </w:r>
      <w:r>
        <w:rPr>
          <w:rFonts w:ascii="Calibri" w:hAnsi="Calibri" w:cs="Calibri"/>
        </w:rPr>
        <w:t xml:space="preserve"> </w:t>
      </w:r>
      <w:r w:rsidRPr="00CF0982">
        <w:rPr>
          <w:rFonts w:ascii="Calibri" w:eastAsiaTheme="majorEastAsia" w:hAnsi="Calibri" w:cs="Calibri"/>
        </w:rPr>
        <w:t>+</w:t>
      </w:r>
      <w:r>
        <w:rPr>
          <w:rFonts w:ascii="Calibri" w:hAnsi="Calibri" w:cs="Calibri"/>
        </w:rPr>
        <w:t xml:space="preserve"> </w:t>
      </w:r>
      <w:r w:rsidRPr="00CF0982">
        <w:rPr>
          <w:rFonts w:ascii="Calibri" w:eastAsiaTheme="majorEastAsia" w:hAnsi="Calibri" w:cs="Calibri"/>
        </w:rPr>
        <w:t>8</w:t>
      </w:r>
      <w:r>
        <w:rPr>
          <w:rFonts w:ascii="Calibri" w:hAnsi="Calibri" w:cs="Calibri"/>
        </w:rPr>
        <w:t xml:space="preserve"> </w:t>
      </w:r>
      <w:r w:rsidRPr="00CF0982">
        <w:rPr>
          <w:rFonts w:ascii="Calibri" w:eastAsiaTheme="majorEastAsia" w:hAnsi="Calibri" w:cs="Calibri"/>
        </w:rPr>
        <w:t>+</w:t>
      </w:r>
      <w:r>
        <w:rPr>
          <w:rFonts w:ascii="Calibri" w:hAnsi="Calibri" w:cs="Calibri"/>
        </w:rPr>
        <w:t xml:space="preserve"> </w:t>
      </w:r>
      <w:r w:rsidRPr="00CF0982">
        <w:rPr>
          <w:rFonts w:ascii="Calibri" w:eastAsiaTheme="majorEastAsia" w:hAnsi="Calibri" w:cs="Calibri"/>
        </w:rPr>
        <w:t>5</w:t>
      </w:r>
      <w:r>
        <w:rPr>
          <w:rFonts w:ascii="Calibri" w:hAnsi="Calibri" w:cs="Calibri"/>
        </w:rPr>
        <w:t xml:space="preserve"> </w:t>
      </w:r>
      <w:r w:rsidRPr="00CF0982">
        <w:rPr>
          <w:rFonts w:ascii="Calibri" w:eastAsiaTheme="majorEastAsia" w:hAnsi="Calibri" w:cs="Calibri"/>
        </w:rPr>
        <w:t>=</w:t>
      </w:r>
      <w:r>
        <w:rPr>
          <w:rFonts w:ascii="Calibri" w:hAnsi="Calibri" w:cs="Calibri"/>
        </w:rPr>
        <w:t xml:space="preserve"> </w:t>
      </w:r>
      <w:r w:rsidRPr="00CF0982">
        <w:rPr>
          <w:rFonts w:ascii="Calibri" w:eastAsiaTheme="majorEastAsia" w:hAnsi="Calibri" w:cs="Calibri"/>
        </w:rPr>
        <w:t>$2</w:t>
      </w:r>
      <w:r>
        <w:rPr>
          <w:rFonts w:ascii="Calibri" w:eastAsiaTheme="majorEastAsia" w:hAnsi="Calibri" w:cs="Calibri"/>
        </w:rPr>
        <w:t>8</w:t>
      </w:r>
      <w:r>
        <w:rPr>
          <w:rFonts w:ascii="Calibri" w:hAnsi="Calibri" w:cs="Calibri"/>
        </w:rPr>
        <w:t xml:space="preserve"> </w:t>
      </w:r>
      <w:r w:rsidRPr="00404F67">
        <w:rPr>
          <w:rFonts w:asciiTheme="minorHAnsi" w:hAnsiTheme="minorHAnsi" w:cstheme="minorHAnsi"/>
          <w:b/>
          <w:bCs/>
        </w:rPr>
        <w:t>[5 marks]</w:t>
      </w:r>
    </w:p>
    <w:p w14:paraId="7B963FBC" w14:textId="77777777" w:rsidR="008C18E1" w:rsidRDefault="008C18E1" w:rsidP="008C18E1">
      <w:pPr>
        <w:spacing w:line="360" w:lineRule="auto"/>
        <w:rPr>
          <w:rFonts w:cstheme="minorHAnsi"/>
          <w:b/>
          <w:bCs/>
        </w:rPr>
      </w:pPr>
    </w:p>
    <w:p w14:paraId="4E18109F" w14:textId="77777777" w:rsidR="008C18E1" w:rsidRPr="00CF0982" w:rsidRDefault="008C18E1" w:rsidP="008C18E1">
      <w:pPr>
        <w:spacing w:line="360" w:lineRule="auto"/>
        <w:rPr>
          <w:rFonts w:ascii="Calibri" w:hAnsi="Calibri" w:cs="Calibri"/>
          <w:b/>
          <w:bCs/>
        </w:rPr>
      </w:pPr>
      <w:r w:rsidRPr="00CF0982">
        <w:rPr>
          <w:rFonts w:ascii="Calibri" w:eastAsiaTheme="majorEastAsia" w:hAnsi="Calibri" w:cs="Calibri"/>
          <w:b/>
          <w:bCs/>
        </w:rPr>
        <w:t>(b) Calculate the cost per unit under absorption costing.</w:t>
      </w:r>
      <w:r w:rsidRPr="00CF0982">
        <w:rPr>
          <w:rFonts w:ascii="Calibri" w:hAnsi="Calibri" w:cs="Calibri"/>
          <w:b/>
          <w:bCs/>
        </w:rPr>
        <w:t xml:space="preserve"> </w:t>
      </w:r>
      <w:r w:rsidRPr="00CF0982">
        <w:rPr>
          <w:rFonts w:ascii="Calibri" w:eastAsiaTheme="majorEastAsia" w:hAnsi="Calibri" w:cs="Calibri"/>
          <w:b/>
          <w:bCs/>
          <w:i/>
          <w:iCs/>
        </w:rPr>
        <w:t>(3 marks)</w:t>
      </w:r>
    </w:p>
    <w:p w14:paraId="0C429163" w14:textId="77777777" w:rsidR="008C18E1" w:rsidRDefault="008C18E1" w:rsidP="008C18E1">
      <w:pPr>
        <w:spacing w:line="360" w:lineRule="auto"/>
        <w:rPr>
          <w:rFonts w:ascii="Calibri" w:hAnsi="Calibri" w:cs="Calibri"/>
          <w:b/>
          <w:bCs/>
          <w:u w:val="single"/>
        </w:rPr>
      </w:pPr>
      <w:r w:rsidRPr="00CF0982">
        <w:rPr>
          <w:rFonts w:ascii="Calibri" w:eastAsiaTheme="majorEastAsia" w:hAnsi="Calibri" w:cs="Calibri"/>
          <w:b/>
          <w:bCs/>
        </w:rPr>
        <w:t>Fixed Overhead per Unit</w:t>
      </w:r>
      <w:r>
        <w:rPr>
          <w:rFonts w:ascii="Calibri" w:hAnsi="Calibri" w:cs="Calibri"/>
          <w:b/>
          <w:bCs/>
        </w:rPr>
        <w:t xml:space="preserve"> = </w:t>
      </w:r>
      <w:r w:rsidRPr="00CF0982">
        <w:rPr>
          <w:rFonts w:ascii="Calibri" w:hAnsi="Calibri" w:cs="Calibri"/>
          <w:b/>
          <w:bCs/>
          <w:u w:val="single"/>
        </w:rPr>
        <w:t>Fixed Overheads</w:t>
      </w:r>
    </w:p>
    <w:p w14:paraId="70D02C79" w14:textId="77777777" w:rsidR="008C18E1" w:rsidRDefault="008C18E1" w:rsidP="008C18E1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  <w:t xml:space="preserve">        </w:t>
      </w:r>
      <w:r w:rsidRPr="00CF0982">
        <w:rPr>
          <w:rFonts w:ascii="Calibri" w:eastAsiaTheme="majorEastAsia" w:hAnsi="Calibri" w:cs="Calibri"/>
        </w:rPr>
        <w:t>Total Units Produced</w:t>
      </w:r>
    </w:p>
    <w:p w14:paraId="7D470FEB" w14:textId="77777777" w:rsidR="008C18E1" w:rsidRDefault="008C18E1" w:rsidP="008C18E1">
      <w:pPr>
        <w:spacing w:line="360" w:lineRule="auto"/>
        <w:rPr>
          <w:rFonts w:ascii="Calibri" w:hAnsi="Calibri" w:cs="Calibri"/>
        </w:rPr>
      </w:pPr>
    </w:p>
    <w:p w14:paraId="2A3AB537" w14:textId="2023DE52" w:rsidR="008C18E1" w:rsidRDefault="008C18E1" w:rsidP="008C18E1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  <w:t xml:space="preserve">= </w:t>
      </w:r>
      <w:r>
        <w:rPr>
          <w:rFonts w:ascii="Calibri" w:eastAsiaTheme="majorEastAsia" w:hAnsi="Calibri" w:cs="Calibri"/>
          <w:u w:val="single"/>
        </w:rPr>
        <w:t>3</w:t>
      </w:r>
      <w:r w:rsidRPr="00CF0982">
        <w:rPr>
          <w:rFonts w:ascii="Calibri" w:eastAsiaTheme="majorEastAsia" w:hAnsi="Calibri" w:cs="Calibri"/>
          <w:u w:val="single"/>
        </w:rPr>
        <w:t>0,000</w:t>
      </w:r>
      <w:r w:rsidRPr="00CF0982">
        <w:rPr>
          <w:rFonts w:ascii="Calibri" w:eastAsiaTheme="majorEastAsia" w:hAnsi="Calibri" w:cs="Calibri"/>
        </w:rPr>
        <w:t>​</w:t>
      </w:r>
    </w:p>
    <w:p w14:paraId="2946C8C9" w14:textId="783126CE" w:rsidR="008C18E1" w:rsidRDefault="008C18E1" w:rsidP="008C18E1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  <w:t xml:space="preserve">    </w:t>
      </w:r>
      <w:r>
        <w:rPr>
          <w:rFonts w:ascii="Calibri" w:hAnsi="Calibri" w:cs="Calibri"/>
        </w:rPr>
        <w:t>2</w:t>
      </w:r>
      <w:r>
        <w:rPr>
          <w:rFonts w:ascii="Calibri" w:hAnsi="Calibri" w:cs="Calibri"/>
        </w:rPr>
        <w:t xml:space="preserve">,000  = </w:t>
      </w:r>
      <w:r>
        <w:rPr>
          <w:rFonts w:ascii="Calibri" w:eastAsiaTheme="majorEastAsia" w:hAnsi="Calibri" w:cs="Calibri"/>
        </w:rPr>
        <w:t>15</w:t>
      </w:r>
    </w:p>
    <w:p w14:paraId="1B919DA4" w14:textId="77777777" w:rsidR="008C18E1" w:rsidRDefault="008C18E1" w:rsidP="008C18E1">
      <w:pPr>
        <w:spacing w:line="360" w:lineRule="auto"/>
        <w:rPr>
          <w:rFonts w:ascii="Calibri" w:hAnsi="Calibri" w:cs="Calibri"/>
        </w:rPr>
      </w:pPr>
    </w:p>
    <w:p w14:paraId="35865EAF" w14:textId="77777777" w:rsidR="00825D83" w:rsidRPr="00825D83" w:rsidRDefault="008C18E1" w:rsidP="00825D83">
      <w:pPr>
        <w:spacing w:line="360" w:lineRule="auto"/>
        <w:rPr>
          <w:rFonts w:ascii="Calibri" w:eastAsiaTheme="majorEastAsia" w:hAnsi="Calibri" w:cs="Calibri"/>
        </w:rPr>
      </w:pPr>
      <w:r w:rsidRPr="00CF0982">
        <w:rPr>
          <w:rFonts w:ascii="Calibri" w:eastAsiaTheme="majorEastAsia" w:hAnsi="Calibri" w:cs="Calibri"/>
        </w:rPr>
        <w:t>Total Cost per Unit</w:t>
      </w:r>
      <w:r>
        <w:rPr>
          <w:rFonts w:ascii="Calibri" w:hAnsi="Calibri" w:cs="Calibri"/>
        </w:rPr>
        <w:t xml:space="preserve"> </w:t>
      </w:r>
      <w:r w:rsidRPr="00CF0982">
        <w:rPr>
          <w:rFonts w:ascii="Calibri" w:eastAsiaTheme="majorEastAsia" w:hAnsi="Calibri" w:cs="Calibri"/>
        </w:rPr>
        <w:t>=</w:t>
      </w:r>
      <w:r>
        <w:rPr>
          <w:rFonts w:ascii="Calibri" w:hAnsi="Calibri" w:cs="Calibri"/>
        </w:rPr>
        <w:t xml:space="preserve"> </w:t>
      </w:r>
      <w:r w:rsidR="00825D83" w:rsidRPr="00CF0982">
        <w:rPr>
          <w:rFonts w:ascii="Calibri" w:eastAsiaTheme="majorEastAsia" w:hAnsi="Calibri" w:cs="Calibri"/>
        </w:rPr>
        <w:t>Direct Materials</w:t>
      </w:r>
      <w:r w:rsidR="00825D83">
        <w:rPr>
          <w:rFonts w:ascii="Calibri" w:hAnsi="Calibri" w:cs="Calibri"/>
        </w:rPr>
        <w:t xml:space="preserve"> </w:t>
      </w:r>
      <w:r w:rsidR="00825D83" w:rsidRPr="00CF0982">
        <w:rPr>
          <w:rFonts w:ascii="Calibri" w:eastAsiaTheme="majorEastAsia" w:hAnsi="Calibri" w:cs="Calibri"/>
        </w:rPr>
        <w:t>+</w:t>
      </w:r>
      <w:r w:rsidR="00825D83">
        <w:rPr>
          <w:rFonts w:ascii="Calibri" w:hAnsi="Calibri" w:cs="Calibri"/>
        </w:rPr>
        <w:t xml:space="preserve"> </w:t>
      </w:r>
      <w:r w:rsidR="00825D83" w:rsidRPr="00CF0982">
        <w:rPr>
          <w:rFonts w:ascii="Calibri" w:eastAsiaTheme="majorEastAsia" w:hAnsi="Calibri" w:cs="Calibri"/>
        </w:rPr>
        <w:t>Direct Labor</w:t>
      </w:r>
      <w:r w:rsidR="00825D83">
        <w:rPr>
          <w:rFonts w:ascii="Calibri" w:hAnsi="Calibri" w:cs="Calibri"/>
        </w:rPr>
        <w:t xml:space="preserve"> </w:t>
      </w:r>
      <w:r w:rsidR="00825D83" w:rsidRPr="00CF0982">
        <w:rPr>
          <w:rFonts w:ascii="Calibri" w:eastAsiaTheme="majorEastAsia" w:hAnsi="Calibri" w:cs="Calibri"/>
        </w:rPr>
        <w:t>+</w:t>
      </w:r>
      <w:r w:rsidR="00825D83">
        <w:rPr>
          <w:rFonts w:ascii="Calibri" w:hAnsi="Calibri" w:cs="Calibri"/>
        </w:rPr>
        <w:t xml:space="preserve"> </w:t>
      </w:r>
      <w:r w:rsidR="00825D83" w:rsidRPr="00CF0982">
        <w:rPr>
          <w:rFonts w:ascii="Calibri" w:eastAsiaTheme="majorEastAsia" w:hAnsi="Calibri" w:cs="Calibri"/>
        </w:rPr>
        <w:t>Variable Overhead</w:t>
      </w:r>
      <w:r w:rsidR="00825D83">
        <w:rPr>
          <w:rFonts w:ascii="Calibri" w:eastAsiaTheme="majorEastAsia" w:hAnsi="Calibri" w:cs="Calibri"/>
        </w:rPr>
        <w:t xml:space="preserve"> + </w:t>
      </w:r>
      <w:r w:rsidR="00825D83" w:rsidRPr="00825D83">
        <w:rPr>
          <w:rFonts w:ascii="Calibri" w:eastAsiaTheme="majorEastAsia" w:hAnsi="Calibri" w:cs="Calibri"/>
        </w:rPr>
        <w:t xml:space="preserve">unitized  fixed manufacturing </w:t>
      </w:r>
    </w:p>
    <w:p w14:paraId="7EEB2C86" w14:textId="77777777" w:rsidR="00825D83" w:rsidRPr="00825D83" w:rsidRDefault="00825D83" w:rsidP="00825D83">
      <w:pPr>
        <w:spacing w:line="360" w:lineRule="auto"/>
        <w:rPr>
          <w:rFonts w:ascii="Calibri" w:eastAsiaTheme="majorEastAsia" w:hAnsi="Calibri" w:cs="Calibri"/>
        </w:rPr>
      </w:pPr>
      <w:r w:rsidRPr="00825D83">
        <w:rPr>
          <w:rFonts w:ascii="Calibri" w:eastAsiaTheme="majorEastAsia" w:hAnsi="Calibri" w:cs="Calibri"/>
        </w:rPr>
        <w:lastRenderedPageBreak/>
        <w:t>overheads</w:t>
      </w:r>
    </w:p>
    <w:p w14:paraId="0E7527B3" w14:textId="1F17FF6D" w:rsidR="00825D83" w:rsidRDefault="00825D83" w:rsidP="008C18E1">
      <w:pPr>
        <w:spacing w:line="360" w:lineRule="auto"/>
        <w:rPr>
          <w:rFonts w:ascii="Calibri" w:hAnsi="Calibri" w:cs="Calibri"/>
        </w:rPr>
      </w:pPr>
    </w:p>
    <w:p w14:paraId="3C594F28" w14:textId="4E44C41F" w:rsidR="008C18E1" w:rsidRPr="00CF0982" w:rsidRDefault="00825D83" w:rsidP="008C18E1">
      <w:pPr>
        <w:spacing w:line="360" w:lineRule="auto"/>
        <w:rPr>
          <w:rFonts w:ascii="Calibri" w:hAnsi="Calibri" w:cs="Calibri"/>
        </w:rPr>
      </w:pPr>
      <w:r w:rsidRPr="00CF0982">
        <w:rPr>
          <w:rFonts w:ascii="Calibri" w:eastAsiaTheme="majorEastAsia" w:hAnsi="Calibri" w:cs="Calibri"/>
        </w:rPr>
        <w:t>1</w:t>
      </w:r>
      <w:r>
        <w:rPr>
          <w:rFonts w:ascii="Calibri" w:eastAsiaTheme="majorEastAsia" w:hAnsi="Calibri" w:cs="Calibri"/>
        </w:rPr>
        <w:t>5</w:t>
      </w:r>
      <w:r>
        <w:rPr>
          <w:rFonts w:ascii="Calibri" w:hAnsi="Calibri" w:cs="Calibri"/>
        </w:rPr>
        <w:t xml:space="preserve"> </w:t>
      </w:r>
      <w:r w:rsidRPr="00CF0982">
        <w:rPr>
          <w:rFonts w:ascii="Calibri" w:eastAsiaTheme="majorEastAsia" w:hAnsi="Calibri" w:cs="Calibri"/>
        </w:rPr>
        <w:t>+</w:t>
      </w:r>
      <w:r>
        <w:rPr>
          <w:rFonts w:ascii="Calibri" w:hAnsi="Calibri" w:cs="Calibri"/>
        </w:rPr>
        <w:t xml:space="preserve"> </w:t>
      </w:r>
      <w:r w:rsidRPr="00CF0982">
        <w:rPr>
          <w:rFonts w:ascii="Calibri" w:eastAsiaTheme="majorEastAsia" w:hAnsi="Calibri" w:cs="Calibri"/>
        </w:rPr>
        <w:t>8</w:t>
      </w:r>
      <w:r>
        <w:rPr>
          <w:rFonts w:ascii="Calibri" w:hAnsi="Calibri" w:cs="Calibri"/>
        </w:rPr>
        <w:t xml:space="preserve"> </w:t>
      </w:r>
      <w:r w:rsidRPr="00CF0982">
        <w:rPr>
          <w:rFonts w:ascii="Calibri" w:eastAsiaTheme="majorEastAsia" w:hAnsi="Calibri" w:cs="Calibri"/>
        </w:rPr>
        <w:t>+</w:t>
      </w:r>
      <w:r>
        <w:rPr>
          <w:rFonts w:ascii="Calibri" w:hAnsi="Calibri" w:cs="Calibri"/>
        </w:rPr>
        <w:t xml:space="preserve"> </w:t>
      </w:r>
      <w:r w:rsidRPr="00CF0982">
        <w:rPr>
          <w:rFonts w:ascii="Calibri" w:eastAsiaTheme="majorEastAsia" w:hAnsi="Calibri" w:cs="Calibri"/>
        </w:rPr>
        <w:t>5</w:t>
      </w:r>
      <w:r>
        <w:rPr>
          <w:rFonts w:ascii="Calibri" w:hAnsi="Calibri" w:cs="Calibri"/>
        </w:rPr>
        <w:t xml:space="preserve"> </w:t>
      </w:r>
      <w:r w:rsidR="008C18E1" w:rsidRPr="00CF0982">
        <w:rPr>
          <w:rFonts w:ascii="Calibri" w:eastAsiaTheme="majorEastAsia" w:hAnsi="Calibri" w:cs="Calibri"/>
        </w:rPr>
        <w:t>+</w:t>
      </w:r>
      <w:r>
        <w:rPr>
          <w:rFonts w:ascii="Calibri" w:eastAsiaTheme="majorEastAsia" w:hAnsi="Calibri" w:cs="Calibri"/>
        </w:rPr>
        <w:t>15</w:t>
      </w:r>
      <w:r w:rsidR="008C18E1">
        <w:rPr>
          <w:rFonts w:ascii="Calibri" w:hAnsi="Calibri" w:cs="Calibri"/>
        </w:rPr>
        <w:t xml:space="preserve"> </w:t>
      </w:r>
      <w:r w:rsidR="008C18E1" w:rsidRPr="00CF0982">
        <w:rPr>
          <w:rFonts w:ascii="Calibri" w:eastAsiaTheme="majorEastAsia" w:hAnsi="Calibri" w:cs="Calibri"/>
        </w:rPr>
        <w:t>=</w:t>
      </w:r>
      <w:r w:rsidR="008C18E1">
        <w:rPr>
          <w:rFonts w:ascii="Calibri" w:hAnsi="Calibri" w:cs="Calibri"/>
        </w:rPr>
        <w:t xml:space="preserve"> </w:t>
      </w:r>
      <w:r w:rsidR="008C18E1" w:rsidRPr="00CF0982">
        <w:rPr>
          <w:rFonts w:ascii="Calibri" w:eastAsiaTheme="majorEastAsia" w:hAnsi="Calibri" w:cs="Calibri"/>
        </w:rPr>
        <w:t>$43</w:t>
      </w:r>
      <w:r w:rsidR="008C18E1">
        <w:rPr>
          <w:rFonts w:ascii="Calibri" w:hAnsi="Calibri" w:cs="Calibri"/>
        </w:rPr>
        <w:t xml:space="preserve"> </w:t>
      </w:r>
      <w:r w:rsidR="008C18E1" w:rsidRPr="00404F67">
        <w:rPr>
          <w:rFonts w:asciiTheme="minorHAnsi" w:hAnsiTheme="minorHAnsi" w:cstheme="minorHAnsi"/>
          <w:b/>
          <w:bCs/>
        </w:rPr>
        <w:t>[5 marks]</w:t>
      </w:r>
    </w:p>
    <w:p w14:paraId="6C346CDF" w14:textId="77777777" w:rsidR="008C18E1" w:rsidRDefault="008C18E1" w:rsidP="008C18E1">
      <w:pPr>
        <w:rPr>
          <w:lang w:val="en-US"/>
        </w:rPr>
      </w:pPr>
    </w:p>
    <w:p w14:paraId="1BC9F9F4" w14:textId="77777777" w:rsidR="008C18E1" w:rsidRDefault="008C18E1" w:rsidP="008C18E1">
      <w:pPr>
        <w:rPr>
          <w:lang w:val="en-US"/>
        </w:rPr>
      </w:pPr>
    </w:p>
    <w:p w14:paraId="511159AE" w14:textId="77777777" w:rsidR="008C18E1" w:rsidRPr="008C18E1" w:rsidRDefault="008C18E1" w:rsidP="008C18E1">
      <w:pPr>
        <w:rPr>
          <w:lang w:val="en-US"/>
        </w:rPr>
        <w:sectPr w:rsidR="008C18E1" w:rsidRPr="008C18E1" w:rsidSect="006424DE">
          <w:footerReference w:type="even" r:id="rId7"/>
          <w:pgSz w:w="12240" w:h="15840" w:code="1"/>
          <w:pgMar w:top="1440" w:right="1440" w:bottom="1440" w:left="1440" w:header="360" w:footer="720" w:gutter="0"/>
          <w:pgBorders w:offsetFrom="page">
            <w:top w:val="double" w:sz="4" w:space="24" w:color="auto"/>
            <w:bottom w:val="double" w:sz="4" w:space="24" w:color="auto"/>
          </w:pgBorders>
          <w:cols w:space="720"/>
          <w:titlePg/>
        </w:sectPr>
      </w:pPr>
    </w:p>
    <w:p w14:paraId="21AA4FEA" w14:textId="1F329A9E" w:rsidR="006424DE" w:rsidRPr="005878F1" w:rsidRDefault="006424DE" w:rsidP="006424DE">
      <w:pPr>
        <w:pStyle w:val="ProblemNumber"/>
        <w:rPr>
          <w:rFonts w:ascii="Arial" w:hAnsi="Arial" w:cs="Arial"/>
          <w:kern w:val="1"/>
          <w:sz w:val="22"/>
          <w:szCs w:val="22"/>
        </w:rPr>
      </w:pPr>
      <w:r w:rsidRPr="005878F1">
        <w:rPr>
          <w:rFonts w:ascii="Arial" w:hAnsi="Arial" w:cs="Arial"/>
          <w:b/>
          <w:bCs/>
          <w:kern w:val="1"/>
          <w:sz w:val="22"/>
          <w:szCs w:val="22"/>
        </w:rPr>
        <w:lastRenderedPageBreak/>
        <w:t xml:space="preserve">Exercise </w:t>
      </w:r>
      <w:r>
        <w:rPr>
          <w:rFonts w:ascii="Arial" w:hAnsi="Arial" w:cs="Arial"/>
          <w:b/>
          <w:bCs/>
          <w:kern w:val="1"/>
          <w:sz w:val="22"/>
          <w:szCs w:val="22"/>
        </w:rPr>
        <w:t>7</w:t>
      </w:r>
      <w:r w:rsidRPr="005878F1">
        <w:rPr>
          <w:rFonts w:ascii="Arial" w:hAnsi="Arial" w:cs="Arial"/>
          <w:b/>
          <w:bCs/>
          <w:kern w:val="1"/>
          <w:sz w:val="22"/>
          <w:szCs w:val="22"/>
        </w:rPr>
        <w:t>-</w:t>
      </w:r>
      <w:r w:rsidR="008C18E1">
        <w:rPr>
          <w:rFonts w:ascii="Arial" w:hAnsi="Arial" w:cs="Arial"/>
          <w:b/>
          <w:bCs/>
          <w:kern w:val="1"/>
          <w:sz w:val="22"/>
          <w:szCs w:val="22"/>
        </w:rPr>
        <w:t>3</w:t>
      </w:r>
      <w:r w:rsidRPr="005878F1">
        <w:rPr>
          <w:rFonts w:ascii="Arial" w:hAnsi="Arial" w:cs="Arial"/>
          <w:kern w:val="1"/>
          <w:sz w:val="22"/>
          <w:szCs w:val="22"/>
        </w:rPr>
        <w:t xml:space="preserve"> (20 minutes)</w:t>
      </w:r>
    </w:p>
    <w:tbl>
      <w:tblPr>
        <w:tblW w:w="0" w:type="auto"/>
        <w:tblCellSpacing w:w="7" w:type="dxa"/>
        <w:tblInd w:w="8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366"/>
        <w:gridCol w:w="3707"/>
        <w:gridCol w:w="1513"/>
        <w:gridCol w:w="1581"/>
        <w:gridCol w:w="1479"/>
      </w:tblGrid>
      <w:tr w:rsidR="006424DE" w:rsidRPr="005878F1" w14:paraId="69DDE816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1DC88679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ab/>
              <w:t>1.</w:t>
            </w:r>
          </w:p>
        </w:tc>
        <w:tc>
          <w:tcPr>
            <w:tcW w:w="3693" w:type="dxa"/>
            <w:vAlign w:val="bottom"/>
          </w:tcPr>
          <w:p w14:paraId="30DB87DB" w14:textId="77777777" w:rsidR="006424DE" w:rsidRPr="005878F1" w:rsidRDefault="006424DE" w:rsidP="00243EA4">
            <w:pPr>
              <w:pStyle w:val="TextLeader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1499" w:type="dxa"/>
            <w:vAlign w:val="bottom"/>
          </w:tcPr>
          <w:p w14:paraId="70F7A35D" w14:textId="77777777" w:rsidR="006424DE" w:rsidRPr="00FC5361" w:rsidRDefault="006424DE" w:rsidP="00243EA4">
            <w:pPr>
              <w:pStyle w:val="TextRight"/>
              <w:ind w:right="-22"/>
              <w:jc w:val="center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FC5361">
              <w:rPr>
                <w:rFonts w:ascii="Arial" w:hAnsi="Arial" w:cs="Arial"/>
                <w:kern w:val="1"/>
                <w:sz w:val="22"/>
                <w:szCs w:val="22"/>
              </w:rPr>
              <w:t>Year 1</w:t>
            </w:r>
          </w:p>
        </w:tc>
        <w:tc>
          <w:tcPr>
            <w:tcW w:w="1567" w:type="dxa"/>
            <w:vAlign w:val="bottom"/>
          </w:tcPr>
          <w:p w14:paraId="67431993" w14:textId="77777777" w:rsidR="006424DE" w:rsidRPr="00FC5361" w:rsidRDefault="006424DE" w:rsidP="00243EA4">
            <w:pPr>
              <w:pStyle w:val="TextRight"/>
              <w:jc w:val="center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FC5361">
              <w:rPr>
                <w:rFonts w:ascii="Arial" w:hAnsi="Arial" w:cs="Arial"/>
                <w:kern w:val="1"/>
                <w:sz w:val="22"/>
                <w:szCs w:val="22"/>
              </w:rPr>
              <w:t>Year 2</w:t>
            </w:r>
          </w:p>
        </w:tc>
        <w:tc>
          <w:tcPr>
            <w:tcW w:w="1458" w:type="dxa"/>
            <w:vAlign w:val="bottom"/>
          </w:tcPr>
          <w:p w14:paraId="143900BC" w14:textId="77777777" w:rsidR="006424DE" w:rsidRPr="00FC5361" w:rsidRDefault="006424DE" w:rsidP="00243EA4">
            <w:pPr>
              <w:pStyle w:val="TextRight"/>
              <w:jc w:val="center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FC5361">
              <w:rPr>
                <w:rFonts w:ascii="Arial" w:hAnsi="Arial" w:cs="Arial"/>
                <w:kern w:val="1"/>
                <w:sz w:val="22"/>
                <w:szCs w:val="22"/>
              </w:rPr>
              <w:t>Year 3</w:t>
            </w:r>
          </w:p>
        </w:tc>
      </w:tr>
      <w:tr w:rsidR="006424DE" w:rsidRPr="005878F1" w14:paraId="18415D00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011D9240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3693" w:type="dxa"/>
            <w:vAlign w:val="bottom"/>
          </w:tcPr>
          <w:p w14:paraId="66805732" w14:textId="77777777" w:rsidR="006424DE" w:rsidRPr="005878F1" w:rsidRDefault="006424DE" w:rsidP="00243EA4">
            <w:pPr>
              <w:pStyle w:val="TextLeader"/>
              <w:tabs>
                <w:tab w:val="clear" w:pos="7200"/>
                <w:tab w:val="right" w:leader="dot" w:pos="3593"/>
              </w:tabs>
              <w:rPr>
                <w:rFonts w:ascii="Arial" w:hAnsi="Arial" w:cs="Arial"/>
                <w:kern w:val="1"/>
                <w:sz w:val="22"/>
                <w:szCs w:val="22"/>
              </w:rPr>
            </w:pPr>
            <w:r>
              <w:rPr>
                <w:rFonts w:ascii="Arial" w:hAnsi="Arial" w:cs="Arial"/>
                <w:kern w:val="1"/>
                <w:sz w:val="22"/>
                <w:szCs w:val="22"/>
              </w:rPr>
              <w:t>Beginning inventory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ab/>
            </w:r>
          </w:p>
        </w:tc>
        <w:tc>
          <w:tcPr>
            <w:tcW w:w="1499" w:type="dxa"/>
            <w:vAlign w:val="bottom"/>
          </w:tcPr>
          <w:p w14:paraId="649E10F9" w14:textId="77777777" w:rsidR="006424DE" w:rsidRPr="005878F1" w:rsidRDefault="006424DE" w:rsidP="00243EA4">
            <w:pPr>
              <w:pStyle w:val="TextRight"/>
              <w:ind w:right="319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180</w:t>
            </w:r>
          </w:p>
        </w:tc>
        <w:tc>
          <w:tcPr>
            <w:tcW w:w="1567" w:type="dxa"/>
            <w:vAlign w:val="bottom"/>
          </w:tcPr>
          <w:p w14:paraId="1EFE16C5" w14:textId="77777777" w:rsidR="006424DE" w:rsidRPr="005878F1" w:rsidRDefault="006424DE" w:rsidP="00243EA4">
            <w:pPr>
              <w:pStyle w:val="TextRight"/>
              <w:ind w:right="319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150</w:t>
            </w:r>
          </w:p>
        </w:tc>
        <w:tc>
          <w:tcPr>
            <w:tcW w:w="1458" w:type="dxa"/>
            <w:vAlign w:val="bottom"/>
          </w:tcPr>
          <w:p w14:paraId="14BC5624" w14:textId="77777777" w:rsidR="006424DE" w:rsidRPr="005878F1" w:rsidRDefault="006424DE" w:rsidP="00243EA4">
            <w:pPr>
              <w:pStyle w:val="TextRight"/>
              <w:ind w:right="319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160</w:t>
            </w:r>
          </w:p>
        </w:tc>
      </w:tr>
      <w:tr w:rsidR="006424DE" w:rsidRPr="005878F1" w14:paraId="19494945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1E998C23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3693" w:type="dxa"/>
            <w:vAlign w:val="bottom"/>
          </w:tcPr>
          <w:p w14:paraId="03A1EAF8" w14:textId="77777777" w:rsidR="006424DE" w:rsidRPr="005878F1" w:rsidRDefault="006424DE" w:rsidP="00243EA4">
            <w:pPr>
              <w:pStyle w:val="TextLeader"/>
              <w:tabs>
                <w:tab w:val="clear" w:pos="7200"/>
                <w:tab w:val="right" w:leader="dot" w:pos="3593"/>
              </w:tabs>
              <w:rPr>
                <w:rFonts w:ascii="Arial" w:hAnsi="Arial" w:cs="Arial"/>
                <w:kern w:val="1"/>
                <w:sz w:val="22"/>
                <w:szCs w:val="22"/>
              </w:rPr>
            </w:pPr>
            <w:r>
              <w:rPr>
                <w:rFonts w:ascii="Arial" w:hAnsi="Arial" w:cs="Arial"/>
                <w:kern w:val="1"/>
                <w:sz w:val="22"/>
                <w:szCs w:val="22"/>
              </w:rPr>
              <w:t>Ending inventory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ab/>
            </w:r>
          </w:p>
        </w:tc>
        <w:tc>
          <w:tcPr>
            <w:tcW w:w="1499" w:type="dxa"/>
            <w:vAlign w:val="bottom"/>
          </w:tcPr>
          <w:p w14:paraId="75BFCDCF" w14:textId="77777777" w:rsidR="006424DE" w:rsidRPr="005878F1" w:rsidRDefault="006424DE" w:rsidP="00243EA4">
            <w:pPr>
              <w:pStyle w:val="TextRight"/>
              <w:ind w:right="317"/>
              <w:rPr>
                <w:rFonts w:ascii="Arial" w:hAnsi="Arial" w:cs="Arial"/>
                <w:kern w:val="1"/>
                <w:sz w:val="22"/>
                <w:szCs w:val="22"/>
                <w:u w:val="sing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single"/>
              </w:rPr>
              <w:t>150</w:t>
            </w:r>
          </w:p>
        </w:tc>
        <w:tc>
          <w:tcPr>
            <w:tcW w:w="1567" w:type="dxa"/>
            <w:vAlign w:val="bottom"/>
          </w:tcPr>
          <w:p w14:paraId="5A47745C" w14:textId="77777777" w:rsidR="006424DE" w:rsidRPr="005878F1" w:rsidRDefault="006424DE" w:rsidP="00243EA4">
            <w:pPr>
              <w:pStyle w:val="TextRight"/>
              <w:ind w:right="319"/>
              <w:rPr>
                <w:rFonts w:ascii="Arial" w:hAnsi="Arial" w:cs="Arial"/>
                <w:kern w:val="1"/>
                <w:sz w:val="22"/>
                <w:szCs w:val="22"/>
                <w:u w:val="sing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single"/>
              </w:rPr>
              <w:t>160</w:t>
            </w:r>
          </w:p>
        </w:tc>
        <w:tc>
          <w:tcPr>
            <w:tcW w:w="1458" w:type="dxa"/>
            <w:vAlign w:val="bottom"/>
          </w:tcPr>
          <w:p w14:paraId="0247D880" w14:textId="77777777" w:rsidR="006424DE" w:rsidRPr="005878F1" w:rsidRDefault="006424DE" w:rsidP="00243EA4">
            <w:pPr>
              <w:pStyle w:val="TextRight"/>
              <w:ind w:right="319"/>
              <w:rPr>
                <w:rFonts w:ascii="Arial" w:hAnsi="Arial" w:cs="Arial"/>
                <w:kern w:val="1"/>
                <w:sz w:val="22"/>
                <w:szCs w:val="22"/>
                <w:u w:val="sing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single"/>
              </w:rPr>
              <w:t>200</w:t>
            </w:r>
          </w:p>
        </w:tc>
      </w:tr>
      <w:tr w:rsidR="006424DE" w:rsidRPr="005878F1" w14:paraId="6FC8D5A5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2B8C9A56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3693" w:type="dxa"/>
            <w:vAlign w:val="bottom"/>
          </w:tcPr>
          <w:p w14:paraId="4C099D8C" w14:textId="77777777" w:rsidR="006424DE" w:rsidRPr="005878F1" w:rsidRDefault="006424DE" w:rsidP="00243EA4">
            <w:pPr>
              <w:pStyle w:val="TextLeader"/>
              <w:tabs>
                <w:tab w:val="clear" w:pos="7200"/>
                <w:tab w:val="right" w:leader="dot" w:pos="3593"/>
              </w:tabs>
              <w:rPr>
                <w:rFonts w:ascii="Arial" w:hAnsi="Arial" w:cs="Arial"/>
                <w:kern w:val="1"/>
                <w:sz w:val="22"/>
                <w:szCs w:val="22"/>
              </w:rPr>
            </w:pPr>
            <w:r>
              <w:rPr>
                <w:rFonts w:ascii="Arial" w:hAnsi="Arial" w:cs="Arial"/>
                <w:kern w:val="1"/>
                <w:sz w:val="22"/>
                <w:szCs w:val="22"/>
              </w:rPr>
              <w:t>Change in inventory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ab/>
            </w:r>
          </w:p>
        </w:tc>
        <w:tc>
          <w:tcPr>
            <w:tcW w:w="1499" w:type="dxa"/>
            <w:vAlign w:val="bottom"/>
          </w:tcPr>
          <w:p w14:paraId="27EDE891" w14:textId="77777777" w:rsidR="006424DE" w:rsidRPr="005878F1" w:rsidRDefault="006424DE" w:rsidP="00243EA4">
            <w:pPr>
              <w:pStyle w:val="TextRight"/>
              <w:ind w:right="216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double"/>
              </w:rPr>
              <w:t>(30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)</w:t>
            </w:r>
          </w:p>
        </w:tc>
        <w:tc>
          <w:tcPr>
            <w:tcW w:w="1567" w:type="dxa"/>
            <w:vAlign w:val="bottom"/>
          </w:tcPr>
          <w:p w14:paraId="6CFFBAF2" w14:textId="77777777" w:rsidR="006424DE" w:rsidRPr="005878F1" w:rsidRDefault="006424DE" w:rsidP="00243EA4">
            <w:pPr>
              <w:pStyle w:val="TextRight"/>
              <w:ind w:right="319"/>
              <w:rPr>
                <w:rFonts w:ascii="Arial" w:hAnsi="Arial" w:cs="Arial"/>
                <w:kern w:val="1"/>
                <w:sz w:val="22"/>
                <w:szCs w:val="22"/>
                <w:u w:val="doub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double"/>
              </w:rPr>
              <w:t> 10</w:t>
            </w:r>
          </w:p>
        </w:tc>
        <w:tc>
          <w:tcPr>
            <w:tcW w:w="1458" w:type="dxa"/>
            <w:vAlign w:val="bottom"/>
          </w:tcPr>
          <w:p w14:paraId="29B3BF91" w14:textId="4A1C1CB8" w:rsidR="006424DE" w:rsidRPr="005878F1" w:rsidRDefault="006424DE" w:rsidP="00243EA4">
            <w:pPr>
              <w:pStyle w:val="TextRight"/>
              <w:ind w:right="319"/>
              <w:rPr>
                <w:rFonts w:ascii="Arial" w:hAnsi="Arial" w:cs="Arial"/>
                <w:kern w:val="1"/>
                <w:sz w:val="22"/>
                <w:szCs w:val="22"/>
                <w:u w:val="doub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double"/>
              </w:rPr>
              <w:t> 40</w:t>
            </w:r>
            <w:r w:rsidR="00201291">
              <w:rPr>
                <w:rFonts w:ascii="Arial" w:hAnsi="Arial" w:cs="Arial"/>
                <w:kern w:val="1"/>
                <w:sz w:val="22"/>
                <w:szCs w:val="22"/>
                <w:u w:val="double"/>
              </w:rPr>
              <w:t xml:space="preserve"> </w:t>
            </w:r>
          </w:p>
        </w:tc>
      </w:tr>
      <w:tr w:rsidR="006424DE" w:rsidRPr="005878F1" w14:paraId="63C0DD0F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06B90F16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3693" w:type="dxa"/>
            <w:vAlign w:val="bottom"/>
          </w:tcPr>
          <w:p w14:paraId="5AAB2FE2" w14:textId="1FB91104" w:rsidR="00B94003" w:rsidRDefault="00B94003" w:rsidP="00243EA4">
            <w:pPr>
              <w:pStyle w:val="TextLeader"/>
              <w:tabs>
                <w:tab w:val="clear" w:pos="7200"/>
                <w:tab w:val="right" w:leader="dot" w:pos="3593"/>
              </w:tabs>
              <w:rPr>
                <w:rFonts w:ascii="Arial" w:hAnsi="Arial" w:cs="Arial"/>
                <w:kern w:val="1"/>
                <w:sz w:val="22"/>
                <w:szCs w:val="22"/>
              </w:rPr>
            </w:pPr>
            <w:r w:rsidRPr="00B94003">
              <w:rPr>
                <w:rFonts w:ascii="Arial" w:hAnsi="Arial" w:cs="Arial"/>
                <w:kern w:val="1"/>
                <w:sz w:val="22"/>
                <w:szCs w:val="22"/>
                <w:highlight w:val="yellow"/>
              </w:rPr>
              <w:t>We started with 180 and sold 150. Only 30 was sold. Year 2, we started with 150, sold all that and even had 160 still left in inventory.</w:t>
            </w:r>
          </w:p>
          <w:p w14:paraId="04846117" w14:textId="0959F225" w:rsidR="006424DE" w:rsidRPr="005878F1" w:rsidRDefault="006424DE" w:rsidP="00243EA4">
            <w:pPr>
              <w:pStyle w:val="TextLeader"/>
              <w:tabs>
                <w:tab w:val="clear" w:pos="7200"/>
                <w:tab w:val="right" w:leader="dot" w:pos="3593"/>
              </w:tabs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Fixed manufacturing overhead in b</w:t>
            </w:r>
            <w:r>
              <w:rPr>
                <w:rFonts w:ascii="Arial" w:hAnsi="Arial" w:cs="Arial"/>
                <w:kern w:val="1"/>
                <w:sz w:val="22"/>
                <w:szCs w:val="22"/>
              </w:rPr>
              <w:t>eginning inventory (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$450 per unit)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ab/>
            </w:r>
          </w:p>
        </w:tc>
        <w:tc>
          <w:tcPr>
            <w:tcW w:w="1499" w:type="dxa"/>
            <w:vAlign w:val="bottom"/>
          </w:tcPr>
          <w:p w14:paraId="658D5544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$ 81,000</w:t>
            </w:r>
          </w:p>
        </w:tc>
        <w:tc>
          <w:tcPr>
            <w:tcW w:w="1567" w:type="dxa"/>
            <w:vAlign w:val="bottom"/>
          </w:tcPr>
          <w:p w14:paraId="7A0D0E75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$ 67,500</w:t>
            </w:r>
          </w:p>
        </w:tc>
        <w:tc>
          <w:tcPr>
            <w:tcW w:w="1458" w:type="dxa"/>
            <w:vAlign w:val="bottom"/>
          </w:tcPr>
          <w:p w14:paraId="61F088E6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$72,000</w:t>
            </w:r>
          </w:p>
        </w:tc>
      </w:tr>
      <w:tr w:rsidR="006424DE" w:rsidRPr="005878F1" w14:paraId="2BA1CCD6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78ED6BCD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3693" w:type="dxa"/>
            <w:vAlign w:val="bottom"/>
          </w:tcPr>
          <w:p w14:paraId="474D9221" w14:textId="77777777" w:rsidR="006424DE" w:rsidRPr="005878F1" w:rsidRDefault="006424DE" w:rsidP="00243EA4">
            <w:pPr>
              <w:pStyle w:val="TextLeader"/>
              <w:tabs>
                <w:tab w:val="clear" w:pos="7200"/>
                <w:tab w:val="right" w:leader="dot" w:pos="3593"/>
              </w:tabs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Fixed manufacturin</w:t>
            </w:r>
            <w:r>
              <w:rPr>
                <w:rFonts w:ascii="Arial" w:hAnsi="Arial" w:cs="Arial"/>
                <w:kern w:val="1"/>
                <w:sz w:val="22"/>
                <w:szCs w:val="22"/>
              </w:rPr>
              <w:t>g overhead in ending inventory (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$450 per unit)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ab/>
            </w:r>
          </w:p>
        </w:tc>
        <w:tc>
          <w:tcPr>
            <w:tcW w:w="1499" w:type="dxa"/>
            <w:vAlign w:val="bottom"/>
          </w:tcPr>
          <w:p w14:paraId="05EBE32B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sing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single"/>
              </w:rPr>
              <w:t>   67,500</w:t>
            </w:r>
          </w:p>
        </w:tc>
        <w:tc>
          <w:tcPr>
            <w:tcW w:w="1567" w:type="dxa"/>
            <w:vAlign w:val="bottom"/>
          </w:tcPr>
          <w:p w14:paraId="4576A0AB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sing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single"/>
              </w:rPr>
              <w:t> 72,000</w:t>
            </w:r>
          </w:p>
        </w:tc>
        <w:tc>
          <w:tcPr>
            <w:tcW w:w="1458" w:type="dxa"/>
            <w:vAlign w:val="bottom"/>
          </w:tcPr>
          <w:p w14:paraId="72FE94DD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sing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single"/>
              </w:rPr>
              <w:t> 90,000</w:t>
            </w:r>
          </w:p>
        </w:tc>
      </w:tr>
      <w:tr w:rsidR="006424DE" w:rsidRPr="005878F1" w14:paraId="6290F008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793BEC9B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3693" w:type="dxa"/>
            <w:vAlign w:val="bottom"/>
          </w:tcPr>
          <w:p w14:paraId="0AF0DF5D" w14:textId="77777777" w:rsidR="006424DE" w:rsidRPr="005878F1" w:rsidRDefault="006424DE" w:rsidP="00243EA4">
            <w:pPr>
              <w:pStyle w:val="TextLeader"/>
              <w:tabs>
                <w:tab w:val="clear" w:pos="7200"/>
                <w:tab w:val="right" w:leader="dot" w:pos="3593"/>
              </w:tabs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Fixed manufacturing overhead deferre</w:t>
            </w:r>
            <w:r>
              <w:rPr>
                <w:rFonts w:ascii="Arial" w:hAnsi="Arial" w:cs="Arial"/>
                <w:kern w:val="1"/>
                <w:sz w:val="22"/>
                <w:szCs w:val="22"/>
              </w:rPr>
              <w:t>d in (released from) inventory (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$450 per unit)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ab/>
            </w:r>
          </w:p>
        </w:tc>
        <w:tc>
          <w:tcPr>
            <w:tcW w:w="1499" w:type="dxa"/>
            <w:vAlign w:val="bottom"/>
          </w:tcPr>
          <w:p w14:paraId="55B5995F" w14:textId="77777777" w:rsidR="006424DE" w:rsidRPr="005878F1" w:rsidRDefault="006424DE" w:rsidP="00243EA4">
            <w:pPr>
              <w:pStyle w:val="TextRight"/>
              <w:ind w:right="0"/>
              <w:rPr>
                <w:rFonts w:ascii="Arial" w:hAnsi="Arial" w:cs="Arial"/>
                <w:kern w:val="1"/>
                <w:sz w:val="22"/>
                <w:szCs w:val="22"/>
                <w:u w:val="doub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double"/>
              </w:rPr>
              <w:t>$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(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  <w:u w:val="double"/>
              </w:rPr>
              <w:t>13,500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)</w:t>
            </w:r>
          </w:p>
        </w:tc>
        <w:tc>
          <w:tcPr>
            <w:tcW w:w="1567" w:type="dxa"/>
            <w:vAlign w:val="bottom"/>
          </w:tcPr>
          <w:p w14:paraId="32C9C042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double"/>
              </w:rPr>
            </w:pPr>
            <w:proofErr w:type="gramStart"/>
            <w:r w:rsidRPr="005878F1">
              <w:rPr>
                <w:rFonts w:ascii="Arial" w:hAnsi="Arial" w:cs="Arial"/>
                <w:kern w:val="1"/>
                <w:sz w:val="22"/>
                <w:szCs w:val="22"/>
                <w:u w:val="double"/>
              </w:rPr>
              <w:t>$  4,500</w:t>
            </w:r>
            <w:proofErr w:type="gramEnd"/>
          </w:p>
        </w:tc>
        <w:tc>
          <w:tcPr>
            <w:tcW w:w="1458" w:type="dxa"/>
            <w:vAlign w:val="bottom"/>
          </w:tcPr>
          <w:p w14:paraId="00E1694A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doub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double"/>
              </w:rPr>
              <w:t>$ 18,000</w:t>
            </w:r>
          </w:p>
        </w:tc>
      </w:tr>
      <w:tr w:rsidR="006424DE" w:rsidRPr="005878F1" w14:paraId="74AF5B2B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6D554CEE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3693" w:type="dxa"/>
            <w:vAlign w:val="bottom"/>
          </w:tcPr>
          <w:p w14:paraId="7C752C96" w14:textId="77777777" w:rsidR="006424DE" w:rsidRPr="005878F1" w:rsidRDefault="006424DE" w:rsidP="00243EA4">
            <w:pPr>
              <w:pStyle w:val="TextLeader"/>
              <w:tabs>
                <w:tab w:val="clear" w:pos="7200"/>
                <w:tab w:val="right" w:leader="dot" w:pos="3593"/>
              </w:tabs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1499" w:type="dxa"/>
            <w:vAlign w:val="bottom"/>
          </w:tcPr>
          <w:p w14:paraId="363C6683" w14:textId="465D941A" w:rsidR="006424DE" w:rsidRPr="005878F1" w:rsidRDefault="000D5296" w:rsidP="000D5296">
            <w:pPr>
              <w:pStyle w:val="TextRight"/>
              <w:jc w:val="center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0D5296">
              <w:rPr>
                <w:rFonts w:ascii="Arial" w:hAnsi="Arial" w:cs="Arial"/>
                <w:kern w:val="1"/>
                <w:sz w:val="22"/>
                <w:szCs w:val="22"/>
                <w:highlight w:val="yellow"/>
              </w:rPr>
              <w:t>Everything wasn’t sold</w:t>
            </w:r>
          </w:p>
        </w:tc>
        <w:tc>
          <w:tcPr>
            <w:tcW w:w="1567" w:type="dxa"/>
            <w:vAlign w:val="bottom"/>
          </w:tcPr>
          <w:p w14:paraId="46357858" w14:textId="77777777" w:rsidR="006424DE" w:rsidRPr="005878F1" w:rsidRDefault="006424DE" w:rsidP="00243EA4">
            <w:pPr>
              <w:pStyle w:val="TextRigh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1458" w:type="dxa"/>
            <w:vAlign w:val="bottom"/>
          </w:tcPr>
          <w:p w14:paraId="0C56B01F" w14:textId="77777777" w:rsidR="006424DE" w:rsidRPr="005878F1" w:rsidRDefault="006424DE" w:rsidP="00243EA4">
            <w:pPr>
              <w:pStyle w:val="TextRigh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</w:tr>
      <w:tr w:rsidR="006424DE" w:rsidRPr="005878F1" w14:paraId="282C58B3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06496C86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3693" w:type="dxa"/>
            <w:vAlign w:val="bottom"/>
          </w:tcPr>
          <w:p w14:paraId="49D4F35F" w14:textId="77777777" w:rsidR="006424DE" w:rsidRPr="005878F1" w:rsidRDefault="006424DE" w:rsidP="00243EA4">
            <w:pPr>
              <w:pStyle w:val="TextLeader"/>
              <w:tabs>
                <w:tab w:val="clear" w:pos="7200"/>
                <w:tab w:val="right" w:leader="dot" w:pos="3593"/>
              </w:tabs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Varia</w:t>
            </w:r>
            <w:r>
              <w:rPr>
                <w:rFonts w:ascii="Arial" w:hAnsi="Arial" w:cs="Arial"/>
                <w:kern w:val="1"/>
                <w:sz w:val="22"/>
                <w:szCs w:val="22"/>
              </w:rPr>
              <w:t>ble costing profit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ab/>
            </w:r>
          </w:p>
        </w:tc>
        <w:tc>
          <w:tcPr>
            <w:tcW w:w="1499" w:type="dxa"/>
            <w:vAlign w:val="bottom"/>
          </w:tcPr>
          <w:p w14:paraId="0989612D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$292,400</w:t>
            </w:r>
          </w:p>
        </w:tc>
        <w:tc>
          <w:tcPr>
            <w:tcW w:w="1567" w:type="dxa"/>
            <w:vAlign w:val="bottom"/>
          </w:tcPr>
          <w:p w14:paraId="7661B0C5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$269,200</w:t>
            </w:r>
          </w:p>
        </w:tc>
        <w:tc>
          <w:tcPr>
            <w:tcW w:w="1458" w:type="dxa"/>
            <w:vAlign w:val="bottom"/>
          </w:tcPr>
          <w:p w14:paraId="1CC762F7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$251,800</w:t>
            </w:r>
          </w:p>
        </w:tc>
      </w:tr>
      <w:tr w:rsidR="006424DE" w:rsidRPr="005878F1" w14:paraId="1AC8F5BE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4853A2FE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3693" w:type="dxa"/>
            <w:vAlign w:val="bottom"/>
          </w:tcPr>
          <w:p w14:paraId="4BA0CD8E" w14:textId="77777777" w:rsidR="006424DE" w:rsidRPr="005878F1" w:rsidRDefault="006424DE" w:rsidP="00243EA4">
            <w:pPr>
              <w:pStyle w:val="TextLeader"/>
              <w:tabs>
                <w:tab w:val="clear" w:pos="7200"/>
                <w:tab w:val="right" w:leader="dot" w:pos="3593"/>
              </w:tabs>
              <w:rPr>
                <w:rFonts w:ascii="Arial" w:hAnsi="Arial" w:cs="Arial"/>
                <w:kern w:val="1"/>
                <w:sz w:val="22"/>
                <w:szCs w:val="22"/>
              </w:rPr>
            </w:pPr>
            <w:r>
              <w:rPr>
                <w:rFonts w:ascii="Arial" w:hAnsi="Arial" w:cs="Arial"/>
                <w:kern w:val="1"/>
                <w:sz w:val="22"/>
                <w:szCs w:val="22"/>
              </w:rPr>
              <w:t xml:space="preserve">Add 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 xml:space="preserve">fixed manufacturing overhead </w:t>
            </w:r>
            <w:r>
              <w:rPr>
                <w:rFonts w:ascii="Arial" w:hAnsi="Arial" w:cs="Arial"/>
                <w:kern w:val="1"/>
                <w:sz w:val="22"/>
                <w:szCs w:val="22"/>
              </w:rPr>
              <w:t>cost deferred in inventory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 xml:space="preserve"> under absorption costing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ab/>
            </w:r>
          </w:p>
        </w:tc>
        <w:tc>
          <w:tcPr>
            <w:tcW w:w="1499" w:type="dxa"/>
            <w:vAlign w:val="bottom"/>
          </w:tcPr>
          <w:p w14:paraId="72FA8DE9" w14:textId="77777777" w:rsidR="006424DE" w:rsidRPr="005878F1" w:rsidRDefault="006424DE" w:rsidP="00243EA4">
            <w:pPr>
              <w:pStyle w:val="TextRight"/>
              <w:ind w:right="0"/>
              <w:rPr>
                <w:rFonts w:ascii="Arial" w:hAnsi="Arial" w:cs="Arial"/>
                <w:kern w:val="1"/>
                <w:sz w:val="22"/>
                <w:szCs w:val="22"/>
                <w:u w:val="sing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single"/>
              </w:rPr>
              <w:t>  (13,500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)</w:t>
            </w:r>
          </w:p>
        </w:tc>
        <w:tc>
          <w:tcPr>
            <w:tcW w:w="1567" w:type="dxa"/>
            <w:vAlign w:val="bottom"/>
          </w:tcPr>
          <w:p w14:paraId="11230EDF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sing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single"/>
              </w:rPr>
              <w:t>     4,500</w:t>
            </w:r>
          </w:p>
        </w:tc>
        <w:tc>
          <w:tcPr>
            <w:tcW w:w="1458" w:type="dxa"/>
            <w:vAlign w:val="bottom"/>
          </w:tcPr>
          <w:p w14:paraId="08FE31CB" w14:textId="33869B88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sing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single"/>
              </w:rPr>
              <w:t>   18,000</w:t>
            </w:r>
            <w:r w:rsidR="00201291">
              <w:rPr>
                <w:rFonts w:ascii="Arial" w:hAnsi="Arial" w:cs="Arial"/>
                <w:kern w:val="1"/>
                <w:sz w:val="22"/>
                <w:szCs w:val="22"/>
                <w:u w:val="single"/>
              </w:rPr>
              <w:t xml:space="preserve"> </w:t>
            </w:r>
          </w:p>
        </w:tc>
      </w:tr>
      <w:tr w:rsidR="006424DE" w:rsidRPr="005878F1" w14:paraId="08A5E560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2A8827F5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3693" w:type="dxa"/>
            <w:vAlign w:val="bottom"/>
          </w:tcPr>
          <w:tbl>
            <w:tblPr>
              <w:tblW w:w="0" w:type="auto"/>
              <w:tblCellSpacing w:w="7" w:type="dxa"/>
              <w:tblInd w:w="8" w:type="dxa"/>
              <w:tblLayout w:type="fixed"/>
              <w:tblCellMar>
                <w:left w:w="0" w:type="dxa"/>
                <w:right w:w="0" w:type="dxa"/>
              </w:tblCellMar>
              <w:tblLook w:val="0000" w:firstRow="0" w:lastRow="0" w:firstColumn="0" w:lastColumn="0" w:noHBand="0" w:noVBand="0"/>
            </w:tblPr>
            <w:tblGrid>
              <w:gridCol w:w="26"/>
              <w:gridCol w:w="1396"/>
              <w:gridCol w:w="744"/>
              <w:gridCol w:w="756"/>
              <w:gridCol w:w="763"/>
            </w:tblGrid>
            <w:tr w:rsidR="006424DE" w:rsidRPr="005878F1" w14:paraId="0797EE52" w14:textId="77777777" w:rsidTr="00243EA4">
              <w:trPr>
                <w:tblCellSpacing w:w="7" w:type="dxa"/>
              </w:trPr>
              <w:tc>
                <w:tcPr>
                  <w:tcW w:w="345" w:type="dxa"/>
                  <w:vAlign w:val="bottom"/>
                </w:tcPr>
                <w:p w14:paraId="4471A2BE" w14:textId="77777777" w:rsidR="006424DE" w:rsidRPr="005878F1" w:rsidRDefault="006424DE" w:rsidP="00243EA4">
                  <w:pPr>
                    <w:pStyle w:val="NumberedPart"/>
                    <w:rPr>
                      <w:rFonts w:ascii="Arial" w:hAnsi="Arial" w:cs="Arial"/>
                      <w:kern w:val="1"/>
                      <w:sz w:val="22"/>
                      <w:szCs w:val="22"/>
                    </w:rPr>
                  </w:pPr>
                </w:p>
              </w:tc>
              <w:tc>
                <w:tcPr>
                  <w:tcW w:w="3693" w:type="dxa"/>
                  <w:vAlign w:val="bottom"/>
                </w:tcPr>
                <w:p w14:paraId="567D2A77" w14:textId="77777777" w:rsidR="006424DE" w:rsidRPr="005878F1" w:rsidRDefault="006424DE" w:rsidP="00243EA4">
                  <w:pPr>
                    <w:pStyle w:val="TextLeader"/>
                    <w:tabs>
                      <w:tab w:val="clear" w:pos="7200"/>
                      <w:tab w:val="right" w:leader="dot" w:pos="3593"/>
                    </w:tabs>
                    <w:rPr>
                      <w:rFonts w:ascii="Arial" w:hAnsi="Arial" w:cs="Arial"/>
                      <w:kern w:val="1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kern w:val="1"/>
                      <w:sz w:val="22"/>
                      <w:szCs w:val="22"/>
                    </w:rPr>
                    <w:t>Deduct</w:t>
                  </w:r>
                  <w:r w:rsidRPr="005878F1">
                    <w:rPr>
                      <w:rFonts w:ascii="Arial" w:hAnsi="Arial" w:cs="Arial"/>
                      <w:kern w:val="1"/>
                      <w:sz w:val="22"/>
                      <w:szCs w:val="22"/>
                    </w:rPr>
                    <w:t xml:space="preserve"> fixed manufactu</w:t>
                  </w:r>
                  <w:r>
                    <w:rPr>
                      <w:rFonts w:ascii="Arial" w:hAnsi="Arial" w:cs="Arial"/>
                      <w:kern w:val="1"/>
                      <w:sz w:val="22"/>
                      <w:szCs w:val="22"/>
                    </w:rPr>
                    <w:t>ring overhead cost released from inventory</w:t>
                  </w:r>
                  <w:r w:rsidRPr="005878F1">
                    <w:rPr>
                      <w:rFonts w:ascii="Arial" w:hAnsi="Arial" w:cs="Arial"/>
                      <w:kern w:val="1"/>
                      <w:sz w:val="22"/>
                      <w:szCs w:val="22"/>
                    </w:rPr>
                    <w:t xml:space="preserve"> under absorption costing</w:t>
                  </w:r>
                  <w:r w:rsidRPr="005878F1">
                    <w:rPr>
                      <w:rFonts w:ascii="Arial" w:hAnsi="Arial" w:cs="Arial"/>
                      <w:kern w:val="1"/>
                      <w:sz w:val="22"/>
                      <w:szCs w:val="22"/>
                    </w:rPr>
                    <w:tab/>
                  </w:r>
                </w:p>
              </w:tc>
              <w:tc>
                <w:tcPr>
                  <w:tcW w:w="1499" w:type="dxa"/>
                  <w:vAlign w:val="bottom"/>
                </w:tcPr>
                <w:p w14:paraId="1AD2F019" w14:textId="77777777" w:rsidR="006424DE" w:rsidRPr="005878F1" w:rsidRDefault="006424DE" w:rsidP="00243EA4">
                  <w:pPr>
                    <w:pStyle w:val="TextRight"/>
                    <w:ind w:right="0"/>
                    <w:rPr>
                      <w:rFonts w:ascii="Arial" w:hAnsi="Arial" w:cs="Arial"/>
                      <w:kern w:val="1"/>
                      <w:sz w:val="22"/>
                      <w:szCs w:val="22"/>
                      <w:u w:val="single"/>
                    </w:rPr>
                  </w:pPr>
                  <w:r w:rsidRPr="005878F1">
                    <w:rPr>
                      <w:rFonts w:ascii="Arial" w:hAnsi="Arial" w:cs="Arial"/>
                      <w:kern w:val="1"/>
                      <w:sz w:val="22"/>
                      <w:szCs w:val="22"/>
                      <w:u w:val="single"/>
                    </w:rPr>
                    <w:t>  (13,500</w:t>
                  </w:r>
                  <w:r w:rsidRPr="005878F1">
                    <w:rPr>
                      <w:rFonts w:ascii="Arial" w:hAnsi="Arial" w:cs="Arial"/>
                      <w:kern w:val="1"/>
                      <w:sz w:val="22"/>
                      <w:szCs w:val="22"/>
                    </w:rPr>
                    <w:t>)</w:t>
                  </w:r>
                </w:p>
              </w:tc>
              <w:tc>
                <w:tcPr>
                  <w:tcW w:w="1567" w:type="dxa"/>
                  <w:vAlign w:val="bottom"/>
                </w:tcPr>
                <w:p w14:paraId="2951B2E5" w14:textId="77777777" w:rsidR="006424DE" w:rsidRPr="005878F1" w:rsidRDefault="006424DE" w:rsidP="00243EA4">
                  <w:pPr>
                    <w:pStyle w:val="TextRight"/>
                    <w:ind w:right="101"/>
                    <w:rPr>
                      <w:rFonts w:ascii="Arial" w:hAnsi="Arial" w:cs="Arial"/>
                      <w:kern w:val="1"/>
                      <w:sz w:val="22"/>
                      <w:szCs w:val="22"/>
                      <w:u w:val="single"/>
                    </w:rPr>
                  </w:pPr>
                  <w:r w:rsidRPr="005878F1">
                    <w:rPr>
                      <w:rFonts w:ascii="Arial" w:hAnsi="Arial" w:cs="Arial"/>
                      <w:kern w:val="1"/>
                      <w:sz w:val="22"/>
                      <w:szCs w:val="22"/>
                      <w:u w:val="single"/>
                    </w:rPr>
                    <w:t>     4,500</w:t>
                  </w:r>
                </w:p>
              </w:tc>
              <w:tc>
                <w:tcPr>
                  <w:tcW w:w="1458" w:type="dxa"/>
                  <w:vAlign w:val="bottom"/>
                </w:tcPr>
                <w:p w14:paraId="3E48BD6E" w14:textId="77777777" w:rsidR="006424DE" w:rsidRPr="005878F1" w:rsidRDefault="006424DE" w:rsidP="00243EA4">
                  <w:pPr>
                    <w:pStyle w:val="TextRight"/>
                    <w:ind w:right="101"/>
                    <w:rPr>
                      <w:rFonts w:ascii="Arial" w:hAnsi="Arial" w:cs="Arial"/>
                      <w:kern w:val="1"/>
                      <w:sz w:val="22"/>
                      <w:szCs w:val="22"/>
                      <w:u w:val="single"/>
                    </w:rPr>
                  </w:pPr>
                  <w:r w:rsidRPr="005878F1">
                    <w:rPr>
                      <w:rFonts w:ascii="Arial" w:hAnsi="Arial" w:cs="Arial"/>
                      <w:kern w:val="1"/>
                      <w:sz w:val="22"/>
                      <w:szCs w:val="22"/>
                      <w:u w:val="single"/>
                    </w:rPr>
                    <w:t>   18,000</w:t>
                  </w:r>
                </w:p>
              </w:tc>
            </w:tr>
          </w:tbl>
          <w:p w14:paraId="6A9E6C98" w14:textId="77777777" w:rsidR="006424DE" w:rsidRPr="005878F1" w:rsidRDefault="006424DE" w:rsidP="00243EA4">
            <w:pPr>
              <w:pStyle w:val="TextLeader"/>
              <w:tabs>
                <w:tab w:val="clear" w:pos="7200"/>
                <w:tab w:val="right" w:leader="dot" w:pos="3593"/>
              </w:tabs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Absorption c</w:t>
            </w:r>
            <w:r>
              <w:rPr>
                <w:rFonts w:ascii="Arial" w:hAnsi="Arial" w:cs="Arial"/>
                <w:kern w:val="1"/>
                <w:sz w:val="22"/>
                <w:szCs w:val="22"/>
              </w:rPr>
              <w:t>osting operating profit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ab/>
            </w:r>
          </w:p>
        </w:tc>
        <w:tc>
          <w:tcPr>
            <w:tcW w:w="1499" w:type="dxa"/>
            <w:vAlign w:val="bottom"/>
          </w:tcPr>
          <w:p w14:paraId="5AB8F4E2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doub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double"/>
              </w:rPr>
              <w:t>$278,900</w:t>
            </w:r>
          </w:p>
        </w:tc>
        <w:tc>
          <w:tcPr>
            <w:tcW w:w="1567" w:type="dxa"/>
            <w:vAlign w:val="bottom"/>
          </w:tcPr>
          <w:p w14:paraId="04977100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doub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double"/>
              </w:rPr>
              <w:t>$273,700</w:t>
            </w:r>
          </w:p>
        </w:tc>
        <w:tc>
          <w:tcPr>
            <w:tcW w:w="1458" w:type="dxa"/>
            <w:vAlign w:val="bottom"/>
          </w:tcPr>
          <w:p w14:paraId="40D6B9E2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doub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double"/>
              </w:rPr>
              <w:t>$269,800</w:t>
            </w:r>
          </w:p>
        </w:tc>
      </w:tr>
      <w:tr w:rsidR="006424DE" w:rsidRPr="005878F1" w14:paraId="6A95EBEC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5F5D5848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3693" w:type="dxa"/>
            <w:vAlign w:val="bottom"/>
          </w:tcPr>
          <w:p w14:paraId="1B10BC24" w14:textId="77777777" w:rsidR="006424DE" w:rsidRPr="005878F1" w:rsidRDefault="006424DE" w:rsidP="00243EA4">
            <w:pPr>
              <w:pStyle w:val="TextLeader"/>
              <w:tabs>
                <w:tab w:val="clear" w:pos="7200"/>
                <w:tab w:val="right" w:leader="dot" w:pos="3593"/>
              </w:tabs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1499" w:type="dxa"/>
            <w:vAlign w:val="bottom"/>
          </w:tcPr>
          <w:p w14:paraId="6C0E7FD3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double"/>
              </w:rPr>
            </w:pPr>
          </w:p>
        </w:tc>
        <w:tc>
          <w:tcPr>
            <w:tcW w:w="1567" w:type="dxa"/>
            <w:vAlign w:val="bottom"/>
          </w:tcPr>
          <w:p w14:paraId="034ABE30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double"/>
              </w:rPr>
            </w:pPr>
          </w:p>
        </w:tc>
        <w:tc>
          <w:tcPr>
            <w:tcW w:w="1458" w:type="dxa"/>
            <w:vAlign w:val="bottom"/>
          </w:tcPr>
          <w:p w14:paraId="656EE6B7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double"/>
              </w:rPr>
            </w:pPr>
          </w:p>
        </w:tc>
      </w:tr>
    </w:tbl>
    <w:p w14:paraId="1488ADBB" w14:textId="2F87D743" w:rsidR="006424DE" w:rsidRPr="005878F1" w:rsidRDefault="006424DE" w:rsidP="006424DE">
      <w:pPr>
        <w:pStyle w:val="NumberedPart"/>
        <w:ind w:left="690" w:hanging="690"/>
        <w:rPr>
          <w:rFonts w:ascii="Arial" w:hAnsi="Arial" w:cs="Arial"/>
          <w:kern w:val="1"/>
          <w:sz w:val="22"/>
          <w:szCs w:val="22"/>
        </w:rPr>
      </w:pPr>
      <w:r>
        <w:rPr>
          <w:rFonts w:ascii="Arial" w:hAnsi="Arial" w:cs="Arial"/>
          <w:kern w:val="1"/>
          <w:sz w:val="22"/>
          <w:szCs w:val="22"/>
        </w:rPr>
        <w:tab/>
      </w:r>
      <w:r>
        <w:rPr>
          <w:rFonts w:ascii="Arial" w:hAnsi="Arial" w:cs="Arial"/>
          <w:kern w:val="1"/>
          <w:sz w:val="22"/>
          <w:szCs w:val="22"/>
        </w:rPr>
        <w:tab/>
      </w:r>
      <w:r w:rsidRPr="005878F1">
        <w:rPr>
          <w:rFonts w:ascii="Arial" w:hAnsi="Arial" w:cs="Arial"/>
          <w:kern w:val="1"/>
          <w:sz w:val="22"/>
          <w:szCs w:val="22"/>
        </w:rPr>
        <w:t>2.</w:t>
      </w:r>
      <w:r w:rsidRPr="005878F1">
        <w:rPr>
          <w:rFonts w:ascii="Arial" w:hAnsi="Arial" w:cs="Arial"/>
          <w:kern w:val="1"/>
          <w:sz w:val="22"/>
          <w:szCs w:val="22"/>
        </w:rPr>
        <w:tab/>
        <w:t>Because absorpt</w:t>
      </w:r>
      <w:r>
        <w:rPr>
          <w:rFonts w:ascii="Arial" w:hAnsi="Arial" w:cs="Arial"/>
          <w:kern w:val="1"/>
          <w:sz w:val="22"/>
          <w:szCs w:val="22"/>
        </w:rPr>
        <w:t>ion costing profit</w:t>
      </w:r>
      <w:r w:rsidRPr="005878F1">
        <w:rPr>
          <w:rFonts w:ascii="Arial" w:hAnsi="Arial" w:cs="Arial"/>
          <w:kern w:val="1"/>
          <w:sz w:val="22"/>
          <w:szCs w:val="22"/>
        </w:rPr>
        <w:t xml:space="preserve"> was greater than varia</w:t>
      </w:r>
      <w:r>
        <w:rPr>
          <w:rFonts w:ascii="Arial" w:hAnsi="Arial" w:cs="Arial"/>
          <w:kern w:val="1"/>
          <w:sz w:val="22"/>
          <w:szCs w:val="22"/>
        </w:rPr>
        <w:t>ble costing operating profit in Year 4, inventories</w:t>
      </w:r>
      <w:r w:rsidRPr="005878F1">
        <w:rPr>
          <w:rFonts w:ascii="Arial" w:hAnsi="Arial" w:cs="Arial"/>
          <w:kern w:val="1"/>
          <w:sz w:val="22"/>
          <w:szCs w:val="22"/>
        </w:rPr>
        <w:t xml:space="preserve"> must have increased during the year and hence, fixed manufacturing ove</w:t>
      </w:r>
      <w:r>
        <w:rPr>
          <w:rFonts w:ascii="Arial" w:hAnsi="Arial" w:cs="Arial"/>
          <w:kern w:val="1"/>
          <w:sz w:val="22"/>
          <w:szCs w:val="22"/>
        </w:rPr>
        <w:t>rhead was deferred in inventorie</w:t>
      </w:r>
      <w:r w:rsidRPr="005878F1">
        <w:rPr>
          <w:rFonts w:ascii="Arial" w:hAnsi="Arial" w:cs="Arial"/>
          <w:kern w:val="1"/>
          <w:sz w:val="22"/>
          <w:szCs w:val="22"/>
        </w:rPr>
        <w:t>s. The amount of the deferral is just the difference betwe</w:t>
      </w:r>
      <w:r>
        <w:rPr>
          <w:rFonts w:ascii="Arial" w:hAnsi="Arial" w:cs="Arial"/>
          <w:kern w:val="1"/>
          <w:sz w:val="22"/>
          <w:szCs w:val="22"/>
        </w:rPr>
        <w:t>en the two operating profits</w:t>
      </w:r>
      <w:r w:rsidRPr="005878F1">
        <w:rPr>
          <w:rFonts w:ascii="Arial" w:hAnsi="Arial" w:cs="Arial"/>
          <w:kern w:val="1"/>
          <w:sz w:val="22"/>
          <w:szCs w:val="22"/>
        </w:rPr>
        <w:t xml:space="preserve"> or $27,000 = </w:t>
      </w:r>
      <w:r w:rsidRPr="00EB3EBB">
        <w:rPr>
          <w:rFonts w:ascii="Arial" w:hAnsi="Arial" w:cs="Arial"/>
          <w:kern w:val="1"/>
          <w:sz w:val="22"/>
          <w:szCs w:val="22"/>
          <w:highlight w:val="yellow"/>
        </w:rPr>
        <w:t>$267,200 – $240,200.</w:t>
      </w:r>
      <w:r w:rsidR="00B94003">
        <w:rPr>
          <w:rFonts w:ascii="Arial" w:hAnsi="Arial" w:cs="Arial"/>
          <w:kern w:val="1"/>
          <w:sz w:val="22"/>
          <w:szCs w:val="22"/>
        </w:rPr>
        <w:t xml:space="preserve"> We also think to </w:t>
      </w:r>
      <w:proofErr w:type="gramStart"/>
      <w:r w:rsidR="00B94003">
        <w:rPr>
          <w:rFonts w:ascii="Arial" w:hAnsi="Arial" w:cs="Arial"/>
          <w:kern w:val="1"/>
          <w:sz w:val="22"/>
          <w:szCs w:val="22"/>
        </w:rPr>
        <w:t>ourself</w:t>
      </w:r>
      <w:proofErr w:type="gramEnd"/>
      <w:r w:rsidR="00B94003">
        <w:rPr>
          <w:rFonts w:ascii="Arial" w:hAnsi="Arial" w:cs="Arial"/>
          <w:kern w:val="1"/>
          <w:sz w:val="22"/>
          <w:szCs w:val="22"/>
        </w:rPr>
        <w:t xml:space="preserve"> since cost is higher under absorption, we must </w:t>
      </w:r>
      <w:r w:rsidR="00B94003">
        <w:rPr>
          <w:rFonts w:ascii="Arial" w:hAnsi="Arial" w:cs="Arial"/>
          <w:kern w:val="1"/>
          <w:sz w:val="22"/>
          <w:szCs w:val="22"/>
        </w:rPr>
        <w:lastRenderedPageBreak/>
        <w:t xml:space="preserve">have produced more inventories during the year and left in closing inventory to increase profit. </w:t>
      </w:r>
    </w:p>
    <w:p w14:paraId="0BFEA1A3" w14:textId="77777777" w:rsidR="006424DE" w:rsidRDefault="006424DE"/>
    <w:sectPr w:rsidR="006424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73BE365" w14:textId="77777777" w:rsidR="00D2421C" w:rsidRDefault="00D2421C">
      <w:r>
        <w:separator/>
      </w:r>
    </w:p>
  </w:endnote>
  <w:endnote w:type="continuationSeparator" w:id="0">
    <w:p w14:paraId="5391120B" w14:textId="77777777" w:rsidR="00D2421C" w:rsidRDefault="00D2421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A7D8F1C" w14:textId="77777777" w:rsidR="00000000" w:rsidRDefault="00000000">
    <w:pPr>
      <w:pStyle w:val="Footer"/>
      <w:framePr w:wrap="around" w:vAnchor="text" w:hAnchor="margin" w:xAlign="outside" w:y="1"/>
      <w:rPr>
        <w:rStyle w:val="PageNumber"/>
      </w:rPr>
    </w:pPr>
  </w:p>
  <w:p w14:paraId="1DE81D82" w14:textId="77777777" w:rsidR="00000000" w:rsidRDefault="00D06E42">
    <w:pPr>
      <w:pStyle w:val="rhL"/>
      <w:widowControl/>
      <w:tabs>
        <w:tab w:val="clear" w:pos="9599"/>
        <w:tab w:val="right" w:pos="9000"/>
      </w:tabs>
      <w:spacing w:line="360" w:lineRule="exact"/>
      <w:jc w:val="left"/>
    </w:pPr>
    <w:r>
      <w:t>©The McGraw-Hill Companies, Inc., 2000</w:t>
    </w:r>
  </w:p>
  <w:p w14:paraId="6CC0D320" w14:textId="77777777" w:rsidR="00000000" w:rsidRDefault="00D06E42">
    <w:pPr>
      <w:pStyle w:val="Footer"/>
      <w:tabs>
        <w:tab w:val="clear" w:pos="8640"/>
        <w:tab w:val="right" w:pos="9360"/>
      </w:tabs>
      <w:spacing w:line="360" w:lineRule="exact"/>
    </w:pPr>
    <w:r>
      <w:rPr>
        <w:rStyle w:val="PageNumber"/>
        <w:sz w:val="20"/>
      </w:rPr>
      <w:fldChar w:fldCharType="begin"/>
    </w:r>
    <w:r>
      <w:rPr>
        <w:rStyle w:val="PageNumber"/>
        <w:sz w:val="20"/>
      </w:rPr>
      <w:instrText xml:space="preserve">PAGE  </w:instrText>
    </w:r>
    <w:r>
      <w:rPr>
        <w:rStyle w:val="PageNumber"/>
        <w:sz w:val="20"/>
      </w:rPr>
      <w:fldChar w:fldCharType="separate"/>
    </w:r>
    <w:r>
      <w:rPr>
        <w:rStyle w:val="PageNumber"/>
        <w:noProof/>
        <w:sz w:val="20"/>
      </w:rPr>
      <w:t>336</w:t>
    </w:r>
    <w:r>
      <w:rPr>
        <w:rStyle w:val="PageNumber"/>
        <w:sz w:val="20"/>
      </w:rPr>
      <w:fldChar w:fldCharType="end"/>
    </w:r>
    <w:r w:rsidR="00D2421C">
      <w:rPr>
        <w:noProof/>
      </w:rPr>
      <w:pict w14:anchorId="54830FAF">
        <v:line id="Straight Connector 1" o:spid="_x0000_s1025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3pt" to="468pt,3.0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PPsf5AEAAMwDAAAOAAAAZHJzL2Uyb0RvYy54bWysU01vEzEQvSPxHyzfySYpDbDKpkJpy6VA&#13;&#10;pJYf4NjerIXXY8042eTfM3Y3gcIBCbEHy/Oxb968GS9vjr0XB4vkIDRyNplKYYMG48Kukd+e7t+8&#13;&#10;l4KSCkZ5CLaRJ0vyZvX61XKItZ1DB95YFAwSqB5iI7uUYl1VpDvbK5pAtIGDLWCvEpu4qwyqgdF7&#13;&#10;X82n00U1AJqIoC0Re2+fg3JV8NvW6vS1bckm4RvJ3FI5sZzbfFarpap3qGLn9EhD/QOLXrnARS9Q&#13;&#10;tyopsUf3B1TvNAJBmyYa+gra1mlbeuBuZtPfunnsVLSlFxaH4kUm+n+w+sthHTaYqetjeIwPoL+T&#13;&#10;CLDuVNjZjxRZQZ6rZNedcWkDLiQuXxxjDiIMnVXmpbtwfzpFnvksq1wNkepLtWxQ3KDYDp/BcI7a&#13;&#10;JygCHlvsMxuWRhzLnE6XOdljEpqd1x/eXi2mPE7NscXVdcFX9fnXiJQ+WehFvjTSu5BFVLU6PFDK&#13;&#10;VFR9TsnuAPfO+7IIPoiB+c7fMXgOEXhncrQYuNuuPYqDyrtUvrHwizSEfTAFLYtyF4xIRYXA+y8z&#13;&#10;PPVSeMuvhS8lLynn/57HrH3IPGxZ67GVs5B54anegjltMLeYLV6Z0uy43nknf7VL1s9HuPoBAAD/&#13;&#10;/wMAUEsDBBQABgAIAAAAIQBPoX0C2QAAAAkBAAAPAAAAZHJzL2Rvd25yZXYueG1sTE9NT8MwDL0j&#13;&#10;8R8iI3FjyUBM0DWdRhF32Ie4Zo1pC4kTNelW+PV4J7jYfnry+yhXk3fiiEPqA2mYzxQIpCbYnloN&#13;&#10;u+3LzQOIlA1Z4wKhhm9MsKouL0pT2HCiNzxucitYhFJhNHQ5x0LK1HToTZqFiMTcRxi8yQyHVtrB&#13;&#10;nFjcO3mr1EJ60xM7dCZi3WHztRm9hhj276/r+3r/GZ8cjUGp6afeaX19NT0veayXIDJO+e8Dzh04&#13;&#10;P1Qc7BBGskk4Ddwma1jwYvLx7nwcGM9BVqX836D6BQAA//8DAFBLAQItABQABgAIAAAAIQC2gziS&#13;&#10;/gAAAOEBAAATAAAAAAAAAAAAAAAAAAAAAABbQ29udGVudF9UeXBlc10ueG1sUEsBAi0AFAAGAAgA&#13;&#10;AAAhADj9If/WAAAAlAEAAAsAAAAAAAAAAAAAAAAALwEAAF9yZWxzLy5yZWxzUEsBAi0AFAAGAAgA&#13;&#10;AAAhAGo8+x/kAQAAzAMAAA4AAAAAAAAAAAAAAAAALgIAAGRycy9lMm9Eb2MueG1sUEsBAi0AFAAG&#13;&#10;AAgAAAAhAE+hfQLZAAAACQEAAA8AAAAAAAAAAAAAAAAAPgQAAGRycy9kb3ducmV2LnhtbFBLBQYA&#13;&#10;AAAABAAEAPMAAABEBQAAAAA=&#13;&#10;" o:allowincell="f" strokeweight="1pt">
          <v:stroke startarrowwidth="narrow" startarrowlength="short" endarrowwidth="narrow" endarrowlength="short"/>
          <v:path arrowok="f"/>
          <o:lock v:ext="edit" aspectratio="t" verticies="t"/>
        </v:line>
      </w:pict>
    </w:r>
    <w:r>
      <w:rPr>
        <w:rStyle w:val="PageNumber"/>
        <w:sz w:val="20"/>
      </w:rPr>
      <w:tab/>
    </w:r>
    <w:r>
      <w:rPr>
        <w:rStyle w:val="PageNumber"/>
        <w:sz w:val="20"/>
      </w:rPr>
      <w:tab/>
    </w:r>
    <w:r>
      <w:rPr>
        <w:sz w:val="20"/>
      </w:rPr>
      <w:t>Managerial Accounting, 9</w:t>
    </w:r>
    <w:r>
      <w:rPr>
        <w:sz w:val="20"/>
        <w:vertAlign w:val="superscript"/>
      </w:rPr>
      <w:t>th</w:t>
    </w:r>
    <w:r>
      <w:rPr>
        <w:sz w:val="20"/>
      </w:rPr>
      <w:t xml:space="preserve"> Edition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BB10588" w14:textId="77777777" w:rsidR="00D2421C" w:rsidRDefault="00D2421C">
      <w:r>
        <w:separator/>
      </w:r>
    </w:p>
  </w:footnote>
  <w:footnote w:type="continuationSeparator" w:id="0">
    <w:p w14:paraId="6BD400C5" w14:textId="77777777" w:rsidR="00D2421C" w:rsidRDefault="00D2421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3235A9B"/>
    <w:multiLevelType w:val="hybridMultilevel"/>
    <w:tmpl w:val="E756766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DF09FD"/>
    <w:multiLevelType w:val="hybridMultilevel"/>
    <w:tmpl w:val="A724BBE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6345540"/>
    <w:multiLevelType w:val="multilevel"/>
    <w:tmpl w:val="9C7AA4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29885171">
    <w:abstractNumId w:val="2"/>
  </w:num>
  <w:num w:numId="2" w16cid:durableId="51273223">
    <w:abstractNumId w:val="0"/>
  </w:num>
  <w:num w:numId="3" w16cid:durableId="126642618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3"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24DE"/>
    <w:rsid w:val="00032F0D"/>
    <w:rsid w:val="000D5296"/>
    <w:rsid w:val="00163972"/>
    <w:rsid w:val="001C3CFB"/>
    <w:rsid w:val="00201291"/>
    <w:rsid w:val="00371C05"/>
    <w:rsid w:val="00476C28"/>
    <w:rsid w:val="004A6E22"/>
    <w:rsid w:val="006424DE"/>
    <w:rsid w:val="00825D83"/>
    <w:rsid w:val="008C18E1"/>
    <w:rsid w:val="00A700DE"/>
    <w:rsid w:val="00B94003"/>
    <w:rsid w:val="00D06E42"/>
    <w:rsid w:val="00D2421C"/>
    <w:rsid w:val="00E616C1"/>
    <w:rsid w:val="00EB3E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EF71A72"/>
  <w15:chartTrackingRefBased/>
  <w15:docId w15:val="{0230600A-8ED0-5E47-BAB6-4C8B959C93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25D83"/>
    <w:rPr>
      <w:rFonts w:ascii="Arial" w:eastAsia="Times New Roman" w:hAnsi="Arial" w:cs="Times New Roman"/>
      <w:sz w:val="2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6424DE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424DE"/>
    <w:rPr>
      <w:rFonts w:ascii="Arial" w:eastAsia="Times New Roman" w:hAnsi="Arial" w:cs="Times New Roman"/>
      <w:sz w:val="22"/>
    </w:rPr>
  </w:style>
  <w:style w:type="paragraph" w:customStyle="1" w:styleId="rhL">
    <w:name w:val="rhL"/>
    <w:rsid w:val="006424DE"/>
    <w:pPr>
      <w:widowControl w:val="0"/>
      <w:tabs>
        <w:tab w:val="right" w:pos="9599"/>
      </w:tabs>
      <w:spacing w:line="240" w:lineRule="exact"/>
      <w:jc w:val="both"/>
    </w:pPr>
    <w:rPr>
      <w:rFonts w:ascii="Helvetica" w:eastAsia="Times New Roman" w:hAnsi="Helvetica" w:cs="Times New Roman"/>
      <w:color w:val="000000"/>
      <w:sz w:val="20"/>
      <w:szCs w:val="20"/>
      <w:lang w:val="en-US"/>
    </w:rPr>
  </w:style>
  <w:style w:type="character" w:styleId="PageNumber">
    <w:name w:val="page number"/>
    <w:basedOn w:val="DefaultParagraphFont"/>
    <w:rsid w:val="006424DE"/>
  </w:style>
  <w:style w:type="paragraph" w:customStyle="1" w:styleId="ProblemNumber">
    <w:name w:val="Problem Number"/>
    <w:next w:val="NumberedPart"/>
    <w:link w:val="ProblemNumberChar"/>
    <w:rsid w:val="006424DE"/>
    <w:pPr>
      <w:widowControl w:val="0"/>
      <w:spacing w:after="240" w:line="320" w:lineRule="atLeast"/>
    </w:pPr>
    <w:rPr>
      <w:rFonts w:ascii="Tahoma" w:eastAsia="Times New Roman" w:hAnsi="Tahoma" w:cs="Times New Roman"/>
      <w:color w:val="000000"/>
      <w:sz w:val="28"/>
      <w:szCs w:val="20"/>
      <w:lang w:val="en-US"/>
    </w:rPr>
  </w:style>
  <w:style w:type="paragraph" w:customStyle="1" w:styleId="TextRight">
    <w:name w:val="Text Right"/>
    <w:rsid w:val="006424DE"/>
    <w:pPr>
      <w:spacing w:line="320" w:lineRule="exact"/>
      <w:ind w:right="72"/>
      <w:jc w:val="right"/>
    </w:pPr>
    <w:rPr>
      <w:rFonts w:ascii="Tahoma" w:eastAsia="Times New Roman" w:hAnsi="Tahoma" w:cs="Times New Roman"/>
      <w:sz w:val="28"/>
      <w:szCs w:val="20"/>
      <w:lang w:val="en-US"/>
    </w:rPr>
  </w:style>
  <w:style w:type="paragraph" w:customStyle="1" w:styleId="NumberedPart">
    <w:name w:val="Numbered Part"/>
    <w:link w:val="NumberedPartChar"/>
    <w:rsid w:val="006424DE"/>
    <w:pPr>
      <w:widowControl w:val="0"/>
      <w:tabs>
        <w:tab w:val="decimal" w:pos="120"/>
        <w:tab w:val="left" w:pos="360"/>
        <w:tab w:val="left" w:pos="696"/>
        <w:tab w:val="left" w:pos="936"/>
      </w:tabs>
      <w:spacing w:line="320" w:lineRule="exact"/>
      <w:ind w:left="360" w:hanging="360"/>
    </w:pPr>
    <w:rPr>
      <w:rFonts w:ascii="Tahoma" w:eastAsia="Times New Roman" w:hAnsi="Tahoma" w:cs="Times New Roman"/>
      <w:color w:val="000000"/>
      <w:sz w:val="28"/>
      <w:szCs w:val="20"/>
      <w:lang w:val="en-US"/>
    </w:rPr>
  </w:style>
  <w:style w:type="paragraph" w:customStyle="1" w:styleId="TextLeader">
    <w:name w:val="Text Leader"/>
    <w:basedOn w:val="Normal"/>
    <w:rsid w:val="006424DE"/>
    <w:pPr>
      <w:tabs>
        <w:tab w:val="left" w:pos="216"/>
        <w:tab w:val="left" w:pos="432"/>
        <w:tab w:val="right" w:leader="dot" w:pos="7200"/>
      </w:tabs>
      <w:spacing w:line="320" w:lineRule="exact"/>
      <w:ind w:left="216" w:right="172" w:hanging="216"/>
    </w:pPr>
    <w:rPr>
      <w:rFonts w:ascii="Tahoma" w:hAnsi="Tahoma" w:cs="Tahoma"/>
      <w:sz w:val="28"/>
      <w:szCs w:val="20"/>
      <w:lang w:val="en-US"/>
    </w:rPr>
  </w:style>
  <w:style w:type="character" w:customStyle="1" w:styleId="ProblemNumberChar">
    <w:name w:val="Problem Number Char"/>
    <w:link w:val="ProblemNumber"/>
    <w:rsid w:val="006424DE"/>
    <w:rPr>
      <w:rFonts w:ascii="Tahoma" w:eastAsia="Times New Roman" w:hAnsi="Tahoma" w:cs="Times New Roman"/>
      <w:color w:val="000000"/>
      <w:sz w:val="28"/>
      <w:szCs w:val="20"/>
      <w:lang w:val="en-US"/>
    </w:rPr>
  </w:style>
  <w:style w:type="character" w:customStyle="1" w:styleId="NumberedPartChar">
    <w:name w:val="Numbered Part Char"/>
    <w:link w:val="NumberedPart"/>
    <w:rsid w:val="006424DE"/>
    <w:rPr>
      <w:rFonts w:ascii="Tahoma" w:eastAsia="Times New Roman" w:hAnsi="Tahoma" w:cs="Times New Roman"/>
      <w:color w:val="000000"/>
      <w:sz w:val="28"/>
      <w:szCs w:val="20"/>
      <w:lang w:val="en-US"/>
    </w:rPr>
  </w:style>
  <w:style w:type="paragraph" w:styleId="ListParagraph">
    <w:name w:val="List Paragraph"/>
    <w:basedOn w:val="Normal"/>
    <w:uiPriority w:val="34"/>
    <w:qFormat/>
    <w:rsid w:val="008C18E1"/>
    <w:pPr>
      <w:ind w:left="720"/>
      <w:contextualSpacing/>
    </w:pPr>
    <w:rPr>
      <w:rFonts w:asciiTheme="minorHAnsi" w:eastAsiaTheme="minorHAnsi" w:hAnsiTheme="minorHAnsi" w:cstheme="minorBidi"/>
      <w:sz w:val="24"/>
    </w:rPr>
  </w:style>
  <w:style w:type="character" w:styleId="Strong">
    <w:name w:val="Strong"/>
    <w:basedOn w:val="DefaultParagraphFont"/>
    <w:uiPriority w:val="22"/>
    <w:qFormat/>
    <w:rsid w:val="008C18E1"/>
    <w:rPr>
      <w:b/>
      <w:bCs/>
    </w:rPr>
  </w:style>
  <w:style w:type="character" w:styleId="Emphasis">
    <w:name w:val="Emphasis"/>
    <w:basedOn w:val="DefaultParagraphFont"/>
    <w:uiPriority w:val="20"/>
    <w:qFormat/>
    <w:rsid w:val="008C18E1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825D83"/>
    <w:pPr>
      <w:spacing w:before="100" w:beforeAutospacing="1" w:after="100" w:afterAutospacing="1"/>
    </w:pPr>
    <w:rPr>
      <w:rFonts w:ascii="Times New Roman" w:hAnsi="Times New Roman"/>
      <w:sz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38630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</TotalTime>
  <Pages>5</Pages>
  <Words>596</Words>
  <Characters>3399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Winifred Soribe</dc:creator>
  <cp:keywords/>
  <dc:description/>
  <cp:lastModifiedBy>Winifred Soribe</cp:lastModifiedBy>
  <cp:revision>8</cp:revision>
  <dcterms:created xsi:type="dcterms:W3CDTF">2021-03-10T10:37:00Z</dcterms:created>
  <dcterms:modified xsi:type="dcterms:W3CDTF">2025-07-31T20:46:00Z</dcterms:modified>
</cp:coreProperties>
</file>