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59"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Programme: BSc Health and Social Care</w:t>
      </w:r>
    </w:p>
    <w:p w:rsidR="00000000" w:rsidDel="00000000" w:rsidP="00000000" w:rsidRDefault="00000000" w:rsidRPr="00000000" w14:paraId="00000002">
      <w:pPr>
        <w:spacing w:line="259"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Module: Health, Wellbeing and Sustainable Development</w:t>
      </w:r>
    </w:p>
    <w:p w:rsidR="00000000" w:rsidDel="00000000" w:rsidP="00000000" w:rsidRDefault="00000000" w:rsidRPr="00000000" w14:paraId="00000003">
      <w:pPr>
        <w:spacing w:line="259"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Module code: BMHP6021</w:t>
      </w:r>
    </w:p>
    <w:p w:rsidR="00000000" w:rsidDel="00000000" w:rsidP="00000000" w:rsidRDefault="00000000" w:rsidRPr="00000000" w14:paraId="00000004">
      <w:pPr>
        <w:spacing w:line="259"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Assignment Title:</w:t>
        <w:tab/>
        <w:t xml:space="preserve">Component 1 – Written Report</w:t>
      </w:r>
    </w:p>
    <w:p w:rsidR="00000000" w:rsidDel="00000000" w:rsidP="00000000" w:rsidRDefault="00000000" w:rsidRPr="00000000" w14:paraId="00000005">
      <w:pPr>
        <w:spacing w:line="259"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Student Name: Jubli Aktar</w:t>
      </w:r>
    </w:p>
    <w:p w:rsidR="00000000" w:rsidDel="00000000" w:rsidP="00000000" w:rsidRDefault="00000000" w:rsidRPr="00000000" w14:paraId="00000006">
      <w:pPr>
        <w:spacing w:line="259"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Student ID: 2128699</w:t>
      </w:r>
    </w:p>
    <w:p w:rsidR="00000000" w:rsidDel="00000000" w:rsidP="00000000" w:rsidRDefault="00000000" w:rsidRPr="00000000" w14:paraId="00000007">
      <w:pPr>
        <w:spacing w:line="259" w:lineRule="auto"/>
        <w:jc w:val="center"/>
        <w:rPr>
          <w:rFonts w:ascii="Arial" w:cs="Arial" w:eastAsia="Arial" w:hAnsi="Arial"/>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8">
      <w:pPr>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Executive Summary </w:t>
      </w:r>
    </w:p>
    <w:p w:rsidR="00000000" w:rsidDel="00000000" w:rsidP="00000000" w:rsidRDefault="00000000" w:rsidRPr="00000000" w14:paraId="00000009">
      <w:pPr>
        <w:rPr>
          <w:rFonts w:ascii="Arial" w:cs="Arial" w:eastAsia="Arial" w:hAnsi="Arial"/>
        </w:rPr>
      </w:pPr>
      <w:r w:rsidDel="00000000" w:rsidR="00000000" w:rsidRPr="00000000">
        <w:rPr>
          <w:rFonts w:ascii="Arial" w:cs="Arial" w:eastAsia="Arial" w:hAnsi="Arial"/>
          <w:rtl w:val="0"/>
        </w:rPr>
        <w:t xml:space="preserve">This report evaluates the UK's progress in achieving SDG 2: Zero Hunger target and SDG 5: Gender Equality, especially identified in the health and wellbeing fields. SDG 2 aims at zero hunger and food insecurity while SDG 5 is concerned with women’s rights and gender equality. Both are essential features that support sustainable development and enhanced health of the population.</w:t>
      </w:r>
    </w:p>
    <w:p w:rsidR="00000000" w:rsidDel="00000000" w:rsidP="00000000" w:rsidRDefault="00000000" w:rsidRPr="00000000" w14:paraId="0000000A">
      <w:pPr>
        <w:rPr>
          <w:rFonts w:ascii="Arial" w:cs="Arial" w:eastAsia="Arial" w:hAnsi="Arial"/>
        </w:rPr>
      </w:pPr>
      <w:r w:rsidDel="00000000" w:rsidR="00000000" w:rsidRPr="00000000">
        <w:rPr>
          <w:rFonts w:ascii="Arial" w:cs="Arial" w:eastAsia="Arial" w:hAnsi="Arial"/>
          <w:rtl w:val="0"/>
        </w:rPr>
        <w:t xml:space="preserve">The UK has endeavoured to address food insecurity through the Healthy Start Program and National Food Strategy while addressing women’s health and the Gender Equality Strategy and Women’s Health Strategy. Within this regard, these strategies are critically reviewed in this report thus evaluating the associated achievements and the constraints impeding their optimal implementation.</w:t>
      </w:r>
    </w:p>
    <w:p w:rsidR="00000000" w:rsidDel="00000000" w:rsidP="00000000" w:rsidRDefault="00000000" w:rsidRPr="00000000" w14:paraId="0000000B">
      <w:pPr>
        <w:rPr>
          <w:rFonts w:ascii="Arial" w:cs="Arial" w:eastAsia="Arial" w:hAnsi="Arial"/>
        </w:rPr>
      </w:pPr>
      <w:r w:rsidDel="00000000" w:rsidR="00000000" w:rsidRPr="00000000">
        <w:rPr>
          <w:rFonts w:ascii="Arial" w:cs="Arial" w:eastAsia="Arial" w:hAnsi="Arial"/>
          <w:rtl w:val="0"/>
        </w:rPr>
        <w:t xml:space="preserve">While some of these areas have experienced positive changes like the decrease in the prevalence of malnutrition in low-income families and increased access to reproductive health services for women, among others, the following problems are still recognisable. Some of these factors are economic differential, food desert, gender bias especially in healthcare services, and inadequate funding towards women’s health facilities. Recommendations are also given to bolster the implementation of these strategies and the further advancement of the aforementioned crucial SDG goals.</w:t>
      </w:r>
    </w:p>
    <w:p w:rsidR="00000000" w:rsidDel="00000000" w:rsidP="00000000" w:rsidRDefault="00000000" w:rsidRPr="00000000" w14:paraId="0000000C">
      <w:pPr>
        <w:spacing w:line="259"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i w:val="0"/>
          <w:smallCaps w:val="0"/>
          <w:strike w:val="0"/>
          <w:color w:val="1f3864"/>
          <w:sz w:val="32"/>
          <w:szCs w:val="32"/>
          <w:u w:val="none"/>
          <w:shd w:fill="auto" w:val="clear"/>
          <w:vertAlign w:val="baseline"/>
        </w:rPr>
      </w:pPr>
      <w:r w:rsidDel="00000000" w:rsidR="00000000" w:rsidRPr="00000000">
        <w:rPr>
          <w:rFonts w:ascii="Arial" w:cs="Arial" w:eastAsia="Arial" w:hAnsi="Arial"/>
          <w:b w:val="1"/>
          <w:i w:val="0"/>
          <w:smallCaps w:val="0"/>
          <w:strike w:val="0"/>
          <w:color w:val="1f3864"/>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1.0 Introduction</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2.0 Key Definitions and Concepts</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3.0 SDG 2: Zero Hunger</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3.1 Overview of SDG 2: Zero Hunger</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3.2 UK Strategies to Achieve SDG 2</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3.3 Critical Evaluation of the Strategies</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3.4 Progress in Implementing SDG 2</w:t>
            </w:r>
          </w:hyperlink>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3.5 Impact on Health, Wellbeing, and Sustainable Development</w:t>
            </w:r>
          </w:hyperlink>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3.6 Challenges in Implementing SDG 2</w:t>
            </w:r>
          </w:hyperlink>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4.0 SDG 5: Gender Equality</w:t>
            </w:r>
          </w:hyperlink>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4.1 Overview of SDG 5: Gender Equality</w:t>
            </w:r>
          </w:hyperlink>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4.2 UK Strategies to Achieve SDG 5</w:t>
            </w:r>
          </w:hyperlink>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4.3 Critical Evaluation of the Strategies</w:t>
            </w:r>
          </w:hyperlink>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4.4 Progress in Implementing SDG 5</w:t>
            </w:r>
          </w:hyperlink>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4.5 Impact on Health, Wellbeing, and Sustainable Development</w:t>
            </w:r>
          </w:hyperlink>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4.6 Challenges in Implementing SDG 5</w:t>
            </w:r>
          </w:hyperlink>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5.0 Recommendations</w:t>
            </w:r>
          </w:hyperlink>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14</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6.0 Conclusion</w:t>
            </w:r>
          </w:hyperlink>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15</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r>
          </w:hyperlink>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17</w:t>
            </w:r>
          </w:hyperlink>
          <w:r w:rsidDel="00000000" w:rsidR="00000000" w:rsidRPr="00000000">
            <w:rPr>
              <w:rtl w:val="0"/>
            </w:rPr>
          </w:r>
        </w:p>
        <w:p w:rsidR="00000000" w:rsidDel="00000000" w:rsidP="00000000" w:rsidRDefault="00000000" w:rsidRPr="00000000" w14:paraId="00000021">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rPr>
          <w:rFonts w:ascii="Arial" w:cs="Arial" w:eastAsia="Arial" w:hAnsi="Arial"/>
        </w:rPr>
      </w:pPr>
      <w:r w:rsidDel="00000000" w:rsidR="00000000" w:rsidRPr="00000000">
        <w:rPr>
          <w:rtl w:val="0"/>
        </w:rPr>
      </w:r>
    </w:p>
    <w:p w:rsidR="00000000" w:rsidDel="00000000" w:rsidP="00000000" w:rsidRDefault="00000000" w:rsidRPr="00000000" w14:paraId="00000023">
      <w:pPr>
        <w:spacing w:line="259"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4">
      <w:pPr>
        <w:pStyle w:val="Heading1"/>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1.0 Introduction </w:t>
      </w:r>
    </w:p>
    <w:p w:rsidR="00000000" w:rsidDel="00000000" w:rsidP="00000000" w:rsidRDefault="00000000" w:rsidRPr="00000000" w14:paraId="00000025">
      <w:pPr>
        <w:rPr>
          <w:rFonts w:ascii="Arial" w:cs="Arial" w:eastAsia="Arial" w:hAnsi="Arial"/>
        </w:rPr>
      </w:pPr>
      <w:r w:rsidDel="00000000" w:rsidR="00000000" w:rsidRPr="00000000">
        <w:rPr>
          <w:rFonts w:ascii="Arial" w:cs="Arial" w:eastAsia="Arial" w:hAnsi="Arial"/>
          <w:rtl w:val="0"/>
        </w:rPr>
        <w:t xml:space="preserve">The focus of this report is on the role of the United Kingdom and particularly the National Health Service (NHS) in fulfilling the concept of sustainable health, well-being, and development. Achievement of the United Nation’s sustainable development goals is one of the cornerstones of this mission (Furey, 2020). Among the 17 SDGs, SDG 2: Two of the SDGs are primarily central to health and sustainable development; these are Zero Hunger and SDG 5: Gender Equality (Lima and Guedes, 2024).</w:t>
      </w:r>
    </w:p>
    <w:p w:rsidR="00000000" w:rsidDel="00000000" w:rsidP="00000000" w:rsidRDefault="00000000" w:rsidRPr="00000000" w14:paraId="00000026">
      <w:pPr>
        <w:rPr>
          <w:rFonts w:ascii="Arial" w:cs="Arial" w:eastAsia="Arial" w:hAnsi="Arial"/>
        </w:rPr>
      </w:pPr>
      <w:r w:rsidDel="00000000" w:rsidR="00000000" w:rsidRPr="00000000">
        <w:rPr>
          <w:rFonts w:ascii="Arial" w:cs="Arial" w:eastAsia="Arial" w:hAnsi="Arial"/>
          <w:rtl w:val="0"/>
        </w:rPr>
        <w:t xml:space="preserve">SDG 2 focuses on the eradication of hunger and malnutrition, ensuring access by all to safe, healthy and nutritious foods, and promoting sustainable farming practices that would enhance the health of the people and reduce inequalities (Azul et al., 2019). SDG 5 specifically aims at gender equality which is crucial to availing quality health services and enhancing the well-being of women and individuals of other marginalised genders (Pandey and Kumar, 2019).</w:t>
      </w:r>
    </w:p>
    <w:p w:rsidR="00000000" w:rsidDel="00000000" w:rsidP="00000000" w:rsidRDefault="00000000" w:rsidRPr="00000000" w14:paraId="00000027">
      <w:pPr>
        <w:rPr>
          <w:rFonts w:ascii="Arial" w:cs="Arial" w:eastAsia="Arial" w:hAnsi="Arial"/>
        </w:rPr>
      </w:pPr>
      <w:r w:rsidDel="00000000" w:rsidR="00000000" w:rsidRPr="00000000">
        <w:rPr>
          <w:rFonts w:ascii="Arial" w:cs="Arial" w:eastAsia="Arial" w:hAnsi="Arial"/>
          <w:rtl w:val="0"/>
        </w:rPr>
        <w:t xml:space="preserve">This report will critically discuss the health, welfare and sustainable development within the context of the two goals in the UK; assess the approaches to achieving these goals; and make suggestions for changing the current practice (Godwell Nhamo et al., 2022).</w:t>
      </w:r>
    </w:p>
    <w:p w:rsidR="00000000" w:rsidDel="00000000" w:rsidP="00000000" w:rsidRDefault="00000000" w:rsidRPr="00000000" w14:paraId="00000028">
      <w:pPr>
        <w:pStyle w:val="Heading1"/>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2.0 Key Definitions and Concepts </w:t>
      </w:r>
    </w:p>
    <w:p w:rsidR="00000000" w:rsidDel="00000000" w:rsidP="00000000" w:rsidRDefault="00000000" w:rsidRPr="00000000" w14:paraId="00000029">
      <w:pPr>
        <w:rPr>
          <w:rFonts w:ascii="Arial" w:cs="Arial" w:eastAsia="Arial" w:hAnsi="Arial"/>
        </w:rPr>
      </w:pPr>
      <w:r w:rsidDel="00000000" w:rsidR="00000000" w:rsidRPr="00000000">
        <w:rPr>
          <w:rFonts w:ascii="Arial" w:cs="Arial" w:eastAsia="Arial" w:hAnsi="Arial"/>
          <w:rtl w:val="0"/>
        </w:rPr>
        <w:t xml:space="preserve">Understanding core concepts like health, well-being, sustainability, sustainable development, and the Sustainable Development Goals (SDGs) is essential before examining SDG 2: Zero Hunger and SDG 5: Gender Equality.</w:t>
      </w:r>
    </w:p>
    <w:p w:rsidR="00000000" w:rsidDel="00000000" w:rsidP="00000000" w:rsidRDefault="00000000" w:rsidRPr="00000000" w14:paraId="0000002A">
      <w:pPr>
        <w:rPr>
          <w:rFonts w:ascii="Arial" w:cs="Arial" w:eastAsia="Arial" w:hAnsi="Arial"/>
        </w:rPr>
      </w:pPr>
      <w:r w:rsidDel="00000000" w:rsidR="00000000" w:rsidRPr="00000000">
        <w:rPr>
          <w:rFonts w:ascii="Arial" w:cs="Arial" w:eastAsia="Arial" w:hAnsi="Arial"/>
          <w:rtl w:val="0"/>
        </w:rPr>
        <w:t xml:space="preserve">According to the World Health Organisation, health is not only the lack of illness but also a condition of physical, mental, and social well-being this is under the definition of wellbeing objective and subjective wellbeing.(Hutchinson and Kovats, 2021).</w:t>
      </w:r>
    </w:p>
    <w:p w:rsidR="00000000" w:rsidDel="00000000" w:rsidP="00000000" w:rsidRDefault="00000000" w:rsidRPr="00000000" w14:paraId="0000002B">
      <w:pPr>
        <w:rPr>
          <w:rFonts w:ascii="Arial" w:cs="Arial" w:eastAsia="Arial" w:hAnsi="Arial"/>
        </w:rPr>
      </w:pPr>
      <w:r w:rsidDel="00000000" w:rsidR="00000000" w:rsidRPr="00000000">
        <w:rPr>
          <w:rFonts w:ascii="Arial" w:cs="Arial" w:eastAsia="Arial" w:hAnsi="Arial"/>
          <w:rtl w:val="0"/>
        </w:rPr>
        <w:t xml:space="preserve">Sustainability has three pillars: assessed in terms of the economic, the environmental and the social components. Economic sustainability describes the efficient and effective use of the resources towards an improved performance of the system while environmental sustainability focuses on the conservation of the stock of resources and social sustainability is oriented on fairness in the allocation and utilisation of the resources and basic human necessities respectively (Otekunrin, 2023). It means development requires sustenance both for today's generations and the future ones to avoid depletion of any crucial natural endowment (Cheo &amp; Tapiwa, 2021).</w:t>
      </w:r>
    </w:p>
    <w:p w:rsidR="00000000" w:rsidDel="00000000" w:rsidP="00000000" w:rsidRDefault="00000000" w:rsidRPr="00000000" w14:paraId="0000002C">
      <w:pPr>
        <w:rPr>
          <w:rFonts w:ascii="Arial" w:cs="Arial" w:eastAsia="Arial" w:hAnsi="Arial"/>
        </w:rPr>
      </w:pPr>
      <w:r w:rsidDel="00000000" w:rsidR="00000000" w:rsidRPr="00000000">
        <w:rPr>
          <w:rFonts w:ascii="Arial" w:cs="Arial" w:eastAsia="Arial" w:hAnsi="Arial"/>
          <w:rtl w:val="0"/>
        </w:rPr>
        <w:t xml:space="preserve">The SDGs were set by 193 United Nations member states in 2015 after the prior effort on MDGs, which mainly highlighted poverty. The SDGs are goals of health, equality and environment by the year 2030. The UK, being a party to these objectives, has pledged to numerous domestic and international strategies to undergird them key objectives ranging from sustainable development to equality (UK SDG, 2023).</w:t>
      </w:r>
    </w:p>
    <w:p w:rsidR="00000000" w:rsidDel="00000000" w:rsidP="00000000" w:rsidRDefault="00000000" w:rsidRPr="00000000" w14:paraId="0000002D">
      <w:pPr>
        <w:pStyle w:val="Heading1"/>
        <w:rPr>
          <w:rFonts w:ascii="Arial" w:cs="Arial" w:eastAsia="Arial" w:hAnsi="Arial"/>
        </w:rPr>
      </w:pPr>
      <w:bookmarkStart w:colFirst="0" w:colLast="0" w:name="_heading=h.1fob9te" w:id="2"/>
      <w:bookmarkEnd w:id="2"/>
      <w:r w:rsidDel="00000000" w:rsidR="00000000" w:rsidRPr="00000000">
        <w:rPr>
          <w:rFonts w:ascii="Arial" w:cs="Arial" w:eastAsia="Arial" w:hAnsi="Arial"/>
          <w:rtl w:val="0"/>
        </w:rPr>
        <w:t xml:space="preserve">3.0 SDG 2: Zero Hunger </w:t>
      </w:r>
    </w:p>
    <w:p w:rsidR="00000000" w:rsidDel="00000000" w:rsidP="00000000" w:rsidRDefault="00000000" w:rsidRPr="00000000" w14:paraId="0000002E">
      <w:pPr>
        <w:pStyle w:val="Heading2"/>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3.1 Overview of SDG 2: Zero Hunger </w:t>
      </w:r>
    </w:p>
    <w:p w:rsidR="00000000" w:rsidDel="00000000" w:rsidP="00000000" w:rsidRDefault="00000000" w:rsidRPr="00000000" w14:paraId="0000002F">
      <w:pPr>
        <w:rPr>
          <w:rFonts w:ascii="Arial" w:cs="Arial" w:eastAsia="Arial" w:hAnsi="Arial"/>
        </w:rPr>
      </w:pPr>
      <w:r w:rsidDel="00000000" w:rsidR="00000000" w:rsidRPr="00000000">
        <w:rPr>
          <w:rFonts w:ascii="Arial" w:cs="Arial" w:eastAsia="Arial" w:hAnsi="Arial"/>
          <w:rtl w:val="0"/>
        </w:rPr>
        <w:t xml:space="preserve">SDG 2: Zero Hunger aims to ensure that everyone has access to safe, nutritious, and sufficient food year-round, with a particular focus on eliminating hunger and malnutrition (Walker, 2019). This goal is critical because malnutrition, especially among children, poses a significant threat to both health and development. SDG 2 emphasises the need for access to quality and quantity of food that supports individuals' well-being (Cheo &amp; Tapiwa, 2021).</w:t>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Moreover, SDG 2 focuses on ending malnutrition and making agriculture more sustainable. Organic farming enables the production of food in a sustainable manner which augments yield, mining the impacts on the natural resource base and other issues such as climate change (Bond, 2022). They are indispensable for feeding the populations in the long run and saving the environment.</w:t>
      </w:r>
    </w:p>
    <w:p w:rsidR="00000000" w:rsidDel="00000000" w:rsidP="00000000" w:rsidRDefault="00000000" w:rsidRPr="00000000" w14:paraId="00000031">
      <w:pPr>
        <w:rPr>
          <w:rFonts w:ascii="Arial" w:cs="Arial" w:eastAsia="Arial" w:hAnsi="Arial"/>
        </w:rPr>
      </w:pPr>
      <w:r w:rsidDel="00000000" w:rsidR="00000000" w:rsidRPr="00000000">
        <w:rPr>
          <w:rFonts w:ascii="Arial" w:cs="Arial" w:eastAsia="Arial" w:hAnsi="Arial"/>
          <w:rtl w:val="0"/>
        </w:rPr>
        <w:t xml:space="preserve">The goal consists of several targets: elimination of all forms of malnutrition, provision of sufficient nutrition for all, doubling of productivity in agricultural activity, and preservation of seeds crop genetic variability. These targets are important for promoting food security and human health, particularly for the most vulnerable persons. Food security where poverty and malnutrition are prevalent is still an issue in the UK. Agriculture that can safeguard food production in line with the conservation of ecosystems is crucial to meeting future food needs (Otekunrin, 2023).</w:t>
      </w:r>
    </w:p>
    <w:p w:rsidR="00000000" w:rsidDel="00000000" w:rsidP="00000000" w:rsidRDefault="00000000" w:rsidRPr="00000000" w14:paraId="00000032">
      <w:pPr>
        <w:rPr>
          <w:rFonts w:ascii="Arial" w:cs="Arial" w:eastAsia="Arial" w:hAnsi="Arial"/>
        </w:rPr>
      </w:pPr>
      <w:r w:rsidDel="00000000" w:rsidR="00000000" w:rsidRPr="00000000">
        <w:rPr>
          <w:rtl w:val="0"/>
        </w:rPr>
      </w:r>
    </w:p>
    <w:p w:rsidR="00000000" w:rsidDel="00000000" w:rsidP="00000000" w:rsidRDefault="00000000" w:rsidRPr="00000000" w14:paraId="00000033">
      <w:pPr>
        <w:rPr>
          <w:rFonts w:ascii="Arial" w:cs="Arial" w:eastAsia="Arial" w:hAnsi="Arial"/>
        </w:rPr>
      </w:pPr>
      <w:r w:rsidDel="00000000" w:rsidR="00000000" w:rsidRPr="00000000">
        <w:rPr>
          <w:rtl w:val="0"/>
        </w:rPr>
      </w:r>
    </w:p>
    <w:p w:rsidR="00000000" w:rsidDel="00000000" w:rsidP="00000000" w:rsidRDefault="00000000" w:rsidRPr="00000000" w14:paraId="00000034">
      <w:pPr>
        <w:pStyle w:val="Heading2"/>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3.2 UK Strategies to Achieve SDG 2 </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Two major strategies have been adopted in the UK to implement SDG 2:</w:t>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b w:val="1"/>
          <w:rtl w:val="0"/>
        </w:rPr>
        <w:t xml:space="preserve">Healthy Start Program:</w:t>
      </w:r>
      <w:r w:rsidDel="00000000" w:rsidR="00000000" w:rsidRPr="00000000">
        <w:rPr>
          <w:rFonts w:ascii="Arial" w:cs="Arial" w:eastAsia="Arial" w:hAnsi="Arial"/>
          <w:rtl w:val="0"/>
        </w:rPr>
        <w:t xml:space="preserve"> The Healthy Start Program aims to help low-income families; with food vouchers and free vitamins from pregnant women to infants and toddlers. In 2022, more than 290,000 families were supported to enhance their chances to use healthy foods such as fruits vegetables, and milk (UK Parliament, 2023). This approach seeks to spur a decrease in the incidences of malnutrition; participants’ servings of fruits and vegetables went up by 15% helping foster improved quality of life by children’s healthy growth (Ramzani et al., 2022).</w:t>
      </w:r>
    </w:p>
    <w:p w:rsidR="00000000" w:rsidDel="00000000" w:rsidP="00000000" w:rsidRDefault="00000000" w:rsidRPr="00000000" w14:paraId="00000037">
      <w:pPr>
        <w:rPr>
          <w:rFonts w:ascii="Arial" w:cs="Arial" w:eastAsia="Arial" w:hAnsi="Arial"/>
        </w:rPr>
      </w:pPr>
      <w:r w:rsidDel="00000000" w:rsidR="00000000" w:rsidRPr="00000000">
        <w:rPr>
          <w:rFonts w:ascii="Arial" w:cs="Arial" w:eastAsia="Arial" w:hAnsi="Arial"/>
          <w:b w:val="1"/>
          <w:rtl w:val="0"/>
        </w:rPr>
        <w:t xml:space="preserve">National Food Strategy:</w:t>
      </w:r>
      <w:r w:rsidDel="00000000" w:rsidR="00000000" w:rsidRPr="00000000">
        <w:rPr>
          <w:rFonts w:ascii="Arial" w:cs="Arial" w:eastAsia="Arial" w:hAnsi="Arial"/>
          <w:rtl w:val="0"/>
        </w:rPr>
        <w:t xml:space="preserve"> This report examines the UK’s National Food Strategy, which focuses on improving the sustainability of farming and minimising food waste to feed the population of generations to come (Ramzani et al., 2022). It also fosters nutrition-sensitive diseases such as obesity and diabetes, which all impact more than 28% of grown-ups in the UK (UK Parliament, 2023). Thus, the strategy promotes standardised healthy nutrition and sustainable practices to deliver on its promises of addressing poor diet and public health outcomes on a population basis (Bond, 2022).</w:t>
      </w:r>
    </w:p>
    <w:p w:rsidR="00000000" w:rsidDel="00000000" w:rsidP="00000000" w:rsidRDefault="00000000" w:rsidRPr="00000000" w14:paraId="00000038">
      <w:pPr>
        <w:pStyle w:val="Heading2"/>
        <w:rPr>
          <w:rFonts w:ascii="Arial" w:cs="Arial" w:eastAsia="Arial" w:hAnsi="Arial"/>
        </w:rPr>
      </w:pPr>
      <w:bookmarkStart w:colFirst="0" w:colLast="0" w:name="_heading=h.tyjcwt" w:id="5"/>
      <w:bookmarkEnd w:id="5"/>
      <w:r w:rsidDel="00000000" w:rsidR="00000000" w:rsidRPr="00000000">
        <w:rPr>
          <w:rFonts w:ascii="Arial" w:cs="Arial" w:eastAsia="Arial" w:hAnsi="Arial"/>
          <w:rtl w:val="0"/>
        </w:rPr>
        <w:t xml:space="preserve">3.3 Critical Evaluation of the Strategies </w:t>
      </w:r>
    </w:p>
    <w:p w:rsidR="00000000" w:rsidDel="00000000" w:rsidP="00000000" w:rsidRDefault="00000000" w:rsidRPr="00000000" w14:paraId="00000039">
      <w:pPr>
        <w:rPr>
          <w:rFonts w:ascii="Arial" w:cs="Arial" w:eastAsia="Arial" w:hAnsi="Arial"/>
        </w:rPr>
      </w:pPr>
      <w:r w:rsidDel="00000000" w:rsidR="00000000" w:rsidRPr="00000000">
        <w:rPr>
          <w:rFonts w:ascii="Arial" w:cs="Arial" w:eastAsia="Arial" w:hAnsi="Arial"/>
          <w:rtl w:val="0"/>
        </w:rPr>
        <w:t xml:space="preserve">Healthy Start program has brought benefits to society in ensuring that children and pregnant women do not suffer from malnutrition especially households that were regarded as low-income earners (UK Parliament, 2023). With the help of food vouchers to buy foods to provide necessary nutrients and free vitamins, it has enhanced early child development and maternal health (Ramzani et al., 2022). Nonetheless, the program has the following major difficulties. It remains a challenge as many qualified families remain unaware of the opportunities, or how to sign up. Some of the disadvantages of the digital application process include; access to technology and or the internet by applying for a job. This hampers the program in a way that especially affects disadvantaged areas which could highly benefit from the program (UK SDG Data, 2023).</w:t>
      </w:r>
    </w:p>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rtl w:val="0"/>
        </w:rPr>
        <w:t xml:space="preserve">About the steps to make the program more effective, several strategies could be used. First, increasing the campaigns, especially in the community, schools, and Clinics to fix the problem of awareness (Ramzani et al., 2022). Second, it is possible to state that streamlining the process of application and providing families with the opportunity to send an application not only via the Internet could help more families to use the services. Also, more participation could be tapped through sponsoring local organisations that directly engage low-income earner families (UK Parliament, 2023).</w:t>
      </w:r>
    </w:p>
    <w:p w:rsidR="00000000" w:rsidDel="00000000" w:rsidP="00000000" w:rsidRDefault="00000000" w:rsidRPr="00000000" w14:paraId="0000003B">
      <w:pPr>
        <w:rPr>
          <w:rFonts w:ascii="Arial" w:cs="Arial" w:eastAsia="Arial" w:hAnsi="Arial"/>
        </w:rPr>
      </w:pPr>
      <w:r w:rsidDel="00000000" w:rsidR="00000000" w:rsidRPr="00000000">
        <w:rPr>
          <w:rFonts w:ascii="Arial" w:cs="Arial" w:eastAsia="Arial" w:hAnsi="Arial"/>
          <w:rtl w:val="0"/>
        </w:rPr>
        <w:t xml:space="preserve">The National Food Strategy provides a blueprint to address food insecurity, support the relevant agriculture practices, and minimize diseases associated with the consumption of unhealthy foods. However, this has been attributed to the slow implementation of ID because of the vast area that it covers. Comprehensive though it is, the strategy does not address the lack of immediate solutions for families experiencing food insecurity (UK SDG Data, 2023). Therefore, as the long-term objectives of sustainable food and enhanced health outcomes seem beneficial in the long run, a significant number of struggling families lack access to available and affordable nutritious food products (UK Parliament, 2023).</w:t>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To this, more basic strategies should be employed such as the opening of more stores selling cheap healthy foods in impoverished communities (Otekunrin, 2023). Also, greater coordination between the food security programmes and health services may assist the people who suffer most from malnutrition. While the National Food Strategy has tackled the root causes, there is still a need for short-term approaches that aim to help families secure food today (Ramzani et al., 2022).</w:t>
      </w:r>
    </w:p>
    <w:p w:rsidR="00000000" w:rsidDel="00000000" w:rsidP="00000000" w:rsidRDefault="00000000" w:rsidRPr="00000000" w14:paraId="0000003D">
      <w:pPr>
        <w:pStyle w:val="Heading2"/>
        <w:rPr>
          <w:rFonts w:ascii="Arial" w:cs="Arial" w:eastAsia="Arial" w:hAnsi="Arial"/>
        </w:rPr>
      </w:pPr>
      <w:bookmarkStart w:colFirst="0" w:colLast="0" w:name="_heading=h.3dy6vkm" w:id="6"/>
      <w:bookmarkEnd w:id="6"/>
      <w:r w:rsidDel="00000000" w:rsidR="00000000" w:rsidRPr="00000000">
        <w:rPr>
          <w:rFonts w:ascii="Arial" w:cs="Arial" w:eastAsia="Arial" w:hAnsi="Arial"/>
          <w:rtl w:val="0"/>
        </w:rPr>
        <w:t xml:space="preserve">3.4 Progress in Implementing SDG 2 </w:t>
      </w:r>
    </w:p>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rtl w:val="0"/>
        </w:rPr>
        <w:t xml:space="preserve">The UK has made some progress in addressing SDG 2: Zero Hunger, with particular progress in some aspects. The Healthy Start Program has benefited low-income families especially pregnant women and young children through increased availability of nutrient fortifying foods (Azul et al., 2019). It has assisted in reducing cases of malnutrition within these groups thus improving maternal and underaged children’s health results.</w:t>
      </w:r>
    </w:p>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The UK’s National Food Strategy has also made significant improvements in influencing food policies, advocating for healthier and environmentally sound farming practices, and educating the public on the issue of food insecurity (Ramzani et al., 2022). Now it has affected some aspects of agricultural practices and the food supply chain, especially in terms of sustainability in the long run. Moreover, attempts to properly tackle food waste, improve diet and prevent obesity and diabetes are being made, thus creating the basis for forming healthy generations (Azul et al., 2019).</w:t>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rtl w:val="0"/>
        </w:rPr>
        <w:t xml:space="preserve">Nevertheless, there are still problems with food crises as key measures to address them were mentioned above. The need for food banks has continued to rise, more so after the COVID-19 pandemic pointing to the fact that there are still enormous disparities in terms of affordable anti-hunger interventions, namely the availability of nutritious food (Furey, 2020). Nevertheless, child malnutrition persists with emphasis mainly given to low-income areas. With COVID intensifying the disparities, there should be more recognition that the government needs to take additional actions to meet the needs of those most at risk (Ramzani et al., 2022).</w:t>
      </w:r>
    </w:p>
    <w:p w:rsidR="00000000" w:rsidDel="00000000" w:rsidP="00000000" w:rsidRDefault="00000000" w:rsidRPr="00000000" w14:paraId="00000041">
      <w:pPr>
        <w:rPr>
          <w:rFonts w:ascii="Arial" w:cs="Arial" w:eastAsia="Arial" w:hAnsi="Arial"/>
        </w:rPr>
      </w:pPr>
      <w:r w:rsidDel="00000000" w:rsidR="00000000" w:rsidRPr="00000000">
        <w:rPr>
          <w:rFonts w:ascii="Arial" w:cs="Arial" w:eastAsia="Arial" w:hAnsi="Arial"/>
          <w:rtl w:val="0"/>
        </w:rPr>
        <w:t xml:space="preserve">The UK has only recently begun its journey to addressing SDG 2 but it is yet far from realising its full potential; more needs to be done in terms of tackling hunger in the shortest term and enhancing access to nutritional sustainably in the long term (Furey, 2020).</w:t>
      </w:r>
    </w:p>
    <w:p w:rsidR="00000000" w:rsidDel="00000000" w:rsidP="00000000" w:rsidRDefault="00000000" w:rsidRPr="00000000" w14:paraId="00000042">
      <w:pPr>
        <w:pStyle w:val="Heading2"/>
        <w:rPr>
          <w:rFonts w:ascii="Arial" w:cs="Arial" w:eastAsia="Arial" w:hAnsi="Arial"/>
        </w:rPr>
      </w:pPr>
      <w:bookmarkStart w:colFirst="0" w:colLast="0" w:name="_heading=h.1t3h5sf" w:id="7"/>
      <w:bookmarkEnd w:id="7"/>
      <w:r w:rsidDel="00000000" w:rsidR="00000000" w:rsidRPr="00000000">
        <w:rPr>
          <w:rFonts w:ascii="Arial" w:cs="Arial" w:eastAsia="Arial" w:hAnsi="Arial"/>
          <w:rtl w:val="0"/>
        </w:rPr>
        <w:t xml:space="preserve">3.5 Impact on Health, Wellbeing, and Sustainable Development </w:t>
      </w:r>
    </w:p>
    <w:p w:rsidR="00000000" w:rsidDel="00000000" w:rsidP="00000000" w:rsidRDefault="00000000" w:rsidRPr="00000000" w14:paraId="00000043">
      <w:pPr>
        <w:rPr>
          <w:rFonts w:ascii="Arial" w:cs="Arial" w:eastAsia="Arial" w:hAnsi="Arial"/>
        </w:rPr>
      </w:pPr>
      <w:r w:rsidDel="00000000" w:rsidR="00000000" w:rsidRPr="00000000">
        <w:rPr>
          <w:rFonts w:ascii="Arial" w:cs="Arial" w:eastAsia="Arial" w:hAnsi="Arial"/>
          <w:rtl w:val="0"/>
        </w:rPr>
        <w:t xml:space="preserve">Nutrition is crucial in the life of every person because poorly nourished people get sick more often, suffer from many various chronic diseases, have low working capacity and bad mood, and children growing up unfed are stunted (Morse, 2022). Healthy Start Program has ensured the supply of the health start program has ensured the supply of foods rich in iron and other essential micronutrient-rich foods to needy families enhancing mothers' and young children’s health. Vitamin, nutritious food is required throughout childhood and required at the infancy stage for proper development (Grosso et al., 2020).</w:t>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The National Food Strategy encourages the cultivation of food that will feed the nation and also protect the land. Organic farming maintains key assets; control of carbon emissions; and the preservation of ecosystems, which are all factors that create long-term human health (Thapa Karki et al., 2020).</w:t>
      </w:r>
    </w:p>
    <w:p w:rsidR="00000000" w:rsidDel="00000000" w:rsidP="00000000" w:rsidRDefault="00000000" w:rsidRPr="00000000" w14:paraId="00000045">
      <w:pPr>
        <w:rPr>
          <w:rFonts w:ascii="Arial" w:cs="Arial" w:eastAsia="Arial" w:hAnsi="Arial"/>
        </w:rPr>
      </w:pPr>
      <w:r w:rsidDel="00000000" w:rsidR="00000000" w:rsidRPr="00000000">
        <w:rPr>
          <w:rFonts w:ascii="Arial" w:cs="Arial" w:eastAsia="Arial" w:hAnsi="Arial"/>
          <w:rtl w:val="0"/>
        </w:rPr>
        <w:t xml:space="preserve">However, programs encouraging household and community production of foods fall short due to high costs, economic disparities and resultant poor nutrition (Godwell Nhamo et al., 2022). The poor population lacks access to affordable and healthy food diets, which has resulted in increased incidences of diseases such as malnutrition and obesity, diabetes, and mental illnesses (Grosso et al., 2020). However, if these disparities are not corrected, the capacity and potential of such approaches are limited and disadvantaged groups will not receive proper protection. Access to equal and healthy and quality nutrition for everyone is important for the health of the people as well as sustainable development (Morse, 2022).</w:t>
      </w:r>
    </w:p>
    <w:p w:rsidR="00000000" w:rsidDel="00000000" w:rsidP="00000000" w:rsidRDefault="00000000" w:rsidRPr="00000000" w14:paraId="00000046">
      <w:pPr>
        <w:pStyle w:val="Heading2"/>
        <w:rPr>
          <w:rFonts w:ascii="Arial" w:cs="Arial" w:eastAsia="Arial" w:hAnsi="Arial"/>
        </w:rPr>
      </w:pPr>
      <w:bookmarkStart w:colFirst="0" w:colLast="0" w:name="_heading=h.4d34og8" w:id="8"/>
      <w:bookmarkEnd w:id="8"/>
      <w:r w:rsidDel="00000000" w:rsidR="00000000" w:rsidRPr="00000000">
        <w:rPr>
          <w:rFonts w:ascii="Arial" w:cs="Arial" w:eastAsia="Arial" w:hAnsi="Arial"/>
          <w:rtl w:val="0"/>
        </w:rPr>
        <w:t xml:space="preserve">3.6 Challenges in Implementing SDG 2 </w:t>
      </w:r>
    </w:p>
    <w:p w:rsidR="00000000" w:rsidDel="00000000" w:rsidP="00000000" w:rsidRDefault="00000000" w:rsidRPr="00000000" w14:paraId="00000047">
      <w:pPr>
        <w:rPr>
          <w:rFonts w:ascii="Arial" w:cs="Arial" w:eastAsia="Arial" w:hAnsi="Arial"/>
        </w:rPr>
      </w:pPr>
      <w:r w:rsidDel="00000000" w:rsidR="00000000" w:rsidRPr="00000000">
        <w:rPr>
          <w:rFonts w:ascii="Arial" w:cs="Arial" w:eastAsia="Arial" w:hAnsi="Arial"/>
          <w:rtl w:val="0"/>
        </w:rPr>
        <w:t xml:space="preserve">The main challenges in achieving SDG 2 in the UK include:</w:t>
      </w:r>
    </w:p>
    <w:p w:rsidR="00000000" w:rsidDel="00000000" w:rsidP="00000000" w:rsidRDefault="00000000" w:rsidRPr="00000000" w14:paraId="00000048">
      <w:pPr>
        <w:rPr>
          <w:rFonts w:ascii="Arial" w:cs="Arial" w:eastAsia="Arial" w:hAnsi="Arial"/>
        </w:rPr>
      </w:pPr>
      <w:r w:rsidDel="00000000" w:rsidR="00000000" w:rsidRPr="00000000">
        <w:rPr>
          <w:rFonts w:ascii="Arial" w:cs="Arial" w:eastAsia="Arial" w:hAnsi="Arial"/>
          <w:b w:val="1"/>
          <w:rtl w:val="0"/>
        </w:rPr>
        <w:t xml:space="preserve">Economic Disparity:</w:t>
      </w:r>
      <w:r w:rsidDel="00000000" w:rsidR="00000000" w:rsidRPr="00000000">
        <w:rPr>
          <w:rFonts w:ascii="Arial" w:cs="Arial" w:eastAsia="Arial" w:hAnsi="Arial"/>
          <w:rtl w:val="0"/>
        </w:rPr>
        <w:t xml:space="preserve"> The first difficulty is inequality in terms of economic development of countries which are members of the union. Hunger and poverty therefore are compatible because most of the households whose income is low are unable to purchase nutritional foods (Cripps et al., 2024). All attempts to eradicate hunger cannot be effective if income disparity is not given much attention. While interventions such as Healthy Start are helpful, they do not address the lesser-known structural economic factors that prevent such populations from obtaining food (Dalby et al., 2019).</w:t>
      </w:r>
    </w:p>
    <w:p w:rsidR="00000000" w:rsidDel="00000000" w:rsidP="00000000" w:rsidRDefault="00000000" w:rsidRPr="00000000" w14:paraId="00000049">
      <w:pPr>
        <w:rPr>
          <w:rFonts w:ascii="Arial" w:cs="Arial" w:eastAsia="Arial" w:hAnsi="Arial"/>
        </w:rPr>
      </w:pPr>
      <w:r w:rsidDel="00000000" w:rsidR="00000000" w:rsidRPr="00000000">
        <w:rPr>
          <w:rFonts w:ascii="Arial" w:cs="Arial" w:eastAsia="Arial" w:hAnsi="Arial"/>
          <w:b w:val="1"/>
          <w:rtl w:val="0"/>
        </w:rPr>
        <w:t xml:space="preserve">Geographic Disparity:</w:t>
      </w:r>
      <w:r w:rsidDel="00000000" w:rsidR="00000000" w:rsidRPr="00000000">
        <w:rPr>
          <w:rFonts w:ascii="Arial" w:cs="Arial" w:eastAsia="Arial" w:hAnsi="Arial"/>
          <w:rtl w:val="0"/>
        </w:rPr>
        <w:t xml:space="preserve"> This is another major issue. A large number of the regions specified in the UK including both the urban and rural zones belong to the food deserts. Local people in these areas keep saying that they and their households have no convenient access to health-focused, comparatively cheap healthy food (Godwell Nhamo et al., 2022). Supermarkets and fresh food markets are located distant from each other and families do not have easy access to purchase nutritious foods frequently. Such geographic challenges make many people resort to processed or even unhealthy foods thus increasing instances of malnutrition and some associated diseases (Dalby et al., 2019).</w:t>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Finally, policy implementation delays have been a major setback in the execution of strategies such as the National Food Strategy. Despite such a strategy being good to build the foundation for long-term food systems, the slow process of the transformation espouses problems such as food poverty( Otekunrin, 2023). This report therefore calls for more urgent and much more localised efforts to make sure that families in want are provided with adequate and healthy food in the present as strategies for the future are being worked on (Cripps et al., 2024).</w:t>
      </w:r>
    </w:p>
    <w:p w:rsidR="00000000" w:rsidDel="00000000" w:rsidP="00000000" w:rsidRDefault="00000000" w:rsidRPr="00000000" w14:paraId="0000004B">
      <w:pPr>
        <w:rPr>
          <w:rFonts w:ascii="Arial" w:cs="Arial" w:eastAsia="Arial" w:hAnsi="Arial"/>
        </w:rPr>
      </w:pPr>
      <w:r w:rsidDel="00000000" w:rsidR="00000000" w:rsidRPr="00000000">
        <w:rPr>
          <w:rFonts w:ascii="Arial" w:cs="Arial" w:eastAsia="Arial" w:hAnsi="Arial"/>
          <w:rtl w:val="0"/>
        </w:rPr>
        <w:t xml:space="preserve">Addressing these economic and geographic disparities, alongside faster policy implementation, is crucial for making real progress toward achieving SDG 2 in the UK.</w:t>
      </w:r>
    </w:p>
    <w:p w:rsidR="00000000" w:rsidDel="00000000" w:rsidP="00000000" w:rsidRDefault="00000000" w:rsidRPr="00000000" w14:paraId="0000004C">
      <w:pPr>
        <w:pStyle w:val="Heading1"/>
        <w:rPr>
          <w:rFonts w:ascii="Arial" w:cs="Arial" w:eastAsia="Arial" w:hAnsi="Arial"/>
        </w:rPr>
      </w:pPr>
      <w:bookmarkStart w:colFirst="0" w:colLast="0" w:name="_heading=h.2s8eyo1" w:id="9"/>
      <w:bookmarkEnd w:id="9"/>
      <w:r w:rsidDel="00000000" w:rsidR="00000000" w:rsidRPr="00000000">
        <w:rPr>
          <w:rFonts w:ascii="Arial" w:cs="Arial" w:eastAsia="Arial" w:hAnsi="Arial"/>
          <w:rtl w:val="0"/>
        </w:rPr>
        <w:t xml:space="preserve">4.0 SDG 5: Gender Equality </w:t>
      </w:r>
    </w:p>
    <w:p w:rsidR="00000000" w:rsidDel="00000000" w:rsidP="00000000" w:rsidRDefault="00000000" w:rsidRPr="00000000" w14:paraId="0000004D">
      <w:pPr>
        <w:pStyle w:val="Heading2"/>
        <w:rPr>
          <w:rFonts w:ascii="Arial" w:cs="Arial" w:eastAsia="Arial" w:hAnsi="Arial"/>
        </w:rPr>
      </w:pPr>
      <w:bookmarkStart w:colFirst="0" w:colLast="0" w:name="_heading=h.17dp8vu" w:id="10"/>
      <w:bookmarkEnd w:id="10"/>
      <w:r w:rsidDel="00000000" w:rsidR="00000000" w:rsidRPr="00000000">
        <w:rPr>
          <w:rFonts w:ascii="Arial" w:cs="Arial" w:eastAsia="Arial" w:hAnsi="Arial"/>
          <w:rtl w:val="0"/>
        </w:rPr>
        <w:t xml:space="preserve">4.1 Overview of SDG 5: Gender Equality </w:t>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SDG 5: Gender Equality is one of the United Nations’ sustainable development goals about the rights of women and girls with the intention of eradicating gender disparities especially in the provision of health care services (UN Women, 2023). Gender mainstreaming in the context of health requires equal availability and provisions of quality healthcare services to equal ranks of males and females and responding to gender-differentiated needs. Nevertheless, current data on healthcare highlights ongoing gender disparities in treatment and outcomes, negatively affecting women, leading to delayed diagnoses, inadequate care, and poorer health, particularly in conditions like heart disease (Pandey and Kumar, 2019).</w:t>
      </w:r>
    </w:p>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Today, one can observe serious gender differences in health care in the United Kingdom. For example, women are diagnosed with heart attacks less accurately than men, and such diseases as endometriosis, take a long time to diagnose important factors affecting the physical and mental health of women include gender-based violence (GBV). About 1.6 million women in the UK were subject to domestic violence in 2022, leading to PTSD, depression, and chronic physical pain (UN Women, 2023)</w:t>
      </w:r>
    </w:p>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In response to these challenges, there is a need for healthcare facilities to offer Genre-specific services to GBV survivors. Realising gender in the healthcare sector enables the enhancement of women’s health and overall societal and economic advancement. Since political liberties do translate into women’s access to healthcare within the United Kingdom, empowering women to access the healthcare they need will lead to helping women be productive, and thus participate in contributing towards social, and economic growth and development (Hutchinson and Kovats, 2021).</w:t>
      </w:r>
    </w:p>
    <w:p w:rsidR="00000000" w:rsidDel="00000000" w:rsidP="00000000" w:rsidRDefault="00000000" w:rsidRPr="00000000" w14:paraId="00000051">
      <w:pPr>
        <w:pStyle w:val="Heading2"/>
        <w:rPr>
          <w:rFonts w:ascii="Arial" w:cs="Arial" w:eastAsia="Arial" w:hAnsi="Arial"/>
        </w:rPr>
      </w:pPr>
      <w:bookmarkStart w:colFirst="0" w:colLast="0" w:name="_heading=h.3rdcrjn" w:id="11"/>
      <w:bookmarkEnd w:id="11"/>
      <w:r w:rsidDel="00000000" w:rsidR="00000000" w:rsidRPr="00000000">
        <w:rPr>
          <w:rFonts w:ascii="Arial" w:cs="Arial" w:eastAsia="Arial" w:hAnsi="Arial"/>
          <w:rtl w:val="0"/>
        </w:rPr>
        <w:t xml:space="preserve">4.2 UK Strategies to Achieve SDG 5 </w:t>
      </w:r>
    </w:p>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rtl w:val="0"/>
        </w:rPr>
        <w:t xml:space="preserve">The UK government has introduced several key strategies to implement SDG 5, with a specific focus on healthcare.</w:t>
      </w:r>
    </w:p>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b w:val="1"/>
          <w:rtl w:val="0"/>
        </w:rPr>
        <w:t xml:space="preserve">Gender Equality Strategy (GES):</w:t>
      </w:r>
      <w:r w:rsidDel="00000000" w:rsidR="00000000" w:rsidRPr="00000000">
        <w:rPr>
          <w:rFonts w:ascii="Arial" w:cs="Arial" w:eastAsia="Arial" w:hAnsi="Arial"/>
          <w:rtl w:val="0"/>
        </w:rPr>
        <w:t xml:space="preserve"> The Gender Equality Strategy is a broad intersectoral national plan of action devoted to the gendered changes in every sphere, including the sphere of healthcare (Unesco, 2020). It covers areas on enhancing access to and utilisation of health services by women, and also parities the rights of women with those of men as well as fight gender-based violence. The GES advocates for advocacy services for survivors of domestic violence and seeks to eliminate similar gaps in preventive care, including mammograms and physical exams. In doing so the strategy aims to reduce gender disparities in health outcomes (UK SDG, 2023).</w:t>
      </w:r>
    </w:p>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b w:val="1"/>
          <w:rtl w:val="0"/>
        </w:rPr>
        <w:t xml:space="preserve">Women’s Health Strategy:</w:t>
      </w:r>
      <w:r w:rsidDel="00000000" w:rsidR="00000000" w:rsidRPr="00000000">
        <w:rPr>
          <w:rFonts w:ascii="Arial" w:cs="Arial" w:eastAsia="Arial" w:hAnsi="Arial"/>
          <w:rtl w:val="0"/>
        </w:rPr>
        <w:t xml:space="preserve"> It targets conditions of specific health interest to women including reproductive health, menopause and mental health. This is also designed to make healthcare services specific to women that would focus on rights to contraceptives, abortion and mental health (Pereira et al., 2024). The Women’s Health Strategy also aims at enhancing the knowledge of women in health and enhancing the support of diseases that are prevalent among women like postpartum and breast cancer (Unesco, 2020).</w:t>
      </w:r>
    </w:p>
    <w:p w:rsidR="00000000" w:rsidDel="00000000" w:rsidP="00000000" w:rsidRDefault="00000000" w:rsidRPr="00000000" w14:paraId="00000055">
      <w:pPr>
        <w:pStyle w:val="Heading2"/>
        <w:rPr>
          <w:rFonts w:ascii="Arial" w:cs="Arial" w:eastAsia="Arial" w:hAnsi="Arial"/>
        </w:rPr>
      </w:pPr>
      <w:bookmarkStart w:colFirst="0" w:colLast="0" w:name="_heading=h.26in1rg" w:id="12"/>
      <w:bookmarkEnd w:id="12"/>
      <w:r w:rsidDel="00000000" w:rsidR="00000000" w:rsidRPr="00000000">
        <w:rPr>
          <w:rFonts w:ascii="Arial" w:cs="Arial" w:eastAsia="Arial" w:hAnsi="Arial"/>
          <w:rtl w:val="0"/>
        </w:rPr>
        <w:t xml:space="preserve">4.3 Critical Evaluation of the Strategies </w:t>
      </w:r>
    </w:p>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Both the Gender Equality Strategy (GES) and the Women’s Health Strategy have made notable contributions to addressing gender inequality in healthcare, but they face significant challenges in practice (UK SDG, 2023).</w:t>
      </w:r>
    </w:p>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The Gender Equality Strategy has managed to increase awareness about the need for women’s equal access to healthcare and decrease gender gaps in services like cancer testing (Hutchinson and Kovats, 2021). It has also made an effort to increase the provision of health services for survivors of GBV including both domestic abuse and sexual violence (Leach, 2019). However, even with these accomplishments in place, the GES fails to accord certain health needs, that are distinctive to genders, in a consistent manner across all the Health Care Sub-Sectors. A cross-sectional feminist analysis of mental health care reveals that funding for these services especially for women is inadequate (Eden and Wagstaff, 2020). </w:t>
      </w:r>
    </w:p>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In addition, sexual specificity in diagnosis and treatment has not been eradicated either. for instance,women are often misdiagnosed with conditions like heart disease because their symptoms can differ from those of men and are less easily recognised.(UK SDG, 2023). Such bias in the health sector makes the diagnosis of diseases in women late and therefore they get treated poorly. The GES recognises these problems but does not offer extensive training curricula that would prepare the staff of healthcare institutions for gender-sensitive approaches to their patients (Leach, 2019).</w:t>
      </w:r>
    </w:p>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rtl w:val="0"/>
        </w:rPr>
        <w:t xml:space="preserve">The Women’s Health Strategy is a friendly move to identify priority health concerns among women, including reproductive health, menopausal issues, and breast cancer. However, the strategy is short of resources through which it can be executed hence being a disadvantage (Eden and Wagstaff, 2020). For instance, despite the enhancement of access to contraceptives, many women continue to experience constraints in extremely long queues and restricted service delivery in specific areas. Furthermore, the issue of poor inclusion of women in clinical trials was also highlighted. Issues concerning women have for a long time been neglected by medical research due to its predominantly male staff. This lack of research prevents the creation of treatments that are actually appropriate for the female gender (UK SDG, 2023).</w:t>
      </w:r>
    </w:p>
    <w:p w:rsidR="00000000" w:rsidDel="00000000" w:rsidP="00000000" w:rsidRDefault="00000000" w:rsidRPr="00000000" w14:paraId="0000005A">
      <w:pPr>
        <w:pStyle w:val="Heading2"/>
        <w:rPr>
          <w:rFonts w:ascii="Arial" w:cs="Arial" w:eastAsia="Arial" w:hAnsi="Arial"/>
        </w:rPr>
      </w:pPr>
      <w:bookmarkStart w:colFirst="0" w:colLast="0" w:name="_heading=h.lnxbz9" w:id="13"/>
      <w:bookmarkEnd w:id="13"/>
      <w:r w:rsidDel="00000000" w:rsidR="00000000" w:rsidRPr="00000000">
        <w:rPr>
          <w:rFonts w:ascii="Arial" w:cs="Arial" w:eastAsia="Arial" w:hAnsi="Arial"/>
          <w:rtl w:val="0"/>
        </w:rPr>
        <w:t xml:space="preserve">4.4 Progress in Implementing SDG 5</w:t>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The UK has recorded various advances in gender ailments, health promotion, and maternal and reproductive services. This has enhanced the moment and postnatal care hence leading to reduced maternal mortality, and positive health for women and their newborn babies. Such services are routine checkups and non-pharmacological midwifery care, which offer education on maternal health with and after pregnancy (Henri Morel, 2021).</w:t>
      </w:r>
    </w:p>
    <w:p w:rsidR="00000000" w:rsidDel="00000000" w:rsidP="00000000" w:rsidRDefault="00000000" w:rsidRPr="00000000" w14:paraId="0000005C">
      <w:pPr>
        <w:rPr>
          <w:rFonts w:ascii="Arial" w:cs="Arial" w:eastAsia="Arial" w:hAnsi="Arial"/>
        </w:rPr>
      </w:pPr>
      <w:r w:rsidDel="00000000" w:rsidR="00000000" w:rsidRPr="00000000">
        <w:rPr>
          <w:rFonts w:ascii="Arial" w:cs="Arial" w:eastAsia="Arial" w:hAnsi="Arial"/>
          <w:rtl w:val="0"/>
        </w:rPr>
        <w:t xml:space="preserve">The UK has recorded various advances in gender ailments, health promotion, and maternal and reproductive services. This has enhanced the moment and postnatal care hence leading to reduced maternal mortality, and positive health for women and their newborn babies. Such services are routine checkups and non-pharmacological midwifery care, which offer education on maternal health with and after pregnancy (Henri Morel, 2021).</w:t>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There has also been some improvement in medical and psychological services for victims of gender based violence Such interventions lower the likelihood of developing various subsequent physical and mental health disorders-including PTSD and anxiety, according to Lima and Guedes (2024).</w:t>
      </w:r>
    </w:p>
    <w:p w:rsidR="00000000" w:rsidDel="00000000" w:rsidP="00000000" w:rsidRDefault="00000000" w:rsidRPr="00000000" w14:paraId="0000005E">
      <w:pPr>
        <w:rPr>
          <w:rFonts w:ascii="Arial" w:cs="Arial" w:eastAsia="Arial" w:hAnsi="Arial"/>
          <w:b w:val="1"/>
        </w:rPr>
      </w:pPr>
      <w:r w:rsidDel="00000000" w:rsidR="00000000" w:rsidRPr="00000000">
        <w:rPr>
          <w:rFonts w:ascii="Arial" w:cs="Arial" w:eastAsia="Arial" w:hAnsi="Arial"/>
          <w:rtl w:val="0"/>
        </w:rPr>
        <w:t xml:space="preserve">However, there are still significant differences according to gender and ethnicity, and women of an ethnic minority or low income often have difficulties with their medical care. Diabetes and heart disease remain poorly financed, and the care of mental health in women has many problems (Pandey &amp; Kumar, 2019).</w:t>
      </w:r>
      <w:r w:rsidDel="00000000" w:rsidR="00000000" w:rsidRPr="00000000">
        <w:rPr>
          <w:rtl w:val="0"/>
        </w:rPr>
      </w:r>
    </w:p>
    <w:p w:rsidR="00000000" w:rsidDel="00000000" w:rsidP="00000000" w:rsidRDefault="00000000" w:rsidRPr="00000000" w14:paraId="0000005F">
      <w:pPr>
        <w:pStyle w:val="Heading2"/>
        <w:rPr>
          <w:rFonts w:ascii="Arial" w:cs="Arial" w:eastAsia="Arial" w:hAnsi="Arial"/>
        </w:rPr>
      </w:pPr>
      <w:bookmarkStart w:colFirst="0" w:colLast="0" w:name="_heading=h.35nkun2" w:id="14"/>
      <w:bookmarkEnd w:id="14"/>
      <w:r w:rsidDel="00000000" w:rsidR="00000000" w:rsidRPr="00000000">
        <w:rPr>
          <w:rFonts w:ascii="Arial" w:cs="Arial" w:eastAsia="Arial" w:hAnsi="Arial"/>
          <w:rtl w:val="0"/>
        </w:rPr>
        <w:t xml:space="preserve">4.5 Impact on Health, Wellbeing, and Sustainable Development </w:t>
      </w:r>
    </w:p>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b w:val="1"/>
          <w:rtl w:val="0"/>
        </w:rPr>
        <w:t xml:space="preserve">Achieving SDG 5:</w:t>
      </w:r>
      <w:r w:rsidDel="00000000" w:rsidR="00000000" w:rsidRPr="00000000">
        <w:rPr>
          <w:rFonts w:ascii="Arial" w:cs="Arial" w:eastAsia="Arial" w:hAnsi="Arial"/>
          <w:rtl w:val="0"/>
        </w:rPr>
        <w:t xml:space="preserve"> Gender Equality is therefore very closely linked to health, well-being and sustainable Development. When women and girls can easily access the required health care services they are fresher and therefore the health of the entire nation is boosted. A healthy woman is a productive woman implying that improved health for women can enhance the overall function of the family and the community at large (Hutchinson and Kovats, 2020).</w:t>
      </w:r>
    </w:p>
    <w:p w:rsidR="00000000" w:rsidDel="00000000" w:rsidP="00000000" w:rsidRDefault="00000000" w:rsidRPr="00000000" w14:paraId="00000061">
      <w:pPr>
        <w:rPr>
          <w:rFonts w:ascii="Arial" w:cs="Arial" w:eastAsia="Arial" w:hAnsi="Arial"/>
        </w:rPr>
      </w:pPr>
      <w:r w:rsidDel="00000000" w:rsidR="00000000" w:rsidRPr="00000000">
        <w:rPr>
          <w:rFonts w:ascii="Arial" w:cs="Arial" w:eastAsia="Arial" w:hAnsi="Arial"/>
          <w:rtl w:val="0"/>
        </w:rPr>
        <w:t xml:space="preserve">Finally, when specifically targeting and tailoring the health policies related to sex requirements: reproductive health, mental disorders, and chronic illnesses predominant in women, the UK stands for a considerable improvement in public health. Gender equality in healthcare frees women to lead meaningful life and have a voice in society, essential for economic growth and change (Hutchinson and Kovats, 2021). This forms a virtuous cycle of well-being by improving the status of women and enabling education, employment and leadership within sustainable development (Leach, 2019).</w:t>
      </w:r>
    </w:p>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Further, the reduction of gender-based violence therapeutically is important in safeguarding women's health both physically and mentally. Get professional medical &amp; psychological assistance needed by the survivors to stand a better chance of leading a productive and healthy life as this contributes towards the development of strong societies (Hutchinson and Kovats, 2020).</w:t>
      </w:r>
    </w:p>
    <w:p w:rsidR="00000000" w:rsidDel="00000000" w:rsidP="00000000" w:rsidRDefault="00000000" w:rsidRPr="00000000" w14:paraId="00000063">
      <w:pPr>
        <w:pStyle w:val="Heading2"/>
        <w:rPr>
          <w:rFonts w:ascii="Arial" w:cs="Arial" w:eastAsia="Arial" w:hAnsi="Arial"/>
        </w:rPr>
      </w:pPr>
      <w:bookmarkStart w:colFirst="0" w:colLast="0" w:name="_heading=h.1ksv4uv" w:id="15"/>
      <w:bookmarkEnd w:id="15"/>
      <w:r w:rsidDel="00000000" w:rsidR="00000000" w:rsidRPr="00000000">
        <w:rPr>
          <w:rFonts w:ascii="Arial" w:cs="Arial" w:eastAsia="Arial" w:hAnsi="Arial"/>
          <w:rtl w:val="0"/>
        </w:rPr>
        <w:t xml:space="preserve">4.6 Challenges in Implementing SDG 5 </w:t>
      </w:r>
    </w:p>
    <w:p w:rsidR="00000000" w:rsidDel="00000000" w:rsidP="00000000" w:rsidRDefault="00000000" w:rsidRPr="00000000" w14:paraId="00000064">
      <w:pPr>
        <w:rPr>
          <w:rFonts w:ascii="Arial" w:cs="Arial" w:eastAsia="Arial" w:hAnsi="Arial"/>
        </w:rPr>
      </w:pPr>
      <w:r w:rsidDel="00000000" w:rsidR="00000000" w:rsidRPr="00000000">
        <w:rPr>
          <w:rFonts w:ascii="Arial" w:cs="Arial" w:eastAsia="Arial" w:hAnsi="Arial"/>
          <w:rtl w:val="0"/>
        </w:rPr>
        <w:t xml:space="preserve">Despite the progress made, several challenges continue to hinder the full implementation of SDG 5 in the UK’s healthcare system.</w:t>
      </w:r>
    </w:p>
    <w:p w:rsidR="00000000" w:rsidDel="00000000" w:rsidP="00000000" w:rsidRDefault="00000000" w:rsidRPr="00000000" w14:paraId="00000065">
      <w:pPr>
        <w:rPr>
          <w:rFonts w:ascii="Arial" w:cs="Arial" w:eastAsia="Arial" w:hAnsi="Arial"/>
          <w:b w:val="1"/>
        </w:rPr>
      </w:pPr>
      <w:r w:rsidDel="00000000" w:rsidR="00000000" w:rsidRPr="00000000">
        <w:rPr>
          <w:rFonts w:ascii="Arial" w:cs="Arial" w:eastAsia="Arial" w:hAnsi="Arial"/>
          <w:b w:val="1"/>
          <w:rtl w:val="0"/>
        </w:rPr>
        <w:t xml:space="preserve">Systemic Biases in Healthcare</w:t>
      </w:r>
    </w:p>
    <w:p w:rsidR="00000000" w:rsidDel="00000000" w:rsidP="00000000" w:rsidRDefault="00000000" w:rsidRPr="00000000" w14:paraId="00000066">
      <w:pPr>
        <w:rPr>
          <w:rFonts w:ascii="Arial" w:cs="Arial" w:eastAsia="Arial" w:hAnsi="Arial"/>
        </w:rPr>
      </w:pPr>
      <w:r w:rsidDel="00000000" w:rsidR="00000000" w:rsidRPr="00000000">
        <w:rPr>
          <w:rFonts w:ascii="Arial" w:cs="Arial" w:eastAsia="Arial" w:hAnsi="Arial"/>
          <w:rtl w:val="0"/>
        </w:rPr>
        <w:t xml:space="preserve">The first key issue that is particularly alarming is that gender biases characterise contemporary diagnostic and therapeutic strategies (Dyakova et al., 2020). Female’s signs and symptoms are frequently overlooked or attributed to other causes, especially those of cardiovascular disease and chronic pelvic pain diseases including endometriosis. This bias leads to diagnosis and treatment with less than optimum care necessary to improve women’s health (Barua, 2019).</w:t>
      </w:r>
    </w:p>
    <w:p w:rsidR="00000000" w:rsidDel="00000000" w:rsidP="00000000" w:rsidRDefault="00000000" w:rsidRPr="00000000" w14:paraId="00000067">
      <w:pPr>
        <w:rPr>
          <w:rFonts w:ascii="Arial" w:cs="Arial" w:eastAsia="Arial" w:hAnsi="Arial"/>
        </w:rPr>
      </w:pPr>
      <w:r w:rsidDel="00000000" w:rsidR="00000000" w:rsidRPr="00000000">
        <w:rPr>
          <w:rtl w:val="0"/>
        </w:rPr>
      </w:r>
    </w:p>
    <w:p w:rsidR="00000000" w:rsidDel="00000000" w:rsidP="00000000" w:rsidRDefault="00000000" w:rsidRPr="00000000" w14:paraId="00000068">
      <w:pPr>
        <w:rPr>
          <w:rFonts w:ascii="Arial" w:cs="Arial" w:eastAsia="Arial" w:hAnsi="Arial"/>
          <w:b w:val="1"/>
        </w:rPr>
      </w:pPr>
      <w:r w:rsidDel="00000000" w:rsidR="00000000" w:rsidRPr="00000000">
        <w:rPr>
          <w:rFonts w:ascii="Arial" w:cs="Arial" w:eastAsia="Arial" w:hAnsi="Arial"/>
          <w:b w:val="1"/>
          <w:rtl w:val="0"/>
        </w:rPr>
        <w:t xml:space="preserve">Intersectionality</w:t>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Intersectionality as a concept relates to the influences of social categories like gender, race, and class on experiences within the healthcare sector. Specifically, ethnically diverse women, women from a low-income background, or the general vulnerable groups experience differential access to healthcare and, in particular, longer waiting times for healthcare services, and lesser access to specialised healthcare services (Pereira et al., 2024). These intersectional barriers reveal the shortcomings of current health policies that rarely capture the complexity of minorities’ needs (Leach, 2019).</w:t>
      </w:r>
    </w:p>
    <w:p w:rsidR="00000000" w:rsidDel="00000000" w:rsidP="00000000" w:rsidRDefault="00000000" w:rsidRPr="00000000" w14:paraId="0000006A">
      <w:pPr>
        <w:rPr>
          <w:rFonts w:ascii="Arial" w:cs="Arial" w:eastAsia="Arial" w:hAnsi="Arial"/>
          <w:b w:val="1"/>
        </w:rPr>
      </w:pPr>
      <w:r w:rsidDel="00000000" w:rsidR="00000000" w:rsidRPr="00000000">
        <w:rPr>
          <w:rFonts w:ascii="Arial" w:cs="Arial" w:eastAsia="Arial" w:hAnsi="Arial"/>
          <w:b w:val="1"/>
          <w:rtl w:val="0"/>
        </w:rPr>
        <w:t xml:space="preserve">Resource Allocation</w:t>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Resource Allocation poses a major challenge in dealing with these disparities. Challenges to healthcare auspices include scarce resources, including gender-sensitive services such as mental and reproductive health care. While the Women’s Health Strategy outlines key objectives, insufficient financing results in long waits and unequal access between patients and regions (World, 2021). Due to limited financial resources, it is challenging to provide quality, gender-sensitive services to all women, including those struggling in society (Barua, 2019).</w:t>
      </w:r>
    </w:p>
    <w:p w:rsidR="00000000" w:rsidDel="00000000" w:rsidP="00000000" w:rsidRDefault="00000000" w:rsidRPr="00000000" w14:paraId="0000006C">
      <w:pPr>
        <w:rPr>
          <w:rFonts w:ascii="Arial" w:cs="Arial" w:eastAsia="Arial" w:hAnsi="Arial"/>
        </w:rPr>
      </w:pPr>
      <w:r w:rsidDel="00000000" w:rsidR="00000000" w:rsidRPr="00000000">
        <w:rPr>
          <w:rFonts w:ascii="Arial" w:cs="Arial" w:eastAsia="Arial" w:hAnsi="Arial"/>
          <w:rtl w:val="0"/>
        </w:rPr>
        <w:t xml:space="preserve">These are some of the causative factors that need policy and funding strategies in place, alongside efforts for eliminating predisposing factors within a framework of health care. Overcoming these barriers, the UK can continue the work on the advancement of SDG 5 to provide every woman and girl with necessary healthcare (Pandey and Kumar, 2019).</w:t>
      </w:r>
    </w:p>
    <w:p w:rsidR="00000000" w:rsidDel="00000000" w:rsidP="00000000" w:rsidRDefault="00000000" w:rsidRPr="00000000" w14:paraId="0000006D">
      <w:pPr>
        <w:pStyle w:val="Heading1"/>
        <w:rPr>
          <w:rFonts w:ascii="Arial" w:cs="Arial" w:eastAsia="Arial" w:hAnsi="Arial"/>
        </w:rPr>
      </w:pPr>
      <w:bookmarkStart w:colFirst="0" w:colLast="0" w:name="_heading=h.44sinio" w:id="16"/>
      <w:bookmarkEnd w:id="16"/>
      <w:r w:rsidDel="00000000" w:rsidR="00000000" w:rsidRPr="00000000">
        <w:rPr>
          <w:rFonts w:ascii="Arial" w:cs="Arial" w:eastAsia="Arial" w:hAnsi="Arial"/>
          <w:rtl w:val="0"/>
        </w:rPr>
        <w:t xml:space="preserve">5.0 Recommendations</w:t>
      </w:r>
    </w:p>
    <w:p w:rsidR="00000000" w:rsidDel="00000000" w:rsidP="00000000" w:rsidRDefault="00000000" w:rsidRPr="00000000" w14:paraId="0000006E">
      <w:pPr>
        <w:rPr>
          <w:rFonts w:ascii="Arial" w:cs="Arial" w:eastAsia="Arial" w:hAnsi="Arial"/>
        </w:rPr>
      </w:pPr>
      <w:r w:rsidDel="00000000" w:rsidR="00000000" w:rsidRPr="00000000">
        <w:rPr>
          <w:rFonts w:ascii="Arial" w:cs="Arial" w:eastAsia="Arial" w:hAnsi="Arial"/>
          <w:rtl w:val="0"/>
        </w:rPr>
        <w:t xml:space="preserve">In terms of the challenges that have been presented regarding the implementation of SDG 2 and SDG 5, there is a need to expand and further develop the Healthy Start Program. This can be done through more targeted education via local community centres and doctors’ offices, and through making the application process less cumbersome and/or online-based (Walker, 2019). However, practical difficulties like reaching some idle assets, and language barriers can considerably influence the outcomes of the process. idea assets refer to resources (financial, equipment, land, or human capital) that remain underused or unproductive. In healthcare, these can hinder efficiency, affecting outcomes due to poor utilisation or access (Dalby et al., 2019).</w:t>
      </w:r>
    </w:p>
    <w:p w:rsidR="00000000" w:rsidDel="00000000" w:rsidP="00000000" w:rsidRDefault="00000000" w:rsidRPr="00000000" w14:paraId="0000006F">
      <w:pPr>
        <w:rPr>
          <w:rFonts w:ascii="Arial" w:cs="Arial" w:eastAsia="Arial" w:hAnsi="Arial"/>
        </w:rPr>
      </w:pPr>
      <w:r w:rsidDel="00000000" w:rsidR="00000000" w:rsidRPr="00000000">
        <w:rPr>
          <w:rFonts w:ascii="Arial" w:cs="Arial" w:eastAsia="Arial" w:hAnsi="Arial"/>
          <w:rtl w:val="0"/>
        </w:rPr>
        <w:t xml:space="preserve">Enhancing food security policies is vital, ensuring access to healthy food and supporting sustainable agriculture. The Labour government’s introduction could positively impact these policies through increased public investment, prioritising food justice and sustainability. However, scarce funds and political patronage may stall progress, requiring careful navigation of fiscal constraints and cross-party support to implement these necessary policy adjustments (Barua, 2019).</w:t>
      </w:r>
    </w:p>
    <w:p w:rsidR="00000000" w:rsidDel="00000000" w:rsidP="00000000" w:rsidRDefault="00000000" w:rsidRPr="00000000" w14:paraId="00000070">
      <w:pPr>
        <w:rPr>
          <w:rFonts w:ascii="Arial" w:cs="Arial" w:eastAsia="Arial" w:hAnsi="Arial"/>
        </w:rPr>
      </w:pPr>
      <w:r w:rsidDel="00000000" w:rsidR="00000000" w:rsidRPr="00000000">
        <w:rPr>
          <w:rFonts w:ascii="Arial" w:cs="Arial" w:eastAsia="Arial" w:hAnsi="Arial"/>
          <w:rtl w:val="0"/>
        </w:rPr>
        <w:t xml:space="preserve">To improve gender-sensitive healthcare, it is advised to make the gender-sensitive care training of healthcare workers compulsory and provide more funding for women’s mental and reproductive health services (Walker, 2019). An issue here would be the time and costs that would be incurred in implementing such extensive training.</w:t>
      </w:r>
    </w:p>
    <w:p w:rsidR="00000000" w:rsidDel="00000000" w:rsidP="00000000" w:rsidRDefault="00000000" w:rsidRPr="00000000" w14:paraId="00000071">
      <w:pPr>
        <w:rPr>
          <w:rFonts w:ascii="Arial" w:cs="Arial" w:eastAsia="Arial" w:hAnsi="Arial"/>
        </w:rPr>
      </w:pPr>
      <w:r w:rsidDel="00000000" w:rsidR="00000000" w:rsidRPr="00000000">
        <w:rPr>
          <w:rFonts w:ascii="Arial" w:cs="Arial" w:eastAsia="Arial" w:hAnsi="Arial"/>
          <w:rtl w:val="0"/>
        </w:rPr>
        <w:t xml:space="preserve">Enhancing gender-disaggregated data collection can highlight care disparities, particularly for minority and low-income women. However, challenges include privacy concerns, high costs, and the inclusion of those who don’t identify with specific genders.</w:t>
      </w:r>
    </w:p>
    <w:p w:rsidR="00000000" w:rsidDel="00000000" w:rsidP="00000000" w:rsidRDefault="00000000" w:rsidRPr="00000000" w14:paraId="00000072">
      <w:pPr>
        <w:rPr>
          <w:rFonts w:ascii="Arial" w:cs="Arial" w:eastAsia="Arial" w:hAnsi="Arial"/>
          <w:b w:val="1"/>
        </w:rPr>
      </w:pPr>
      <w:r w:rsidDel="00000000" w:rsidR="00000000" w:rsidRPr="00000000">
        <w:rPr>
          <w:rFonts w:ascii="Arial" w:cs="Arial" w:eastAsia="Arial" w:hAnsi="Arial"/>
          <w:rtl w:val="0"/>
        </w:rPr>
        <w:t xml:space="preserve">Finally, increasing the focus on the allocation of resources in women’s health, especially in chronic illness and mental health could help enhance the results, but other priorities may reduce the budget for achieving these goals (Dalby et al., 2019).</w:t>
      </w:r>
      <w:r w:rsidDel="00000000" w:rsidR="00000000" w:rsidRPr="00000000">
        <w:rPr>
          <w:rtl w:val="0"/>
        </w:rPr>
      </w:r>
    </w:p>
    <w:p w:rsidR="00000000" w:rsidDel="00000000" w:rsidP="00000000" w:rsidRDefault="00000000" w:rsidRPr="00000000" w14:paraId="00000073">
      <w:pPr>
        <w:pStyle w:val="Heading1"/>
        <w:rPr>
          <w:rFonts w:ascii="Arial" w:cs="Arial" w:eastAsia="Arial" w:hAnsi="Arial"/>
        </w:rPr>
      </w:pPr>
      <w:bookmarkStart w:colFirst="0" w:colLast="0" w:name="_heading=h.2jxsxqh" w:id="17"/>
      <w:bookmarkEnd w:id="17"/>
      <w:r w:rsidDel="00000000" w:rsidR="00000000" w:rsidRPr="00000000">
        <w:rPr>
          <w:rFonts w:ascii="Arial" w:cs="Arial" w:eastAsia="Arial" w:hAnsi="Arial"/>
          <w:rtl w:val="0"/>
        </w:rPr>
        <w:t xml:space="preserve">6.0 Conclusion</w:t>
      </w:r>
    </w:p>
    <w:p w:rsidR="00000000" w:rsidDel="00000000" w:rsidP="00000000" w:rsidRDefault="00000000" w:rsidRPr="00000000" w14:paraId="00000074">
      <w:pPr>
        <w:rPr>
          <w:rFonts w:ascii="Arial" w:cs="Arial" w:eastAsia="Arial" w:hAnsi="Arial"/>
        </w:rPr>
      </w:pPr>
      <w:r w:rsidDel="00000000" w:rsidR="00000000" w:rsidRPr="00000000">
        <w:rPr>
          <w:rFonts w:ascii="Arial" w:cs="Arial" w:eastAsia="Arial" w:hAnsi="Arial"/>
          <w:rtl w:val="0"/>
        </w:rPr>
        <w:t xml:space="preserve">The UK has made notable progress in advancing SDG 2: Of these, only ‘Zero Hunger’ and SDG 5: Gender Equality are somewhat addressed but many barriers are still in place. Despite efforts to address the issue, food insecurity persists, and the need for food banks grows, as do the rates of malnutrition, especially among children. Even though there are programs such as the Healthy Start Program and the National Food Strategy, the challenge of exercising choice to obtain healthy food remains a reality for low-income earners. Measures needed to fill these gaps entail prevention that requires, therefore, shorter-term but sustainable strategies. Regarding SDG 5, both the Gender Equality Strategy and the Women’s Health Strategy have helped to close the gender gap in access to healthcare. new paragraph, evidence of gender bias in diagnosis, insufficient funding for women's mental health and minority groups, and exclusion and discrimination of such groups remain as evidence of existing inequality. Inequality in healthcare still persists with women from ethnic minorities and lower-income backgrounds particularly affected. In this way, the UK should continue to address these challenges through the implementation of policies and funding, as well as enhancing methods of spreading information regarding the goals of SDG 2 and SDG 5. These measures alongside various structural changes will contribute to the enhancement of health standards, equality of women and minorities, and general well-being of the most susceptible groups of people.</w:t>
      </w:r>
    </w:p>
    <w:p w:rsidR="00000000" w:rsidDel="00000000" w:rsidP="00000000" w:rsidRDefault="00000000" w:rsidRPr="00000000" w14:paraId="00000075">
      <w:pPr>
        <w:spacing w:line="259" w:lineRule="auto"/>
        <w:jc w:val="left"/>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76">
      <w:pPr>
        <w:pStyle w:val="Heading1"/>
        <w:rPr>
          <w:rFonts w:ascii="Arial" w:cs="Arial" w:eastAsia="Arial" w:hAnsi="Arial"/>
        </w:rPr>
      </w:pPr>
      <w:bookmarkStart w:colFirst="0" w:colLast="0" w:name="_heading=h.z337ya" w:id="18"/>
      <w:bookmarkEnd w:id="18"/>
      <w:r w:rsidDel="00000000" w:rsidR="00000000" w:rsidRPr="00000000">
        <w:rPr>
          <w:rFonts w:ascii="Arial" w:cs="Arial" w:eastAsia="Arial" w:hAnsi="Arial"/>
          <w:rtl w:val="0"/>
        </w:rPr>
        <w:t xml:space="preserve">References</w:t>
      </w:r>
    </w:p>
    <w:p w:rsidR="00000000" w:rsidDel="00000000" w:rsidP="00000000" w:rsidRDefault="00000000" w:rsidRPr="00000000" w14:paraId="00000077">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Azul, A.M., Brandli, L., Özuyar, P.G., Wall, T. and Filho, W.L. eds., (2019). </w:t>
      </w:r>
      <w:r w:rsidDel="00000000" w:rsidR="00000000" w:rsidRPr="00000000">
        <w:rPr>
          <w:rFonts w:ascii="Arial" w:cs="Arial" w:eastAsia="Arial" w:hAnsi="Arial"/>
          <w:i w:val="1"/>
          <w:color w:val="000000"/>
          <w:rtl w:val="0"/>
        </w:rPr>
        <w:t xml:space="preserve">Zero Hunger.</w:t>
      </w:r>
      <w:r w:rsidDel="00000000" w:rsidR="00000000" w:rsidRPr="00000000">
        <w:rPr>
          <w:rFonts w:ascii="Arial" w:cs="Arial" w:eastAsia="Arial" w:hAnsi="Arial"/>
          <w:color w:val="000000"/>
          <w:rtl w:val="0"/>
        </w:rPr>
        <w:t xml:space="preserve"> Springer International Publishing.</w:t>
      </w:r>
    </w:p>
    <w:p w:rsidR="00000000" w:rsidDel="00000000" w:rsidP="00000000" w:rsidRDefault="00000000" w:rsidRPr="00000000" w14:paraId="00000078">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Barua, S. (2019). Financing sustainable development goals: A review of challenges and mitigation strategies. </w:t>
      </w:r>
      <w:r w:rsidDel="00000000" w:rsidR="00000000" w:rsidRPr="00000000">
        <w:rPr>
          <w:rFonts w:ascii="Arial" w:cs="Arial" w:eastAsia="Arial" w:hAnsi="Arial"/>
          <w:i w:val="1"/>
          <w:color w:val="000000"/>
          <w:rtl w:val="0"/>
        </w:rPr>
        <w:t xml:space="preserve">BUSINESS STRATEGY &amp; DEVELOPMENT</w:t>
      </w:r>
      <w:r w:rsidDel="00000000" w:rsidR="00000000" w:rsidRPr="00000000">
        <w:rPr>
          <w:rFonts w:ascii="Arial" w:cs="Arial" w:eastAsia="Arial" w:hAnsi="Arial"/>
          <w:color w:val="000000"/>
          <w:rtl w:val="0"/>
        </w:rPr>
        <w:t xml:space="preserve">, 3(3). doi:https://doi.org/10.1002/bsd2.94.</w:t>
      </w:r>
    </w:p>
    <w:p w:rsidR="00000000" w:rsidDel="00000000" w:rsidP="00000000" w:rsidRDefault="00000000" w:rsidRPr="00000000" w14:paraId="00000079">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Bond. (2022). </w:t>
      </w:r>
      <w:r w:rsidDel="00000000" w:rsidR="00000000" w:rsidRPr="00000000">
        <w:rPr>
          <w:rFonts w:ascii="Arial" w:cs="Arial" w:eastAsia="Arial" w:hAnsi="Arial"/>
          <w:i w:val="1"/>
          <w:color w:val="000000"/>
          <w:rtl w:val="0"/>
        </w:rPr>
        <w:t xml:space="preserve">SDG 2: Progress, gaps and recommendations for the UK</w:t>
      </w:r>
      <w:r w:rsidDel="00000000" w:rsidR="00000000" w:rsidRPr="00000000">
        <w:rPr>
          <w:rFonts w:ascii="Arial" w:cs="Arial" w:eastAsia="Arial" w:hAnsi="Arial"/>
          <w:color w:val="000000"/>
          <w:rtl w:val="0"/>
        </w:rPr>
        <w:t xml:space="preserve">. [online] Available at: https://www.bond.org.uk/wp-content/uploads/2022/08/bond_sdgsreport2022_sdg2_final.pdf [Accessed 2024].</w:t>
      </w:r>
    </w:p>
    <w:p w:rsidR="00000000" w:rsidDel="00000000" w:rsidP="00000000" w:rsidRDefault="00000000" w:rsidRPr="00000000" w14:paraId="0000007A">
      <w:pPr>
        <w:spacing w:after="280" w:before="280" w:lineRule="auto"/>
        <w:rPr>
          <w:rFonts w:ascii="Arial" w:cs="Arial" w:eastAsia="Arial" w:hAnsi="Arial"/>
          <w:color w:val="000000"/>
        </w:rPr>
      </w:pPr>
      <w:r w:rsidDel="00000000" w:rsidR="00000000" w:rsidRPr="00000000">
        <w:rPr>
          <w:rFonts w:ascii="Arial" w:cs="Arial" w:eastAsia="Arial" w:hAnsi="Arial"/>
          <w:color w:val="000000"/>
          <w:rtl w:val="0"/>
        </w:rPr>
        <w:t xml:space="preserve">Cheo, A.E. and Tapiwa, K.A. (2021) </w:t>
      </w:r>
      <w:r w:rsidDel="00000000" w:rsidR="00000000" w:rsidRPr="00000000">
        <w:rPr>
          <w:rFonts w:ascii="Arial" w:cs="Arial" w:eastAsia="Arial" w:hAnsi="Arial"/>
          <w:i w:val="1"/>
          <w:color w:val="000000"/>
          <w:rtl w:val="0"/>
        </w:rPr>
        <w:t xml:space="preserve">SDG2 - zero hunger: Food security, improved nutrition and sustainable agriculture</w:t>
      </w:r>
      <w:r w:rsidDel="00000000" w:rsidR="00000000" w:rsidRPr="00000000">
        <w:rPr>
          <w:rFonts w:ascii="Arial" w:cs="Arial" w:eastAsia="Arial" w:hAnsi="Arial"/>
          <w:color w:val="000000"/>
          <w:rtl w:val="0"/>
        </w:rPr>
        <w:t xml:space="preserve">. Bingley, England: Emerald Publishing.</w:t>
      </w:r>
    </w:p>
    <w:p w:rsidR="00000000" w:rsidDel="00000000" w:rsidP="00000000" w:rsidRDefault="00000000" w:rsidRPr="00000000" w14:paraId="0000007B">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Cripps, K. and Pariyarath Sangeetha Thondre (2024). </w:t>
      </w:r>
      <w:r w:rsidDel="00000000" w:rsidR="00000000" w:rsidRPr="00000000">
        <w:rPr>
          <w:rFonts w:ascii="Arial" w:cs="Arial" w:eastAsia="Arial" w:hAnsi="Arial"/>
          <w:i w:val="1"/>
          <w:color w:val="000000"/>
          <w:rtl w:val="0"/>
        </w:rPr>
        <w:t xml:space="preserve">Higher Education and SDG2</w:t>
      </w:r>
      <w:r w:rsidDel="00000000" w:rsidR="00000000" w:rsidRPr="00000000">
        <w:rPr>
          <w:rFonts w:ascii="Arial" w:cs="Arial" w:eastAsia="Arial" w:hAnsi="Arial"/>
          <w:color w:val="000000"/>
          <w:rtl w:val="0"/>
        </w:rPr>
        <w:t xml:space="preserve">. Emerald Group Publishing.</w:t>
      </w:r>
    </w:p>
    <w:p w:rsidR="00000000" w:rsidDel="00000000" w:rsidP="00000000" w:rsidRDefault="00000000" w:rsidRPr="00000000" w14:paraId="0000007C">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Dalby, S., Horton, S., Mahon, R. and Thomaz, D. (2019). </w:t>
      </w:r>
      <w:r w:rsidDel="00000000" w:rsidR="00000000" w:rsidRPr="00000000">
        <w:rPr>
          <w:rFonts w:ascii="Arial" w:cs="Arial" w:eastAsia="Arial" w:hAnsi="Arial"/>
          <w:i w:val="1"/>
          <w:color w:val="000000"/>
          <w:rtl w:val="0"/>
        </w:rPr>
        <w:t xml:space="preserve">Achieving the Sustainable Development Goals</w:t>
      </w:r>
      <w:r w:rsidDel="00000000" w:rsidR="00000000" w:rsidRPr="00000000">
        <w:rPr>
          <w:rFonts w:ascii="Arial" w:cs="Arial" w:eastAsia="Arial" w:hAnsi="Arial"/>
          <w:color w:val="000000"/>
          <w:rtl w:val="0"/>
        </w:rPr>
        <w:t xml:space="preserve">. Routledge.</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Dyakova, M., World Health Organization. Regional Office For Europe and Health Evidence Network (2020).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Investment for health and well-being : a review of the social return on investment from public health policies to support implementing the Sustainable Development Goals by building on Health 2020</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Copenhagen, Denmark: World Health Organization Regional Office For Europe.</w:t>
      </w:r>
    </w:p>
    <w:p w:rsidR="00000000" w:rsidDel="00000000" w:rsidP="00000000" w:rsidRDefault="00000000" w:rsidRPr="00000000" w14:paraId="0000007E">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Eden, L. and Wagstaff, M.F. (2020). Evidence-based policymaking and the wicked problem of SDG 5 Gender Equality. </w:t>
      </w:r>
      <w:r w:rsidDel="00000000" w:rsidR="00000000" w:rsidRPr="00000000">
        <w:rPr>
          <w:rFonts w:ascii="Arial" w:cs="Arial" w:eastAsia="Arial" w:hAnsi="Arial"/>
          <w:i w:val="1"/>
          <w:color w:val="000000"/>
          <w:rtl w:val="0"/>
        </w:rPr>
        <w:t xml:space="preserve">Journal of International Business Policy</w:t>
      </w:r>
      <w:r w:rsidDel="00000000" w:rsidR="00000000" w:rsidRPr="00000000">
        <w:rPr>
          <w:rFonts w:ascii="Arial" w:cs="Arial" w:eastAsia="Arial" w:hAnsi="Arial"/>
          <w:color w:val="000000"/>
          <w:rtl w:val="0"/>
        </w:rPr>
        <w:t xml:space="preserve">, 4(4). doi:https://doi.org/10.1057/s42214-020-00054-w.</w:t>
      </w:r>
    </w:p>
    <w:p w:rsidR="00000000" w:rsidDel="00000000" w:rsidP="00000000" w:rsidRDefault="00000000" w:rsidRPr="00000000" w14:paraId="0000007F">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Fang, J., Tang, S., Tan, X. and Tolhurst, R. (2020). Achieving SDG related sexual and reproductive health targets in China: what are appropriate indicators and how we interpret them? </w:t>
      </w:r>
      <w:r w:rsidDel="00000000" w:rsidR="00000000" w:rsidRPr="00000000">
        <w:rPr>
          <w:rFonts w:ascii="Arial" w:cs="Arial" w:eastAsia="Arial" w:hAnsi="Arial"/>
          <w:i w:val="1"/>
          <w:color w:val="000000"/>
          <w:rtl w:val="0"/>
        </w:rPr>
        <w:t xml:space="preserve">Reproductive Health</w:t>
      </w:r>
      <w:r w:rsidDel="00000000" w:rsidR="00000000" w:rsidRPr="00000000">
        <w:rPr>
          <w:rFonts w:ascii="Arial" w:cs="Arial" w:eastAsia="Arial" w:hAnsi="Arial"/>
          <w:color w:val="000000"/>
          <w:rtl w:val="0"/>
        </w:rPr>
        <w:t xml:space="preserve">, 17(1). doi:https://doi.org/10.1186/s12978-020-00924-9.</w:t>
      </w:r>
    </w:p>
    <w:p w:rsidR="00000000" w:rsidDel="00000000" w:rsidP="00000000" w:rsidRDefault="00000000" w:rsidRPr="00000000" w14:paraId="00000080">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Furey, S. (2020). Food Poverty: Zero Hunger and the Right to Food. </w:t>
      </w:r>
      <w:r w:rsidDel="00000000" w:rsidR="00000000" w:rsidRPr="00000000">
        <w:rPr>
          <w:rFonts w:ascii="Arial" w:cs="Arial" w:eastAsia="Arial" w:hAnsi="Arial"/>
          <w:i w:val="1"/>
          <w:color w:val="000000"/>
          <w:rtl w:val="0"/>
        </w:rPr>
        <w:t xml:space="preserve">Encyclopedia of the UN Sustainable Development Goals</w:t>
      </w:r>
      <w:r w:rsidDel="00000000" w:rsidR="00000000" w:rsidRPr="00000000">
        <w:rPr>
          <w:rFonts w:ascii="Arial" w:cs="Arial" w:eastAsia="Arial" w:hAnsi="Arial"/>
          <w:color w:val="000000"/>
          <w:rtl w:val="0"/>
        </w:rPr>
        <w:t xml:space="preserve">, pp.329–338. doi:https://doi.org/10.1007/978-3-319-95675-6_115.</w:t>
      </w:r>
    </w:p>
    <w:p w:rsidR="00000000" w:rsidDel="00000000" w:rsidP="00000000" w:rsidRDefault="00000000" w:rsidRPr="00000000" w14:paraId="00000081">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Godwell Nhamo, Chikodzi, D. and Dube, K. (2022). </w:t>
      </w:r>
      <w:r w:rsidDel="00000000" w:rsidR="00000000" w:rsidRPr="00000000">
        <w:rPr>
          <w:rFonts w:ascii="Arial" w:cs="Arial" w:eastAsia="Arial" w:hAnsi="Arial"/>
          <w:i w:val="1"/>
          <w:color w:val="000000"/>
          <w:rtl w:val="0"/>
        </w:rPr>
        <w:t xml:space="preserve">Sustainable Development Goals for Society Vol. 2</w:t>
      </w:r>
      <w:r w:rsidDel="00000000" w:rsidR="00000000" w:rsidRPr="00000000">
        <w:rPr>
          <w:rFonts w:ascii="Arial" w:cs="Arial" w:eastAsia="Arial" w:hAnsi="Arial"/>
          <w:color w:val="000000"/>
          <w:rtl w:val="0"/>
        </w:rPr>
        <w:t xml:space="preserve">. Springer.</w:t>
      </w:r>
    </w:p>
    <w:p w:rsidR="00000000" w:rsidDel="00000000" w:rsidP="00000000" w:rsidRDefault="00000000" w:rsidRPr="00000000" w14:paraId="00000082">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Grosso, G., Mateo, A., Rangelov, N., Buzeti, T. and Birt, C. (2020). Nutrition in the Context of the Sustainable Development Goals. </w:t>
      </w:r>
      <w:r w:rsidDel="00000000" w:rsidR="00000000" w:rsidRPr="00000000">
        <w:rPr>
          <w:rFonts w:ascii="Arial" w:cs="Arial" w:eastAsia="Arial" w:hAnsi="Arial"/>
          <w:i w:val="1"/>
          <w:color w:val="000000"/>
          <w:rtl w:val="0"/>
        </w:rPr>
        <w:t xml:space="preserve">European Journal of Public Health</w:t>
      </w:r>
      <w:r w:rsidDel="00000000" w:rsidR="00000000" w:rsidRPr="00000000">
        <w:rPr>
          <w:rFonts w:ascii="Arial" w:cs="Arial" w:eastAsia="Arial" w:hAnsi="Arial"/>
          <w:color w:val="000000"/>
          <w:rtl w:val="0"/>
        </w:rPr>
        <w:t xml:space="preserve">, [online] 30(Supplement_1), pp.i19–i23. doi:https://doi.org/10.1093/eurpub/ckaa034.</w:t>
      </w:r>
    </w:p>
    <w:p w:rsidR="00000000" w:rsidDel="00000000" w:rsidP="00000000" w:rsidRDefault="00000000" w:rsidRPr="00000000" w14:paraId="00000083">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Henri Morel (2021). </w:t>
      </w:r>
      <w:r w:rsidDel="00000000" w:rsidR="00000000" w:rsidRPr="00000000">
        <w:rPr>
          <w:rFonts w:ascii="Arial" w:cs="Arial" w:eastAsia="Arial" w:hAnsi="Arial"/>
          <w:i w:val="1"/>
          <w:color w:val="000000"/>
          <w:rtl w:val="0"/>
        </w:rPr>
        <w:t xml:space="preserve">Gender Equality</w:t>
      </w:r>
      <w:r w:rsidDel="00000000" w:rsidR="00000000" w:rsidRPr="00000000">
        <w:rPr>
          <w:rFonts w:ascii="Arial" w:cs="Arial" w:eastAsia="Arial" w:hAnsi="Arial"/>
          <w:color w:val="000000"/>
          <w:rtl w:val="0"/>
        </w:rPr>
        <w:t xml:space="preserve">. Nova Science Publishers.</w:t>
      </w:r>
    </w:p>
    <w:p w:rsidR="00000000" w:rsidDel="00000000" w:rsidP="00000000" w:rsidRDefault="00000000" w:rsidRPr="00000000" w14:paraId="00000084">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Hutchinson, E. and Kovats, S. (2020). </w:t>
      </w:r>
      <w:r w:rsidDel="00000000" w:rsidR="00000000" w:rsidRPr="00000000">
        <w:rPr>
          <w:rFonts w:ascii="Arial" w:cs="Arial" w:eastAsia="Arial" w:hAnsi="Arial"/>
          <w:i w:val="1"/>
          <w:color w:val="000000"/>
          <w:rtl w:val="0"/>
        </w:rPr>
        <w:t xml:space="preserve">Environment, health and sustainable development</w:t>
      </w:r>
      <w:r w:rsidDel="00000000" w:rsidR="00000000" w:rsidRPr="00000000">
        <w:rPr>
          <w:rFonts w:ascii="Arial" w:cs="Arial" w:eastAsia="Arial" w:hAnsi="Arial"/>
          <w:color w:val="000000"/>
          <w:rtl w:val="0"/>
        </w:rPr>
        <w:t xml:space="preserve">. London: Open Univ Press.</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Hutchinson, E. and Kovats, S. (2021). </w:t>
      </w:r>
      <w:r w:rsidDel="00000000" w:rsidR="00000000" w:rsidRPr="00000000">
        <w:rPr>
          <w:rFonts w:ascii="Arial" w:cs="Arial" w:eastAsia="Arial" w:hAnsi="Arial"/>
          <w:b w:val="0"/>
          <w:i w:val="1"/>
          <w:smallCaps w:val="0"/>
          <w:strike w:val="0"/>
          <w:color w:val="000000"/>
          <w:sz w:val="24"/>
          <w:szCs w:val="24"/>
          <w:u w:val="none"/>
          <w:shd w:fill="auto" w:val="clear"/>
          <w:vertAlign w:val="baseline"/>
          <w:rtl w:val="0"/>
        </w:rPr>
        <w:t xml:space="preserve">Environment, health and sustainable development</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London: Open Univ Press.</w:t>
      </w:r>
    </w:p>
    <w:p w:rsidR="00000000" w:rsidDel="00000000" w:rsidP="00000000" w:rsidRDefault="00000000" w:rsidRPr="00000000" w14:paraId="00000086">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Leach, M. (2019). </w:t>
      </w:r>
      <w:r w:rsidDel="00000000" w:rsidR="00000000" w:rsidRPr="00000000">
        <w:rPr>
          <w:rFonts w:ascii="Arial" w:cs="Arial" w:eastAsia="Arial" w:hAnsi="Arial"/>
          <w:i w:val="1"/>
          <w:color w:val="000000"/>
          <w:rtl w:val="0"/>
        </w:rPr>
        <w:t xml:space="preserve">Gender Equality and Sustainable Development</w:t>
      </w:r>
      <w:r w:rsidDel="00000000" w:rsidR="00000000" w:rsidRPr="00000000">
        <w:rPr>
          <w:rFonts w:ascii="Arial" w:cs="Arial" w:eastAsia="Arial" w:hAnsi="Arial"/>
          <w:color w:val="000000"/>
          <w:rtl w:val="0"/>
        </w:rPr>
        <w:t xml:space="preserve">. Routledge.</w:t>
      </w:r>
    </w:p>
    <w:p w:rsidR="00000000" w:rsidDel="00000000" w:rsidP="00000000" w:rsidRDefault="00000000" w:rsidRPr="00000000" w14:paraId="00000087">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Lima, R. and Guedes, G. (2024). Sustainable Development Goals and Gender Equality: A Social Design Approach on Gender-Based Violence. </w:t>
      </w:r>
      <w:r w:rsidDel="00000000" w:rsidR="00000000" w:rsidRPr="00000000">
        <w:rPr>
          <w:rFonts w:ascii="Arial" w:cs="Arial" w:eastAsia="Arial" w:hAnsi="Arial"/>
          <w:i w:val="1"/>
          <w:color w:val="000000"/>
          <w:rtl w:val="0"/>
        </w:rPr>
        <w:t xml:space="preserve">Sustainability</w:t>
      </w:r>
      <w:r w:rsidDel="00000000" w:rsidR="00000000" w:rsidRPr="00000000">
        <w:rPr>
          <w:rFonts w:ascii="Arial" w:cs="Arial" w:eastAsia="Arial" w:hAnsi="Arial"/>
          <w:color w:val="000000"/>
          <w:rtl w:val="0"/>
        </w:rPr>
        <w:t xml:space="preserve">, 16(2), pp.914–914. doi:https://doi.org/10.3390/su16020914.</w:t>
      </w:r>
    </w:p>
    <w:p w:rsidR="00000000" w:rsidDel="00000000" w:rsidP="00000000" w:rsidRDefault="00000000" w:rsidRPr="00000000" w14:paraId="00000088">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Morse, T. (2022). </w:t>
      </w:r>
      <w:r w:rsidDel="00000000" w:rsidR="00000000" w:rsidRPr="00000000">
        <w:rPr>
          <w:rFonts w:ascii="Arial" w:cs="Arial" w:eastAsia="Arial" w:hAnsi="Arial"/>
          <w:i w:val="1"/>
          <w:color w:val="000000"/>
          <w:rtl w:val="0"/>
        </w:rPr>
        <w:t xml:space="preserve">Good health and well-being</w:t>
      </w:r>
      <w:r w:rsidDel="00000000" w:rsidR="00000000" w:rsidRPr="00000000">
        <w:rPr>
          <w:rFonts w:ascii="Arial" w:cs="Arial" w:eastAsia="Arial" w:hAnsi="Arial"/>
          <w:color w:val="000000"/>
          <w:rtl w:val="0"/>
        </w:rPr>
        <w:t xml:space="preserve">. [online] strathprints.strath.ac.uk. Available at: https://strathprints.strath.ac.uk/83075/.</w:t>
      </w:r>
    </w:p>
    <w:p w:rsidR="00000000" w:rsidDel="00000000" w:rsidP="00000000" w:rsidRDefault="00000000" w:rsidRPr="00000000" w14:paraId="00000089">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Otekunrin, O.A. (2023). Countdown to the 2030 Global Goals: A Bibliometric Analysis of Research Trends on SDG 2 – Zero Hunger. </w:t>
      </w:r>
      <w:r w:rsidDel="00000000" w:rsidR="00000000" w:rsidRPr="00000000">
        <w:rPr>
          <w:rFonts w:ascii="Arial" w:cs="Arial" w:eastAsia="Arial" w:hAnsi="Arial"/>
          <w:i w:val="1"/>
          <w:color w:val="000000"/>
          <w:rtl w:val="0"/>
        </w:rPr>
        <w:t xml:space="preserve">Current Research in Nutrition and Food Science Journal</w:t>
      </w:r>
      <w:r w:rsidDel="00000000" w:rsidR="00000000" w:rsidRPr="00000000">
        <w:rPr>
          <w:rFonts w:ascii="Arial" w:cs="Arial" w:eastAsia="Arial" w:hAnsi="Arial"/>
          <w:color w:val="000000"/>
          <w:rtl w:val="0"/>
        </w:rPr>
        <w:t xml:space="preserve">, [online] 11(3), pp.1338–1362. Available at: https://www.foodandnutritionjournal.org/volume11number3/countdown-to-the-2030-global-goals-a-bibliometric-analysis-of-research-trends-on-sdg-2-zero-hunger/.</w:t>
      </w:r>
    </w:p>
    <w:p w:rsidR="00000000" w:rsidDel="00000000" w:rsidP="00000000" w:rsidRDefault="00000000" w:rsidRPr="00000000" w14:paraId="0000008A">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Pandey, U.C. and Kumar, C. (2019). </w:t>
      </w:r>
      <w:r w:rsidDel="00000000" w:rsidR="00000000" w:rsidRPr="00000000">
        <w:rPr>
          <w:rFonts w:ascii="Arial" w:cs="Arial" w:eastAsia="Arial" w:hAnsi="Arial"/>
          <w:i w:val="1"/>
          <w:color w:val="000000"/>
          <w:rtl w:val="0"/>
        </w:rPr>
        <w:t xml:space="preserve">SDG5 - Gender Equality and Empowerment of Women and Girls</w:t>
      </w:r>
      <w:r w:rsidDel="00000000" w:rsidR="00000000" w:rsidRPr="00000000">
        <w:rPr>
          <w:rFonts w:ascii="Arial" w:cs="Arial" w:eastAsia="Arial" w:hAnsi="Arial"/>
          <w:color w:val="000000"/>
          <w:rtl w:val="0"/>
        </w:rPr>
        <w:t xml:space="preserve">. Emerald Group Publishing.</w:t>
      </w:r>
    </w:p>
    <w:p w:rsidR="00000000" w:rsidDel="00000000" w:rsidP="00000000" w:rsidRDefault="00000000" w:rsidRPr="00000000" w14:paraId="0000008B">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Pereira, E.G., Muinzer, T.L. and Baker, P.R. (2024). </w:t>
      </w:r>
      <w:r w:rsidDel="00000000" w:rsidR="00000000" w:rsidRPr="00000000">
        <w:rPr>
          <w:rFonts w:ascii="Arial" w:cs="Arial" w:eastAsia="Arial" w:hAnsi="Arial"/>
          <w:i w:val="1"/>
          <w:color w:val="000000"/>
          <w:rtl w:val="0"/>
        </w:rPr>
        <w:t xml:space="preserve">Energy Law and the Sustainable Development Goals</w:t>
      </w:r>
      <w:r w:rsidDel="00000000" w:rsidR="00000000" w:rsidRPr="00000000">
        <w:rPr>
          <w:rFonts w:ascii="Arial" w:cs="Arial" w:eastAsia="Arial" w:hAnsi="Arial"/>
          <w:color w:val="000000"/>
          <w:rtl w:val="0"/>
        </w:rPr>
        <w:t xml:space="preserve">. Taylor &amp; Francis.</w:t>
      </w:r>
    </w:p>
    <w:p w:rsidR="00000000" w:rsidDel="00000000" w:rsidP="00000000" w:rsidRDefault="00000000" w:rsidRPr="00000000" w14:paraId="0000008C">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Ramzani, S.R., Gharleghi, B., Horam, P. and Tarek, S. (2022). </w:t>
      </w:r>
      <w:r w:rsidDel="00000000" w:rsidR="00000000" w:rsidRPr="00000000">
        <w:rPr>
          <w:rFonts w:ascii="Arial" w:cs="Arial" w:eastAsia="Arial" w:hAnsi="Arial"/>
          <w:i w:val="1"/>
          <w:color w:val="000000"/>
          <w:rtl w:val="0"/>
        </w:rPr>
        <w:t xml:space="preserve">How the UK is performing on the Sustainable Development Goals</w:t>
      </w:r>
      <w:r w:rsidDel="00000000" w:rsidR="00000000" w:rsidRPr="00000000">
        <w:rPr>
          <w:rFonts w:ascii="Arial" w:cs="Arial" w:eastAsia="Arial" w:hAnsi="Arial"/>
          <w:color w:val="000000"/>
          <w:rtl w:val="0"/>
        </w:rPr>
        <w:t xml:space="preserve">. [online] ResearchGate. Available at: https://www.researchgate.net/publication/365776394_How_the_UK_is_performing_on_the_Sustainable_Development_Goals [Accessed 8 Oct. 2024].</w:t>
      </w:r>
    </w:p>
    <w:p w:rsidR="00000000" w:rsidDel="00000000" w:rsidP="00000000" w:rsidRDefault="00000000" w:rsidRPr="00000000" w14:paraId="0000008D">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Thapa Karki, S., Bennett, A.C.T. and Mishra, J.L. (2020). Reducing food waste and food insecurity in the UK: The architecture of surplus food distribution supply chain in addressing the sustainable development goals (Goal 2 and Goal 12.3) at a city level. </w:t>
      </w:r>
      <w:r w:rsidDel="00000000" w:rsidR="00000000" w:rsidRPr="00000000">
        <w:rPr>
          <w:rFonts w:ascii="Arial" w:cs="Arial" w:eastAsia="Arial" w:hAnsi="Arial"/>
          <w:i w:val="1"/>
          <w:color w:val="000000"/>
          <w:rtl w:val="0"/>
        </w:rPr>
        <w:t xml:space="preserve">Industrial Marketing Management</w:t>
      </w:r>
      <w:r w:rsidDel="00000000" w:rsidR="00000000" w:rsidRPr="00000000">
        <w:rPr>
          <w:rFonts w:ascii="Arial" w:cs="Arial" w:eastAsia="Arial" w:hAnsi="Arial"/>
          <w:color w:val="000000"/>
          <w:rtl w:val="0"/>
        </w:rPr>
        <w:t xml:space="preserve">, [online] 93. doi:https://doi.org/10.1016/j.indmarman.2020.09.019.</w:t>
      </w:r>
    </w:p>
    <w:p w:rsidR="00000000" w:rsidDel="00000000" w:rsidP="00000000" w:rsidRDefault="00000000" w:rsidRPr="00000000" w14:paraId="0000008E">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UK Parliament. (2023). </w:t>
      </w:r>
      <w:r w:rsidDel="00000000" w:rsidR="00000000" w:rsidRPr="00000000">
        <w:rPr>
          <w:rFonts w:ascii="Arial" w:cs="Arial" w:eastAsia="Arial" w:hAnsi="Arial"/>
          <w:i w:val="1"/>
          <w:color w:val="000000"/>
          <w:rtl w:val="0"/>
        </w:rPr>
        <w:t xml:space="preserve">The UK Government’s work on achieving SDG2: Zero Hunger - Committees - UK Parliament</w:t>
      </w:r>
      <w:r w:rsidDel="00000000" w:rsidR="00000000" w:rsidRPr="00000000">
        <w:rPr>
          <w:rFonts w:ascii="Arial" w:cs="Arial" w:eastAsia="Arial" w:hAnsi="Arial"/>
          <w:color w:val="000000"/>
          <w:rtl w:val="0"/>
        </w:rPr>
        <w:t xml:space="preserve">. [online] Available at: https://committees.parliament.uk/work/7967/the-uk-governments-work-on-achieving-sdg2-zero-hunger/.</w:t>
      </w:r>
    </w:p>
    <w:p w:rsidR="00000000" w:rsidDel="00000000" w:rsidP="00000000" w:rsidRDefault="00000000" w:rsidRPr="00000000" w14:paraId="0000008F">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UK SDG Data. (2023). </w:t>
      </w:r>
      <w:r w:rsidDel="00000000" w:rsidR="00000000" w:rsidRPr="00000000">
        <w:rPr>
          <w:rFonts w:ascii="Arial" w:cs="Arial" w:eastAsia="Arial" w:hAnsi="Arial"/>
          <w:i w:val="1"/>
          <w:color w:val="000000"/>
          <w:rtl w:val="0"/>
        </w:rPr>
        <w:t xml:space="preserve">Goal 2 - Zero hunger - U.K. Indicators For The Sustainable Development Goals</w:t>
      </w:r>
      <w:r w:rsidDel="00000000" w:rsidR="00000000" w:rsidRPr="00000000">
        <w:rPr>
          <w:rFonts w:ascii="Arial" w:cs="Arial" w:eastAsia="Arial" w:hAnsi="Arial"/>
          <w:color w:val="000000"/>
          <w:rtl w:val="0"/>
        </w:rPr>
        <w:t xml:space="preserve">. [online] Available at: https://sdgdata.gov.uk/2/.</w:t>
      </w:r>
    </w:p>
    <w:p w:rsidR="00000000" w:rsidDel="00000000" w:rsidP="00000000" w:rsidRDefault="00000000" w:rsidRPr="00000000" w14:paraId="00000090">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UK SDG. (2023). </w:t>
      </w:r>
      <w:r w:rsidDel="00000000" w:rsidR="00000000" w:rsidRPr="00000000">
        <w:rPr>
          <w:rFonts w:ascii="Arial" w:cs="Arial" w:eastAsia="Arial" w:hAnsi="Arial"/>
          <w:i w:val="1"/>
          <w:color w:val="000000"/>
          <w:rtl w:val="0"/>
        </w:rPr>
        <w:t xml:space="preserve">Goal 5 - Gender equality - U.K. Indicators For The Sustainable Development Goals</w:t>
      </w:r>
      <w:r w:rsidDel="00000000" w:rsidR="00000000" w:rsidRPr="00000000">
        <w:rPr>
          <w:rFonts w:ascii="Arial" w:cs="Arial" w:eastAsia="Arial" w:hAnsi="Arial"/>
          <w:color w:val="000000"/>
          <w:rtl w:val="0"/>
        </w:rPr>
        <w:t xml:space="preserve">. [online] Available at: https://sdgdata.gov.uk/5/.</w:t>
      </w:r>
    </w:p>
    <w:p w:rsidR="00000000" w:rsidDel="00000000" w:rsidP="00000000" w:rsidRDefault="00000000" w:rsidRPr="00000000" w14:paraId="00000091">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UN Women. (2023). </w:t>
      </w:r>
      <w:r w:rsidDel="00000000" w:rsidR="00000000" w:rsidRPr="00000000">
        <w:rPr>
          <w:rFonts w:ascii="Arial" w:cs="Arial" w:eastAsia="Arial" w:hAnsi="Arial"/>
          <w:i w:val="1"/>
          <w:color w:val="000000"/>
          <w:rtl w:val="0"/>
        </w:rPr>
        <w:t xml:space="preserve">Progress on the Sustainable Development Goals: The Gender Snapshot 2024</w:t>
      </w:r>
      <w:r w:rsidDel="00000000" w:rsidR="00000000" w:rsidRPr="00000000">
        <w:rPr>
          <w:rFonts w:ascii="Arial" w:cs="Arial" w:eastAsia="Arial" w:hAnsi="Arial"/>
          <w:color w:val="000000"/>
          <w:rtl w:val="0"/>
        </w:rPr>
        <w:t xml:space="preserve">. [online] Available at: https://www.unwomen.org/en/resources/gender-snapshot?gad_source=1&amp;gclid=Cj0KCQjwmt24BhDPARIsAJFYKk2VK6-LqfKtg8uLzIohy6Xc3pRuqLFrmLPuH8Qq62YlYjZjBrcPDs0aAlvHEALw_wcB [Accessed 22 October. 2024].</w:t>
      </w:r>
    </w:p>
    <w:p w:rsidR="00000000" w:rsidDel="00000000" w:rsidP="00000000" w:rsidRDefault="00000000" w:rsidRPr="00000000" w14:paraId="00000092">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Unesco (2020). </w:t>
      </w:r>
      <w:r w:rsidDel="00000000" w:rsidR="00000000" w:rsidRPr="00000000">
        <w:rPr>
          <w:rFonts w:ascii="Arial" w:cs="Arial" w:eastAsia="Arial" w:hAnsi="Arial"/>
          <w:i w:val="1"/>
          <w:color w:val="000000"/>
          <w:rtl w:val="0"/>
        </w:rPr>
        <w:t xml:space="preserve">Education for sustainable development goals : learning objectives.</w:t>
      </w:r>
      <w:r w:rsidDel="00000000" w:rsidR="00000000" w:rsidRPr="00000000">
        <w:rPr>
          <w:rFonts w:ascii="Arial" w:cs="Arial" w:eastAsia="Arial" w:hAnsi="Arial"/>
          <w:color w:val="000000"/>
          <w:rtl w:val="0"/>
        </w:rPr>
        <w:t xml:space="preserve"> [online] Paris: Unesco. Available at: https://unesdoc.unesco.org/ark:/48223/pf0000247444.</w:t>
      </w:r>
    </w:p>
    <w:p w:rsidR="00000000" w:rsidDel="00000000" w:rsidP="00000000" w:rsidRDefault="00000000" w:rsidRPr="00000000" w14:paraId="00000093">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Walker (2019). </w:t>
      </w:r>
      <w:r w:rsidDel="00000000" w:rsidR="00000000" w:rsidRPr="00000000">
        <w:rPr>
          <w:rFonts w:ascii="Arial" w:cs="Arial" w:eastAsia="Arial" w:hAnsi="Arial"/>
          <w:i w:val="1"/>
          <w:color w:val="000000"/>
          <w:rtl w:val="0"/>
        </w:rPr>
        <w:t xml:space="preserve">SUSTAINABLE DEVELOPMENT GOALS : harnessing business to achieve the sustainable development goals ... through technology, innovation and financing.</w:t>
      </w:r>
      <w:r w:rsidDel="00000000" w:rsidR="00000000" w:rsidRPr="00000000">
        <w:rPr>
          <w:rFonts w:ascii="Arial" w:cs="Arial" w:eastAsia="Arial" w:hAnsi="Arial"/>
          <w:color w:val="000000"/>
          <w:rtl w:val="0"/>
        </w:rPr>
        <w:t xml:space="preserve"> [online] Available at: https://www.wiley.com/en-us/Sustainable+Development+Goals%3A+Harnessing+Business+to+Achieve+the+SDGs+through+Finance%2C+Technology+and+Law+Reform-p-9781119541813.</w:t>
      </w:r>
    </w:p>
    <w:p w:rsidR="00000000" w:rsidDel="00000000" w:rsidP="00000000" w:rsidRDefault="00000000" w:rsidRPr="00000000" w14:paraId="00000094">
      <w:pPr>
        <w:spacing w:after="240" w:lineRule="auto"/>
        <w:rPr>
          <w:rFonts w:ascii="Arial" w:cs="Arial" w:eastAsia="Arial" w:hAnsi="Arial"/>
          <w:color w:val="000000"/>
        </w:rPr>
      </w:pPr>
      <w:r w:rsidDel="00000000" w:rsidR="00000000" w:rsidRPr="00000000">
        <w:rPr>
          <w:rFonts w:ascii="Arial" w:cs="Arial" w:eastAsia="Arial" w:hAnsi="Arial"/>
          <w:color w:val="000000"/>
          <w:rtl w:val="0"/>
        </w:rPr>
        <w:t xml:space="preserve">World, U. (2021). </w:t>
      </w:r>
      <w:r w:rsidDel="00000000" w:rsidR="00000000" w:rsidRPr="00000000">
        <w:rPr>
          <w:rFonts w:ascii="Arial" w:cs="Arial" w:eastAsia="Arial" w:hAnsi="Arial"/>
          <w:i w:val="1"/>
          <w:color w:val="000000"/>
          <w:rtl w:val="0"/>
        </w:rPr>
        <w:t xml:space="preserve">Taking Stock of Progress Towards Gender Equality in the Water Domain</w:t>
      </w:r>
      <w:r w:rsidDel="00000000" w:rsidR="00000000" w:rsidRPr="00000000">
        <w:rPr>
          <w:rFonts w:ascii="Arial" w:cs="Arial" w:eastAsia="Arial" w:hAnsi="Arial"/>
          <w:color w:val="000000"/>
          <w:rtl w:val="0"/>
        </w:rPr>
        <w:t xml:space="preserve">. UNESCO Publishing.</w:t>
      </w:r>
    </w:p>
    <w:p w:rsidR="00000000" w:rsidDel="00000000" w:rsidP="00000000" w:rsidRDefault="00000000" w:rsidRPr="00000000" w14:paraId="00000095">
      <w:pPr>
        <w:rPr>
          <w:rFonts w:ascii="Arial" w:cs="Arial" w:eastAsia="Arial" w:hAnsi="Arial"/>
        </w:rPr>
      </w:pPr>
      <w:r w:rsidDel="00000000" w:rsidR="00000000" w:rsidRPr="00000000">
        <w:rPr>
          <w:rtl w:val="0"/>
        </w:rPr>
      </w:r>
    </w:p>
    <w:p w:rsidR="00000000" w:rsidDel="00000000" w:rsidP="00000000" w:rsidRDefault="00000000" w:rsidRPr="00000000" w14:paraId="00000096">
      <w:pPr>
        <w:rPr>
          <w:rFonts w:ascii="Arial" w:cs="Arial" w:eastAsia="Arial" w:hAnsi="Arial"/>
        </w:rPr>
      </w:pPr>
      <w:r w:rsidDel="00000000" w:rsidR="00000000" w:rsidRPr="00000000">
        <w:rPr>
          <w:rtl w:val="0"/>
        </w:rPr>
      </w:r>
    </w:p>
    <w:p w:rsidR="00000000" w:rsidDel="00000000" w:rsidP="00000000" w:rsidRDefault="00000000" w:rsidRPr="00000000" w14:paraId="00000097">
      <w:pPr>
        <w:rPr>
          <w:rFonts w:ascii="Arial" w:cs="Arial" w:eastAsia="Arial" w:hAnsi="Arial"/>
        </w:rPr>
      </w:pPr>
      <w:r w:rsidDel="00000000" w:rsidR="00000000" w:rsidRPr="00000000">
        <w:rPr>
          <w:rtl w:val="0"/>
        </w:rPr>
      </w:r>
    </w:p>
    <w:p w:rsidR="00000000" w:rsidDel="00000000" w:rsidP="00000000" w:rsidRDefault="00000000" w:rsidRPr="00000000" w14:paraId="00000098">
      <w:pPr>
        <w:rPr>
          <w:rFonts w:ascii="Arial" w:cs="Arial" w:eastAsia="Arial" w:hAnsi="Arial"/>
        </w:rPr>
      </w:pPr>
      <w:r w:rsidDel="00000000" w:rsidR="00000000" w:rsidRPr="00000000">
        <w:rPr>
          <w:rtl w:val="0"/>
        </w:rPr>
      </w:r>
    </w:p>
    <w:p w:rsidR="00000000" w:rsidDel="00000000" w:rsidP="00000000" w:rsidRDefault="00000000" w:rsidRPr="00000000" w14:paraId="00000099">
      <w:pPr>
        <w:rPr>
          <w:rFonts w:ascii="Arial" w:cs="Arial" w:eastAsia="Arial" w:hAnsi="Arial"/>
        </w:rPr>
      </w:pPr>
      <w:r w:rsidDel="00000000" w:rsidR="00000000" w:rsidRPr="00000000">
        <w:rPr>
          <w:rtl w:val="0"/>
        </w:rPr>
      </w:r>
    </w:p>
    <w:p w:rsidR="00000000" w:rsidDel="00000000" w:rsidP="00000000" w:rsidRDefault="00000000" w:rsidRPr="00000000" w14:paraId="0000009A">
      <w:pPr>
        <w:rPr>
          <w:rFonts w:ascii="Arial" w:cs="Arial" w:eastAsia="Arial" w:hAnsi="Arial"/>
        </w:rPr>
      </w:pPr>
      <w:r w:rsidDel="00000000" w:rsidR="00000000" w:rsidRPr="00000000">
        <w:rPr>
          <w:rtl w:val="0"/>
        </w:rPr>
      </w:r>
    </w:p>
    <w:p w:rsidR="00000000" w:rsidDel="00000000" w:rsidP="00000000" w:rsidRDefault="00000000" w:rsidRPr="00000000" w14:paraId="0000009B">
      <w:pPr>
        <w:rPr>
          <w:rFonts w:ascii="Arial" w:cs="Arial" w:eastAsia="Arial" w:hAnsi="Arial"/>
        </w:rPr>
      </w:pPr>
      <w:r w:rsidDel="00000000" w:rsidR="00000000" w:rsidRPr="00000000">
        <w:rPr>
          <w:rtl w:val="0"/>
        </w:rPr>
      </w:r>
    </w:p>
    <w:p w:rsidR="00000000" w:rsidDel="00000000" w:rsidP="00000000" w:rsidRDefault="00000000" w:rsidRPr="00000000" w14:paraId="0000009C">
      <w:pPr>
        <w:rPr>
          <w:rFonts w:ascii="Arial" w:cs="Arial" w:eastAsia="Arial" w:hAnsi="Arial"/>
        </w:rPr>
      </w:pPr>
      <w:r w:rsidDel="00000000" w:rsidR="00000000" w:rsidRPr="00000000">
        <w:rPr>
          <w:rtl w:val="0"/>
        </w:rPr>
      </w:r>
    </w:p>
    <w:p w:rsidR="00000000" w:rsidDel="00000000" w:rsidP="00000000" w:rsidRDefault="00000000" w:rsidRPr="00000000" w14:paraId="0000009D">
      <w:pPr>
        <w:rPr>
          <w:rFonts w:ascii="Arial" w:cs="Arial" w:eastAsia="Arial" w:hAnsi="Arial"/>
        </w:rPr>
      </w:pPr>
      <w:r w:rsidDel="00000000" w:rsidR="00000000" w:rsidRPr="00000000">
        <w:rPr>
          <w:rtl w:val="0"/>
        </w:rPr>
      </w:r>
    </w:p>
    <w:p w:rsidR="00000000" w:rsidDel="00000000" w:rsidP="00000000" w:rsidRDefault="00000000" w:rsidRPr="00000000" w14:paraId="0000009E">
      <w:pPr>
        <w:rPr>
          <w:rFonts w:ascii="Arial" w:cs="Arial" w:eastAsia="Arial" w:hAnsi="Arial"/>
        </w:rPr>
      </w:pPr>
      <w:r w:rsidDel="00000000" w:rsidR="00000000" w:rsidRPr="00000000">
        <w:rPr>
          <w:rtl w:val="0"/>
        </w:rPr>
      </w:r>
    </w:p>
    <w:sectPr>
      <w:headerReference r:id="rId7" w:type="default"/>
      <w:headerReference r:id="rId8" w:type="first"/>
      <w:footerReference r:id="rId9"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left"/>
    </w:pPr>
    <w:rPr>
      <w:b w:val="1"/>
      <w:color w:val="1f3864"/>
      <w:sz w:val="32"/>
      <w:szCs w:val="32"/>
    </w:rPr>
  </w:style>
  <w:style w:type="paragraph" w:styleId="Heading2">
    <w:name w:val="heading 2"/>
    <w:basedOn w:val="Normal"/>
    <w:next w:val="Normal"/>
    <w:pPr>
      <w:keepNext w:val="1"/>
      <w:keepLines w:val="1"/>
      <w:spacing w:after="0" w:before="40" w:lineRule="auto"/>
      <w:jc w:val="left"/>
    </w:pPr>
    <w:rPr>
      <w:b w:val="1"/>
      <w:sz w:val="28"/>
      <w:szCs w:val="28"/>
    </w:rPr>
  </w:style>
  <w:style w:type="paragraph" w:styleId="Heading3">
    <w:name w:val="heading 3"/>
    <w:basedOn w:val="Normal"/>
    <w:next w:val="Normal"/>
    <w:pPr>
      <w:keepNext w:val="1"/>
      <w:keepLines w:val="1"/>
      <w:spacing w:after="0" w:before="40" w:lineRule="auto"/>
    </w:pPr>
    <w:rPr>
      <w:b w:val="1"/>
      <w:color w:val="4472c4"/>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F025C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val="1"/>
    <w:uiPriority w:val="9"/>
    <w:qFormat w:val="1"/>
    <w:rsid w:val="00BC7FF1"/>
    <w:pPr>
      <w:keepNext w:val="1"/>
      <w:keepLines w:val="1"/>
      <w:spacing w:after="0" w:before="240"/>
      <w:jc w:val="left"/>
      <w:outlineLvl w:val="0"/>
    </w:pPr>
    <w:rPr>
      <w:rFonts w:cstheme="majorBidi" w:eastAsiaTheme="majorEastAsia"/>
      <w:b w:val="1"/>
      <w:color w:val="1f3864" w:themeColor="accent1" w:themeShade="000080"/>
      <w:sz w:val="32"/>
      <w:szCs w:val="32"/>
    </w:rPr>
  </w:style>
  <w:style w:type="paragraph" w:styleId="Heading2">
    <w:name w:val="heading 2"/>
    <w:basedOn w:val="Normal"/>
    <w:next w:val="Normal"/>
    <w:link w:val="Heading2Char"/>
    <w:autoRedefine w:val="1"/>
    <w:uiPriority w:val="9"/>
    <w:unhideWhenUsed w:val="1"/>
    <w:qFormat w:val="1"/>
    <w:rsid w:val="00506CBB"/>
    <w:pPr>
      <w:keepNext w:val="1"/>
      <w:keepLines w:val="1"/>
      <w:spacing w:after="0" w:before="40"/>
      <w:jc w:val="left"/>
      <w:outlineLvl w:val="1"/>
    </w:pPr>
    <w:rPr>
      <w:rFonts w:cstheme="majorBidi" w:eastAsiaTheme="majorEastAsia"/>
      <w:b w:val="1"/>
      <w:sz w:val="28"/>
      <w:szCs w:val="26"/>
    </w:rPr>
  </w:style>
  <w:style w:type="paragraph" w:styleId="Heading3">
    <w:name w:val="heading 3"/>
    <w:basedOn w:val="Normal"/>
    <w:next w:val="Normal"/>
    <w:link w:val="Heading3Char"/>
    <w:uiPriority w:val="9"/>
    <w:unhideWhenUsed w:val="1"/>
    <w:qFormat w:val="1"/>
    <w:rsid w:val="0084324A"/>
    <w:pPr>
      <w:keepNext w:val="1"/>
      <w:keepLines w:val="1"/>
      <w:spacing w:after="0" w:before="40"/>
      <w:outlineLvl w:val="2"/>
    </w:pPr>
    <w:rPr>
      <w:rFonts w:cstheme="majorBidi" w:eastAsiaTheme="majorEastAsia"/>
      <w:b w:val="1"/>
      <w:color w:val="4472c4" w:themeColor="accent1"/>
      <w:szCs w:val="24"/>
    </w:rPr>
  </w:style>
  <w:style w:type="paragraph" w:styleId="Heading4">
    <w:name w:val="heading 4"/>
    <w:basedOn w:val="Normal"/>
    <w:next w:val="Normal"/>
    <w:link w:val="Heading4Char"/>
    <w:uiPriority w:val="9"/>
    <w:semiHidden w:val="1"/>
    <w:unhideWhenUsed w:val="1"/>
    <w:qFormat w:val="1"/>
    <w:rsid w:val="00DD65E6"/>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C7FF1"/>
    <w:rPr>
      <w:rFonts w:ascii="Times New Roman" w:hAnsi="Times New Roman" w:cstheme="majorBidi" w:eastAsiaTheme="majorEastAsia"/>
      <w:b w:val="1"/>
      <w:color w:val="1f3864" w:themeColor="accent1" w:themeShade="000080"/>
      <w:sz w:val="32"/>
      <w:szCs w:val="32"/>
    </w:rPr>
  </w:style>
  <w:style w:type="character" w:styleId="Heading2Char" w:customStyle="1">
    <w:name w:val="Heading 2 Char"/>
    <w:basedOn w:val="DefaultParagraphFont"/>
    <w:link w:val="Heading2"/>
    <w:uiPriority w:val="9"/>
    <w:rsid w:val="00506CBB"/>
    <w:rPr>
      <w:rFonts w:ascii="Times New Roman" w:hAnsi="Times New Roman" w:cstheme="majorBidi" w:eastAsiaTheme="majorEastAsia"/>
      <w:b w:val="1"/>
      <w:color w:val="000000" w:themeColor="text1"/>
      <w:sz w:val="28"/>
      <w:szCs w:val="26"/>
    </w:rPr>
  </w:style>
  <w:style w:type="character" w:styleId="Heading3Char" w:customStyle="1">
    <w:name w:val="Heading 3 Char"/>
    <w:basedOn w:val="DefaultParagraphFont"/>
    <w:link w:val="Heading3"/>
    <w:uiPriority w:val="9"/>
    <w:rsid w:val="0084324A"/>
    <w:rPr>
      <w:rFonts w:ascii="Times New Roman" w:hAnsi="Times New Roman" w:cstheme="majorBidi" w:eastAsiaTheme="majorEastAsia"/>
      <w:b w:val="1"/>
      <w:color w:val="4472c4" w:themeColor="accent1"/>
      <w:sz w:val="24"/>
      <w:szCs w:val="24"/>
    </w:rPr>
  </w:style>
  <w:style w:type="paragraph" w:styleId="Header">
    <w:name w:val="header"/>
    <w:basedOn w:val="Normal"/>
    <w:link w:val="HeaderChar"/>
    <w:uiPriority w:val="99"/>
    <w:unhideWhenUsed w:val="1"/>
    <w:rsid w:val="00736413"/>
    <w:pPr>
      <w:tabs>
        <w:tab w:val="center" w:pos="4680"/>
        <w:tab w:val="right" w:pos="9360"/>
      </w:tabs>
      <w:spacing w:after="0" w:line="240" w:lineRule="auto"/>
    </w:pPr>
  </w:style>
  <w:style w:type="character" w:styleId="HeaderChar" w:customStyle="1">
    <w:name w:val="Header Char"/>
    <w:basedOn w:val="DefaultParagraphFont"/>
    <w:link w:val="Header"/>
    <w:uiPriority w:val="99"/>
    <w:rsid w:val="00736413"/>
    <w:rPr>
      <w:rFonts w:ascii="Times New Roman" w:hAnsi="Times New Roman"/>
      <w:color w:val="000000" w:themeColor="text1"/>
      <w:sz w:val="24"/>
    </w:rPr>
  </w:style>
  <w:style w:type="paragraph" w:styleId="Footer">
    <w:name w:val="footer"/>
    <w:basedOn w:val="Normal"/>
    <w:link w:val="FooterChar"/>
    <w:uiPriority w:val="99"/>
    <w:unhideWhenUsed w:val="1"/>
    <w:rsid w:val="00736413"/>
    <w:pPr>
      <w:tabs>
        <w:tab w:val="center" w:pos="4680"/>
        <w:tab w:val="right" w:pos="9360"/>
      </w:tabs>
      <w:spacing w:after="0" w:line="240" w:lineRule="auto"/>
    </w:pPr>
  </w:style>
  <w:style w:type="character" w:styleId="FooterChar" w:customStyle="1">
    <w:name w:val="Footer Char"/>
    <w:basedOn w:val="DefaultParagraphFont"/>
    <w:link w:val="Footer"/>
    <w:uiPriority w:val="99"/>
    <w:rsid w:val="00736413"/>
    <w:rPr>
      <w:rFonts w:ascii="Times New Roman" w:hAnsi="Times New Roman"/>
      <w:color w:val="000000" w:themeColor="text1"/>
      <w:sz w:val="24"/>
    </w:rPr>
  </w:style>
  <w:style w:type="paragraph" w:styleId="TOCHeading">
    <w:name w:val="TOC Heading"/>
    <w:basedOn w:val="Heading1"/>
    <w:next w:val="Normal"/>
    <w:uiPriority w:val="39"/>
    <w:unhideWhenUsed w:val="1"/>
    <w:qFormat w:val="1"/>
    <w:rsid w:val="00244A0A"/>
    <w:pPr>
      <w:spacing w:line="259" w:lineRule="auto"/>
      <w:outlineLvl w:val="9"/>
    </w:pPr>
    <w:rPr>
      <w:rFonts w:asciiTheme="majorHAnsi" w:hAnsiTheme="majorHAnsi"/>
      <w:b w:val="0"/>
    </w:rPr>
  </w:style>
  <w:style w:type="paragraph" w:styleId="TOC1">
    <w:name w:val="toc 1"/>
    <w:basedOn w:val="Normal"/>
    <w:next w:val="Normal"/>
    <w:autoRedefine w:val="1"/>
    <w:uiPriority w:val="39"/>
    <w:unhideWhenUsed w:val="1"/>
    <w:rsid w:val="00244A0A"/>
    <w:pPr>
      <w:spacing w:after="100"/>
    </w:pPr>
  </w:style>
  <w:style w:type="character" w:styleId="Hyperlink">
    <w:name w:val="Hyperlink"/>
    <w:basedOn w:val="DefaultParagraphFont"/>
    <w:uiPriority w:val="99"/>
    <w:unhideWhenUsed w:val="1"/>
    <w:rsid w:val="00244A0A"/>
    <w:rPr>
      <w:color w:val="0563c1" w:themeColor="hyperlink"/>
      <w:u w:val="single"/>
    </w:rPr>
  </w:style>
  <w:style w:type="paragraph" w:styleId="ListParagraph">
    <w:name w:val="List Paragraph"/>
    <w:basedOn w:val="Normal"/>
    <w:uiPriority w:val="34"/>
    <w:qFormat w:val="1"/>
    <w:rsid w:val="00090754"/>
    <w:pPr>
      <w:ind w:left="720"/>
      <w:contextualSpacing w:val="1"/>
    </w:pPr>
  </w:style>
  <w:style w:type="table" w:styleId="TableGrid">
    <w:name w:val="Table Grid"/>
    <w:basedOn w:val="TableNormal"/>
    <w:uiPriority w:val="59"/>
    <w:rsid w:val="008251DA"/>
    <w:pPr>
      <w:spacing w:after="0" w:line="240" w:lineRule="auto"/>
    </w:pPr>
    <w:rPr>
      <w:lang w:val="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TOC2">
    <w:name w:val="toc 2"/>
    <w:basedOn w:val="Normal"/>
    <w:next w:val="Normal"/>
    <w:autoRedefine w:val="1"/>
    <w:uiPriority w:val="39"/>
    <w:unhideWhenUsed w:val="1"/>
    <w:rsid w:val="008251DA"/>
    <w:pPr>
      <w:spacing w:after="100"/>
      <w:ind w:left="240"/>
    </w:pPr>
  </w:style>
  <w:style w:type="paragraph" w:styleId="TOC3">
    <w:name w:val="toc 3"/>
    <w:basedOn w:val="Normal"/>
    <w:next w:val="Normal"/>
    <w:autoRedefine w:val="1"/>
    <w:uiPriority w:val="39"/>
    <w:unhideWhenUsed w:val="1"/>
    <w:rsid w:val="008251DA"/>
    <w:pPr>
      <w:spacing w:after="100"/>
      <w:ind w:left="480"/>
    </w:pPr>
  </w:style>
  <w:style w:type="paragraph" w:styleId="NormalWeb">
    <w:name w:val="Normal (Web)"/>
    <w:basedOn w:val="Normal"/>
    <w:uiPriority w:val="99"/>
    <w:unhideWhenUsed w:val="1"/>
    <w:rsid w:val="00235B3C"/>
    <w:pPr>
      <w:spacing w:after="100" w:afterAutospacing="1" w:before="100" w:beforeAutospacing="1" w:line="240" w:lineRule="auto"/>
      <w:jc w:val="left"/>
    </w:pPr>
    <w:rPr>
      <w:rFonts w:cs="Times New Roman" w:eastAsia="Times New Roman"/>
      <w:color w:val="auto"/>
      <w:szCs w:val="24"/>
    </w:rPr>
  </w:style>
  <w:style w:type="table" w:styleId="TableGrid2" w:customStyle="1">
    <w:name w:val="Table Grid2"/>
    <w:basedOn w:val="TableNormal"/>
    <w:next w:val="TableGrid"/>
    <w:uiPriority w:val="39"/>
    <w:rsid w:val="00E71B3B"/>
    <w:pPr>
      <w:spacing w:after="0" w:line="240" w:lineRule="auto"/>
    </w:pPr>
    <w:rPr>
      <w:lang w:val="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SubtleEmphasis">
    <w:name w:val="Subtle Emphasis"/>
    <w:basedOn w:val="DefaultParagraphFont"/>
    <w:uiPriority w:val="19"/>
    <w:qFormat w:val="1"/>
    <w:rsid w:val="00AA1921"/>
    <w:rPr>
      <w:i w:val="1"/>
      <w:iCs w:val="1"/>
      <w:color w:val="404040" w:themeColor="text1" w:themeTint="0000BF"/>
    </w:rPr>
  </w:style>
  <w:style w:type="character" w:styleId="CommentReference">
    <w:name w:val="annotation reference"/>
    <w:basedOn w:val="DefaultParagraphFont"/>
    <w:uiPriority w:val="99"/>
    <w:semiHidden w:val="1"/>
    <w:unhideWhenUsed w:val="1"/>
    <w:rsid w:val="00632C79"/>
    <w:rPr>
      <w:sz w:val="16"/>
      <w:szCs w:val="16"/>
    </w:rPr>
  </w:style>
  <w:style w:type="paragraph" w:styleId="CommentText">
    <w:name w:val="annotation text"/>
    <w:basedOn w:val="Normal"/>
    <w:link w:val="CommentTextChar"/>
    <w:uiPriority w:val="99"/>
    <w:semiHidden w:val="1"/>
    <w:unhideWhenUsed w:val="1"/>
    <w:rsid w:val="00632C79"/>
    <w:pPr>
      <w:spacing w:line="240" w:lineRule="auto"/>
    </w:pPr>
    <w:rPr>
      <w:sz w:val="20"/>
      <w:szCs w:val="20"/>
    </w:rPr>
  </w:style>
  <w:style w:type="character" w:styleId="CommentTextChar" w:customStyle="1">
    <w:name w:val="Comment Text Char"/>
    <w:basedOn w:val="DefaultParagraphFont"/>
    <w:link w:val="CommentText"/>
    <w:uiPriority w:val="99"/>
    <w:semiHidden w:val="1"/>
    <w:rsid w:val="00632C79"/>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val="1"/>
    <w:unhideWhenUsed w:val="1"/>
    <w:rsid w:val="00632C79"/>
    <w:rPr>
      <w:b w:val="1"/>
      <w:bCs w:val="1"/>
    </w:rPr>
  </w:style>
  <w:style w:type="character" w:styleId="CommentSubjectChar" w:customStyle="1">
    <w:name w:val="Comment Subject Char"/>
    <w:basedOn w:val="CommentTextChar"/>
    <w:link w:val="CommentSubject"/>
    <w:uiPriority w:val="99"/>
    <w:semiHidden w:val="1"/>
    <w:rsid w:val="00632C79"/>
    <w:rPr>
      <w:rFonts w:ascii="Times New Roman" w:hAnsi="Times New Roman"/>
      <w:b w:val="1"/>
      <w:bCs w:val="1"/>
      <w:color w:val="000000" w:themeColor="text1"/>
      <w:sz w:val="20"/>
      <w:szCs w:val="20"/>
    </w:rPr>
  </w:style>
  <w:style w:type="paragraph" w:styleId="BalloonText">
    <w:name w:val="Balloon Text"/>
    <w:basedOn w:val="Normal"/>
    <w:link w:val="BalloonTextChar"/>
    <w:uiPriority w:val="99"/>
    <w:semiHidden w:val="1"/>
    <w:unhideWhenUsed w:val="1"/>
    <w:rsid w:val="00632C79"/>
    <w:pPr>
      <w:spacing w:after="0"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632C79"/>
    <w:rPr>
      <w:rFonts w:ascii="Segoe UI" w:cs="Segoe UI" w:hAnsi="Segoe UI"/>
      <w:color w:val="000000" w:themeColor="text1"/>
      <w:sz w:val="18"/>
      <w:szCs w:val="18"/>
    </w:rPr>
  </w:style>
  <w:style w:type="numbering" w:styleId="LFO1" w:customStyle="1">
    <w:name w:val="LFO1"/>
    <w:basedOn w:val="NoList"/>
    <w:rsid w:val="005441C5"/>
    <w:pPr>
      <w:numPr>
        <w:numId w:val="1"/>
      </w:numPr>
    </w:pPr>
  </w:style>
  <w:style w:type="table" w:styleId="TableGrid1" w:customStyle="1">
    <w:name w:val="Table Grid1"/>
    <w:basedOn w:val="TableNormal"/>
    <w:next w:val="TableGrid"/>
    <w:uiPriority w:val="59"/>
    <w:rsid w:val="009708B1"/>
    <w:pPr>
      <w:spacing w:after="0" w:line="240" w:lineRule="auto"/>
    </w:pPr>
    <w:rPr>
      <w:lang w:val="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PlaceholderText">
    <w:name w:val="Placeholder Text"/>
    <w:basedOn w:val="DefaultParagraphFont"/>
    <w:uiPriority w:val="99"/>
    <w:semiHidden w:val="1"/>
    <w:rsid w:val="00851883"/>
    <w:rPr>
      <w:color w:val="808080"/>
    </w:rPr>
  </w:style>
  <w:style w:type="character" w:styleId="Strong">
    <w:name w:val="Strong"/>
    <w:basedOn w:val="DefaultParagraphFont"/>
    <w:uiPriority w:val="22"/>
    <w:qFormat w:val="1"/>
    <w:rsid w:val="00E1631F"/>
    <w:rPr>
      <w:b w:val="1"/>
      <w:bCs w:val="1"/>
    </w:rPr>
  </w:style>
  <w:style w:type="paragraph" w:styleId="Caption">
    <w:name w:val="caption"/>
    <w:basedOn w:val="Normal"/>
    <w:next w:val="Normal"/>
    <w:uiPriority w:val="35"/>
    <w:unhideWhenUsed w:val="1"/>
    <w:qFormat w:val="1"/>
    <w:rsid w:val="00BC639A"/>
    <w:pPr>
      <w:spacing w:after="200" w:line="240" w:lineRule="auto"/>
      <w:jc w:val="left"/>
    </w:pPr>
    <w:rPr>
      <w:rFonts w:asciiTheme="minorHAnsi" w:eastAsiaTheme="minorEastAsia" w:hAnsiTheme="minorHAnsi"/>
      <w:i w:val="1"/>
      <w:iCs w:val="1"/>
      <w:color w:val="44546a" w:themeColor="text2"/>
      <w:sz w:val="18"/>
      <w:szCs w:val="18"/>
    </w:rPr>
  </w:style>
  <w:style w:type="table" w:styleId="TableGridLight">
    <w:name w:val="Grid Table Light"/>
    <w:basedOn w:val="TableNormal"/>
    <w:uiPriority w:val="40"/>
    <w:rsid w:val="000251EB"/>
    <w:pPr>
      <w:spacing w:after="0" w:line="240" w:lineRule="auto"/>
    </w:pPr>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table" w:styleId="PlainTable1">
    <w:name w:val="Plain Table 1"/>
    <w:basedOn w:val="TableNormal"/>
    <w:uiPriority w:val="41"/>
    <w:rsid w:val="000251EB"/>
    <w:pPr>
      <w:spacing w:after="0" w:line="240" w:lineRule="auto"/>
    </w:pPr>
    <w:tblPr>
      <w:tblStyleRowBandSize w:val="1"/>
      <w:tblStyleColBandSize w:val="1"/>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table" w:styleId="PlainTable2">
    <w:name w:val="Plain Table 2"/>
    <w:basedOn w:val="TableNormal"/>
    <w:uiPriority w:val="42"/>
    <w:rsid w:val="000251EB"/>
    <w:pPr>
      <w:spacing w:after="0" w:line="240" w:lineRule="auto"/>
    </w:pPr>
    <w:tblPr>
      <w:tblStyleRowBandSize w:val="1"/>
      <w:tblStyleColBandSize w:val="1"/>
      <w:tblBorders>
        <w:top w:color="7f7f7f" w:space="0" w:sz="4" w:themeColor="text1" w:themeTint="000080" w:val="single"/>
        <w:bottom w:color="7f7f7f" w:space="0" w:sz="4" w:themeColor="text1" w:themeTint="000080" w:val="single"/>
      </w:tblBorders>
    </w:tblPr>
    <w:tblStylePr w:type="firstRow">
      <w:rPr>
        <w:b w:val="1"/>
        <w:bCs w:val="1"/>
      </w:rPr>
      <w:tblPr/>
      <w:tcPr>
        <w:tcBorders>
          <w:bottom w:color="7f7f7f" w:space="0" w:sz="4" w:themeColor="text1" w:themeTint="000080" w:val="single"/>
        </w:tcBorders>
      </w:tcPr>
    </w:tblStylePr>
    <w:tblStylePr w:type="lastRow">
      <w:rPr>
        <w:b w:val="1"/>
        <w:bCs w:val="1"/>
      </w:rPr>
      <w:tblPr/>
      <w:tcPr>
        <w:tcBorders>
          <w:top w:color="7f7f7f" w:space="0" w:sz="4" w:themeColor="text1" w:themeTint="000080" w:val="single"/>
        </w:tcBorders>
      </w:tcPr>
    </w:tblStylePr>
    <w:tblStylePr w:type="firstCol">
      <w:rPr>
        <w:b w:val="1"/>
        <w:bCs w:val="1"/>
      </w:rPr>
    </w:tblStylePr>
    <w:tblStylePr w:type="lastCol">
      <w:rPr>
        <w:b w:val="1"/>
        <w:bCs w:val="1"/>
      </w:rPr>
    </w:tblStylePr>
    <w:tblStylePr w:type="band1Vert">
      <w:tblPr/>
      <w:tcPr>
        <w:tcBorders>
          <w:left w:color="7f7f7f" w:space="0" w:sz="4" w:themeColor="text1" w:themeTint="000080" w:val="single"/>
          <w:right w:color="7f7f7f" w:space="0" w:sz="4" w:themeColor="text1" w:themeTint="000080" w:val="single"/>
        </w:tcBorders>
      </w:tcPr>
    </w:tblStylePr>
    <w:tblStylePr w:type="band2Vert">
      <w:tblPr/>
      <w:tcPr>
        <w:tcBorders>
          <w:left w:color="7f7f7f" w:space="0" w:sz="4" w:themeColor="text1" w:themeTint="000080" w:val="single"/>
          <w:right w:color="7f7f7f" w:space="0" w:sz="4" w:themeColor="text1" w:themeTint="000080" w:val="single"/>
        </w:tcBorders>
      </w:tcPr>
    </w:tblStylePr>
    <w:tblStylePr w:type="band1Horz">
      <w:tblPr/>
      <w:tcPr>
        <w:tcBorders>
          <w:top w:color="7f7f7f" w:space="0" w:sz="4" w:themeColor="text1" w:themeTint="000080" w:val="single"/>
          <w:bottom w:color="7f7f7f" w:space="0" w:sz="4" w:themeColor="text1" w:themeTint="000080" w:val="single"/>
        </w:tcBorders>
      </w:tcPr>
    </w:tblStylePr>
  </w:style>
  <w:style w:type="table" w:styleId="PlainTable3">
    <w:name w:val="Plain Table 3"/>
    <w:basedOn w:val="TableNormal"/>
    <w:uiPriority w:val="43"/>
    <w:rsid w:val="000251EB"/>
    <w:pPr>
      <w:spacing w:after="0" w:line="240" w:lineRule="auto"/>
    </w:pPr>
    <w:tblPr>
      <w:tblStyleRowBandSize w:val="1"/>
      <w:tblStyleColBandSize w:val="1"/>
    </w:tblPr>
    <w:tblStylePr w:type="firstRow">
      <w:rPr>
        <w:b w:val="1"/>
        <w:bCs w:val="1"/>
        <w:caps w:val="1"/>
      </w:rPr>
      <w:tblPr/>
      <w:tcPr>
        <w:tcBorders>
          <w:bottom w:color="7f7f7f" w:space="0" w:sz="4" w:themeColor="text1" w:themeTint="000080" w:val="single"/>
        </w:tcBorders>
      </w:tcPr>
    </w:tblStylePr>
    <w:tblStylePr w:type="lastRow">
      <w:rPr>
        <w:b w:val="1"/>
        <w:bCs w:val="1"/>
        <w:caps w:val="1"/>
      </w:rPr>
      <w:tblPr/>
      <w:tcPr>
        <w:tcBorders>
          <w:top w:space="0" w:sz="0" w:val="nil"/>
        </w:tcBorders>
      </w:tcPr>
    </w:tblStylePr>
    <w:tblStylePr w:type="firstCol">
      <w:rPr>
        <w:b w:val="1"/>
        <w:bCs w:val="1"/>
        <w:caps w:val="1"/>
      </w:rPr>
      <w:tblPr/>
      <w:tcPr>
        <w:tcBorders>
          <w:right w:color="7f7f7f" w:space="0" w:sz="4" w:themeColor="text1" w:themeTint="000080" w:val="single"/>
        </w:tcBorders>
      </w:tcPr>
    </w:tblStylePr>
    <w:tblStylePr w:type="lastCol">
      <w:rPr>
        <w:b w:val="1"/>
        <w:bCs w:val="1"/>
        <w:caps w:val="1"/>
      </w:rPr>
      <w:tblPr/>
      <w:tcPr>
        <w:tcBorders>
          <w:left w:space="0" w:sz="0" w:val="nil"/>
        </w:tcBorders>
      </w:tc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tblStylePr w:type="neCell">
      <w:tblPr/>
      <w:tcPr>
        <w:tcBorders>
          <w:left w:space="0" w:sz="0" w:val="nil"/>
        </w:tcBorders>
      </w:tcPr>
    </w:tblStylePr>
    <w:tblStylePr w:type="nwCell">
      <w:tblPr/>
      <w:tcPr>
        <w:tcBorders>
          <w:right w:space="0" w:sz="0" w:val="nil"/>
        </w:tcBorders>
      </w:tcPr>
    </w:tblStylePr>
  </w:style>
  <w:style w:type="character" w:styleId="Emphasis">
    <w:name w:val="Emphasis"/>
    <w:basedOn w:val="DefaultParagraphFont"/>
    <w:uiPriority w:val="20"/>
    <w:qFormat w:val="1"/>
    <w:rsid w:val="000834DF"/>
    <w:rPr>
      <w:i w:val="1"/>
      <w:iCs w:val="1"/>
    </w:rPr>
  </w:style>
  <w:style w:type="character" w:styleId="line-clamp-1" w:customStyle="1">
    <w:name w:val="line-clamp-1"/>
    <w:basedOn w:val="DefaultParagraphFont"/>
    <w:rsid w:val="000834DF"/>
  </w:style>
  <w:style w:type="paragraph" w:styleId="NoSpacing">
    <w:name w:val="No Spacing"/>
    <w:uiPriority w:val="1"/>
    <w:qFormat w:val="1"/>
    <w:rsid w:val="00BB7148"/>
    <w:pPr>
      <w:spacing w:after="0" w:line="240" w:lineRule="auto"/>
      <w:jc w:val="both"/>
    </w:pPr>
    <w:rPr>
      <w:rFonts w:ascii="Times New Roman" w:hAnsi="Times New Roman"/>
      <w:color w:val="000000" w:themeColor="text1"/>
      <w:sz w:val="24"/>
    </w:rPr>
  </w:style>
  <w:style w:type="character" w:styleId="overflow-hidden" w:customStyle="1">
    <w:name w:val="overflow-hidden"/>
    <w:basedOn w:val="DefaultParagraphFont"/>
    <w:rsid w:val="00BA6B0B"/>
  </w:style>
  <w:style w:type="character" w:styleId="Heading4Char" w:customStyle="1">
    <w:name w:val="Heading 4 Char"/>
    <w:basedOn w:val="DefaultParagraphFont"/>
    <w:link w:val="Heading4"/>
    <w:uiPriority w:val="9"/>
    <w:semiHidden w:val="1"/>
    <w:rsid w:val="00DD65E6"/>
    <w:rPr>
      <w:rFonts w:asciiTheme="majorHAnsi" w:cstheme="majorBidi" w:eastAsiaTheme="majorEastAsia" w:hAnsiTheme="majorHAnsi"/>
      <w:i w:val="1"/>
      <w:iCs w:val="1"/>
      <w:color w:val="2f5496" w:themeColor="accent1" w:themeShade="0000BF"/>
      <w:sz w:val="24"/>
    </w:rPr>
  </w:style>
  <w:style w:type="table" w:styleId="Style52" w:customStyle="1">
    <w:name w:val="_Style 52"/>
    <w:basedOn w:val="TableNormal"/>
    <w:rsid w:val="00C13E42"/>
    <w:pPr>
      <w:spacing w:after="200" w:line="276" w:lineRule="auto"/>
    </w:pPr>
    <w:rPr>
      <w:rFonts w:ascii="Tahoma" w:cs="Tahoma" w:eastAsia="Tahoma" w:hAnsi="Tahoma"/>
      <w:sz w:val="20"/>
      <w:szCs w:val="20"/>
    </w:rPr>
    <w:tblPr>
      <w:tblCellMar>
        <w:left w:w="0.0" w:type="dxa"/>
        <w:right w:w="0.0" w:type="dxa"/>
      </w:tblCellMar>
    </w:tblPr>
  </w:style>
  <w:style w:type="table" w:styleId="Style53" w:customStyle="1">
    <w:name w:val="_Style 53"/>
    <w:basedOn w:val="TableNormal"/>
    <w:rsid w:val="00C13E42"/>
    <w:pPr>
      <w:spacing w:after="200" w:line="276" w:lineRule="auto"/>
    </w:pPr>
    <w:rPr>
      <w:rFonts w:ascii="Tahoma" w:cs="Tahoma" w:eastAsia="Tahoma" w:hAnsi="Tahoma"/>
      <w:sz w:val="20"/>
      <w:szCs w:val="20"/>
    </w:rPr>
    <w:tblPr>
      <w:tblCellMar>
        <w:left w:w="113.0" w:type="dxa"/>
        <w:right w:w="113.0" w:type="dxa"/>
      </w:tblCellMar>
    </w:tblPr>
  </w:style>
  <w:style w:type="character" w:styleId="mord" w:customStyle="1">
    <w:name w:val="mord"/>
    <w:basedOn w:val="DefaultParagraphFont"/>
    <w:rsid w:val="002223A0"/>
  </w:style>
  <w:style w:type="character" w:styleId="mrel" w:customStyle="1">
    <w:name w:val="mrel"/>
    <w:basedOn w:val="DefaultParagraphFont"/>
    <w:rsid w:val="002223A0"/>
  </w:style>
  <w:style w:type="character" w:styleId="mopen" w:customStyle="1">
    <w:name w:val="mopen"/>
    <w:basedOn w:val="DefaultParagraphFont"/>
    <w:rsid w:val="002223A0"/>
  </w:style>
  <w:style w:type="character" w:styleId="mbin" w:customStyle="1">
    <w:name w:val="mbin"/>
    <w:basedOn w:val="DefaultParagraphFont"/>
    <w:rsid w:val="002223A0"/>
  </w:style>
  <w:style w:type="character" w:styleId="mclose" w:customStyle="1">
    <w:name w:val="mclose"/>
    <w:basedOn w:val="DefaultParagraphFont"/>
    <w:rsid w:val="002223A0"/>
  </w:style>
  <w:style w:type="character" w:styleId="vlist-s" w:customStyle="1">
    <w:name w:val="vlist-s"/>
    <w:basedOn w:val="DefaultParagraphFont"/>
    <w:rsid w:val="002223A0"/>
  </w:style>
  <w:style w:type="character" w:styleId="UnresolvedMention">
    <w:name w:val="Unresolved Mention"/>
    <w:basedOn w:val="DefaultParagraphFont"/>
    <w:uiPriority w:val="99"/>
    <w:semiHidden w:val="1"/>
    <w:unhideWhenUsed w:val="1"/>
    <w:rsid w:val="00B17AED"/>
    <w:rPr>
      <w:color w:val="605e5c"/>
      <w:shd w:color="auto" w:fill="e1dfdd" w:val="clear"/>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M4U5uRZAorXilRFh/HdgL8yLP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OAByITEwZEpLUjJFYXYyVWxXMjFTdXY3Uzl0M0FQaG05dmhQZ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2024-10-22T13:36:00Z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d1bfc2713212a91d772da0e1fcb76e30710fbfc5b30fea87be593f201a52af41</vt:lpwstr>
  </property>
</Properties>
</file>