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ADC0F" w14:textId="7B104730" w:rsidR="00697EA7" w:rsidRPr="002B01C3" w:rsidRDefault="00697EA7" w:rsidP="00F26243">
      <w:pPr>
        <w:spacing w:line="360" w:lineRule="auto"/>
        <w:jc w:val="both"/>
        <w:rPr>
          <w:rFonts w:ascii="Arial" w:hAnsi="Arial" w:cs="Arial"/>
        </w:rPr>
      </w:pPr>
    </w:p>
    <w:p w14:paraId="09E094C3" w14:textId="77777777" w:rsidR="000B63C7" w:rsidRPr="002B01C3" w:rsidRDefault="000B63C7" w:rsidP="00F26243">
      <w:pPr>
        <w:spacing w:line="360" w:lineRule="auto"/>
        <w:jc w:val="both"/>
        <w:rPr>
          <w:rFonts w:ascii="Arial" w:hAnsi="Arial" w:cs="Arial"/>
        </w:rPr>
      </w:pPr>
    </w:p>
    <w:p w14:paraId="2DE27A5D" w14:textId="10590A40" w:rsidR="000B63C7" w:rsidRPr="002B01C3" w:rsidRDefault="000B63C7" w:rsidP="00F26243">
      <w:pPr>
        <w:spacing w:line="360" w:lineRule="auto"/>
        <w:jc w:val="both"/>
        <w:rPr>
          <w:rFonts w:ascii="Arial" w:hAnsi="Arial" w:cs="Arial"/>
        </w:rPr>
      </w:pPr>
    </w:p>
    <w:p w14:paraId="2F03F603" w14:textId="77777777" w:rsidR="000B63C7" w:rsidRPr="002B01C3" w:rsidRDefault="000B63C7" w:rsidP="00F26243">
      <w:pPr>
        <w:spacing w:line="360" w:lineRule="auto"/>
        <w:jc w:val="both"/>
        <w:rPr>
          <w:rFonts w:ascii="Arial" w:hAnsi="Arial" w:cs="Arial"/>
        </w:rPr>
      </w:pPr>
    </w:p>
    <w:p w14:paraId="491B5D3A" w14:textId="68E4EF5E" w:rsidR="000B63C7" w:rsidRPr="002B01C3" w:rsidRDefault="000B63C7" w:rsidP="00F26243">
      <w:pPr>
        <w:spacing w:line="360" w:lineRule="auto"/>
        <w:jc w:val="both"/>
        <w:rPr>
          <w:rFonts w:ascii="Arial" w:hAnsi="Arial" w:cs="Arial"/>
        </w:rPr>
      </w:pPr>
    </w:p>
    <w:p w14:paraId="39951D2C" w14:textId="010F2312" w:rsidR="000B63C7" w:rsidRPr="002B01C3" w:rsidRDefault="000B63C7" w:rsidP="00F26243">
      <w:pPr>
        <w:spacing w:line="360" w:lineRule="auto"/>
        <w:jc w:val="both"/>
        <w:rPr>
          <w:rFonts w:ascii="Arial" w:hAnsi="Arial" w:cs="Arial"/>
        </w:rPr>
      </w:pPr>
    </w:p>
    <w:p w14:paraId="3CC12316" w14:textId="5DA7FBCC" w:rsidR="000B63C7" w:rsidRPr="009E3FAD" w:rsidRDefault="000B63C7" w:rsidP="00F26243">
      <w:pPr>
        <w:spacing w:line="360" w:lineRule="auto"/>
        <w:jc w:val="center"/>
        <w:rPr>
          <w:rFonts w:ascii="Arial" w:hAnsi="Arial" w:cs="Arial"/>
          <w:sz w:val="40"/>
          <w:szCs w:val="40"/>
        </w:rPr>
      </w:pPr>
      <w:r w:rsidRPr="009E3FAD">
        <w:rPr>
          <w:rFonts w:ascii="Arial" w:hAnsi="Arial" w:cs="Arial"/>
          <w:sz w:val="40"/>
          <w:szCs w:val="40"/>
        </w:rPr>
        <w:t>Name</w:t>
      </w:r>
      <w:r w:rsidR="009E3FAD">
        <w:rPr>
          <w:rFonts w:ascii="Arial" w:hAnsi="Arial" w:cs="Arial"/>
          <w:sz w:val="40"/>
          <w:szCs w:val="40"/>
        </w:rPr>
        <w:t>: Roxana-</w:t>
      </w:r>
      <w:proofErr w:type="spellStart"/>
      <w:r w:rsidR="009E3FAD">
        <w:rPr>
          <w:rFonts w:ascii="Arial" w:hAnsi="Arial" w:cs="Arial"/>
          <w:sz w:val="40"/>
          <w:szCs w:val="40"/>
        </w:rPr>
        <w:t>Andreea</w:t>
      </w:r>
      <w:proofErr w:type="spellEnd"/>
      <w:r w:rsidR="009E3FAD">
        <w:rPr>
          <w:rFonts w:ascii="Arial" w:hAnsi="Arial" w:cs="Arial"/>
          <w:sz w:val="40"/>
          <w:szCs w:val="40"/>
        </w:rPr>
        <w:t xml:space="preserve"> Tiris</w:t>
      </w:r>
    </w:p>
    <w:p w14:paraId="30F4A42E" w14:textId="6C405385" w:rsidR="00786F4A" w:rsidRPr="009E3FAD" w:rsidRDefault="000B63C7" w:rsidP="00F26243">
      <w:pPr>
        <w:spacing w:line="360" w:lineRule="auto"/>
        <w:jc w:val="center"/>
        <w:rPr>
          <w:rFonts w:ascii="Arial" w:hAnsi="Arial" w:cs="Arial"/>
          <w:sz w:val="40"/>
          <w:szCs w:val="40"/>
        </w:rPr>
      </w:pPr>
      <w:r w:rsidRPr="009E3FAD">
        <w:rPr>
          <w:rFonts w:ascii="Arial" w:hAnsi="Arial" w:cs="Arial"/>
          <w:sz w:val="40"/>
          <w:szCs w:val="40"/>
        </w:rPr>
        <w:t xml:space="preserve">Student </w:t>
      </w:r>
      <w:r w:rsidR="00786F4A" w:rsidRPr="009E3FAD">
        <w:rPr>
          <w:rFonts w:ascii="Arial" w:hAnsi="Arial" w:cs="Arial"/>
          <w:sz w:val="40"/>
          <w:szCs w:val="40"/>
        </w:rPr>
        <w:t>Number</w:t>
      </w:r>
      <w:r w:rsidR="009E3FAD">
        <w:rPr>
          <w:rFonts w:ascii="Arial" w:hAnsi="Arial" w:cs="Arial"/>
          <w:sz w:val="40"/>
          <w:szCs w:val="40"/>
        </w:rPr>
        <w:t>: 1912305</w:t>
      </w:r>
    </w:p>
    <w:p w14:paraId="344B5134" w14:textId="254B6DBE" w:rsidR="00786F4A" w:rsidRPr="009E3FAD" w:rsidRDefault="00786F4A" w:rsidP="00F26243">
      <w:pPr>
        <w:spacing w:line="360" w:lineRule="auto"/>
        <w:jc w:val="center"/>
        <w:rPr>
          <w:rFonts w:ascii="Arial" w:hAnsi="Arial" w:cs="Arial"/>
          <w:sz w:val="40"/>
          <w:szCs w:val="40"/>
        </w:rPr>
      </w:pPr>
      <w:r w:rsidRPr="009E3FAD">
        <w:rPr>
          <w:rFonts w:ascii="Arial" w:hAnsi="Arial" w:cs="Arial"/>
          <w:sz w:val="40"/>
          <w:szCs w:val="40"/>
        </w:rPr>
        <w:t>Module Title</w:t>
      </w:r>
      <w:r w:rsidR="009E3FAD">
        <w:rPr>
          <w:rFonts w:ascii="Arial" w:hAnsi="Arial" w:cs="Arial"/>
          <w:sz w:val="40"/>
          <w:szCs w:val="40"/>
        </w:rPr>
        <w:t>: Children, Young People and Families</w:t>
      </w:r>
    </w:p>
    <w:p w14:paraId="630A87B2" w14:textId="65B8E9BD" w:rsidR="000B63C7" w:rsidRPr="009E3FAD" w:rsidRDefault="00786F4A" w:rsidP="00F26243">
      <w:pPr>
        <w:spacing w:line="360" w:lineRule="auto"/>
        <w:jc w:val="center"/>
        <w:rPr>
          <w:rFonts w:ascii="Arial" w:hAnsi="Arial" w:cs="Arial"/>
          <w:sz w:val="40"/>
          <w:szCs w:val="40"/>
        </w:rPr>
      </w:pPr>
      <w:r w:rsidRPr="009E3FAD">
        <w:rPr>
          <w:rFonts w:ascii="Arial" w:hAnsi="Arial" w:cs="Arial"/>
          <w:sz w:val="40"/>
          <w:szCs w:val="40"/>
        </w:rPr>
        <w:t>Module Code</w:t>
      </w:r>
      <w:r w:rsidR="009E3FAD">
        <w:rPr>
          <w:rFonts w:ascii="Arial" w:hAnsi="Arial" w:cs="Arial"/>
          <w:sz w:val="40"/>
          <w:szCs w:val="40"/>
        </w:rPr>
        <w:t>: BMHP 5004</w:t>
      </w:r>
    </w:p>
    <w:p w14:paraId="47A0CC9C" w14:textId="7FF427F2" w:rsidR="00786F4A" w:rsidRPr="009E3FAD" w:rsidRDefault="00786F4A" w:rsidP="00F26243">
      <w:pPr>
        <w:spacing w:line="360" w:lineRule="auto"/>
        <w:jc w:val="center"/>
        <w:rPr>
          <w:rFonts w:ascii="Arial" w:hAnsi="Arial" w:cs="Arial"/>
          <w:sz w:val="40"/>
          <w:szCs w:val="40"/>
        </w:rPr>
      </w:pPr>
      <w:r w:rsidRPr="009E3FAD">
        <w:rPr>
          <w:rFonts w:ascii="Arial" w:hAnsi="Arial" w:cs="Arial"/>
          <w:sz w:val="40"/>
          <w:szCs w:val="40"/>
        </w:rPr>
        <w:t>Lecturer Name</w:t>
      </w:r>
      <w:r w:rsidR="009E3FAD">
        <w:rPr>
          <w:rFonts w:ascii="Arial" w:hAnsi="Arial" w:cs="Arial"/>
          <w:sz w:val="40"/>
          <w:szCs w:val="40"/>
        </w:rPr>
        <w:t>: Dr Mohammad Hossain</w:t>
      </w:r>
    </w:p>
    <w:p w14:paraId="612817A4" w14:textId="1C7DAED4" w:rsidR="002B01C3" w:rsidRPr="009E3FAD" w:rsidRDefault="002B01C3" w:rsidP="00F26243">
      <w:pPr>
        <w:spacing w:line="360" w:lineRule="auto"/>
        <w:jc w:val="center"/>
        <w:rPr>
          <w:rFonts w:ascii="Arial" w:hAnsi="Arial" w:cs="Arial"/>
          <w:sz w:val="40"/>
          <w:szCs w:val="40"/>
        </w:rPr>
      </w:pPr>
      <w:r w:rsidRPr="009E3FAD">
        <w:rPr>
          <w:rFonts w:ascii="Arial" w:hAnsi="Arial" w:cs="Arial"/>
          <w:sz w:val="40"/>
          <w:szCs w:val="40"/>
        </w:rPr>
        <w:t>Assignment Title</w:t>
      </w:r>
      <w:r w:rsidR="009E3FAD">
        <w:rPr>
          <w:rFonts w:ascii="Arial" w:hAnsi="Arial" w:cs="Arial"/>
          <w:sz w:val="40"/>
          <w:szCs w:val="40"/>
        </w:rPr>
        <w:t>: Critically discuss the safeguarding concerns for children and families during the Covid-19 Crisis</w:t>
      </w:r>
    </w:p>
    <w:p w14:paraId="3A23D59F" w14:textId="0BC71952" w:rsidR="000B63C7" w:rsidRPr="002B01C3" w:rsidRDefault="000B63C7" w:rsidP="00F26243">
      <w:pPr>
        <w:spacing w:line="360" w:lineRule="auto"/>
        <w:jc w:val="center"/>
        <w:rPr>
          <w:rFonts w:ascii="Arial" w:hAnsi="Arial" w:cs="Arial"/>
        </w:rPr>
      </w:pPr>
    </w:p>
    <w:p w14:paraId="7023091F" w14:textId="0B21DC28" w:rsidR="000B63C7" w:rsidRPr="002B01C3" w:rsidRDefault="000B63C7" w:rsidP="00F26243">
      <w:pPr>
        <w:spacing w:line="360" w:lineRule="auto"/>
        <w:jc w:val="both"/>
        <w:rPr>
          <w:rFonts w:ascii="Arial" w:hAnsi="Arial" w:cs="Arial"/>
        </w:rPr>
      </w:pPr>
    </w:p>
    <w:p w14:paraId="2D07A19B" w14:textId="18CF7E32" w:rsidR="000B63C7" w:rsidRPr="002B01C3" w:rsidRDefault="000B63C7" w:rsidP="00F26243">
      <w:pPr>
        <w:spacing w:line="360" w:lineRule="auto"/>
        <w:jc w:val="both"/>
        <w:rPr>
          <w:rFonts w:ascii="Arial" w:hAnsi="Arial" w:cs="Arial"/>
        </w:rPr>
      </w:pPr>
    </w:p>
    <w:p w14:paraId="6B28F132" w14:textId="77777777" w:rsidR="000B63C7" w:rsidRPr="002B01C3" w:rsidRDefault="000B63C7" w:rsidP="00F26243">
      <w:pPr>
        <w:spacing w:line="360" w:lineRule="auto"/>
        <w:jc w:val="both"/>
        <w:rPr>
          <w:rFonts w:ascii="Arial" w:hAnsi="Arial" w:cs="Arial"/>
        </w:rPr>
      </w:pPr>
    </w:p>
    <w:p w14:paraId="22FFB3AC" w14:textId="77777777" w:rsidR="000B63C7" w:rsidRPr="002B01C3" w:rsidRDefault="000B63C7" w:rsidP="00F26243">
      <w:pPr>
        <w:spacing w:line="360" w:lineRule="auto"/>
        <w:jc w:val="both"/>
        <w:rPr>
          <w:rFonts w:ascii="Arial" w:hAnsi="Arial" w:cs="Arial"/>
        </w:rPr>
      </w:pPr>
    </w:p>
    <w:p w14:paraId="7CFDCFAF" w14:textId="77777777" w:rsidR="000B63C7" w:rsidRPr="002B01C3" w:rsidRDefault="000B63C7" w:rsidP="00F26243">
      <w:pPr>
        <w:spacing w:line="360" w:lineRule="auto"/>
        <w:jc w:val="both"/>
        <w:rPr>
          <w:rFonts w:ascii="Arial" w:hAnsi="Arial" w:cs="Arial"/>
        </w:rPr>
      </w:pPr>
    </w:p>
    <w:p w14:paraId="3E405F64" w14:textId="31BFC65C" w:rsidR="000B63C7" w:rsidRDefault="000B63C7" w:rsidP="00F26243">
      <w:pPr>
        <w:spacing w:line="360" w:lineRule="auto"/>
        <w:jc w:val="both"/>
        <w:rPr>
          <w:rFonts w:ascii="Arial" w:hAnsi="Arial" w:cs="Arial"/>
        </w:rPr>
      </w:pPr>
    </w:p>
    <w:p w14:paraId="25298FC4" w14:textId="25BC25DB" w:rsidR="00F26243" w:rsidRDefault="00F26243" w:rsidP="00F26243">
      <w:pPr>
        <w:spacing w:line="360" w:lineRule="auto"/>
        <w:jc w:val="both"/>
        <w:rPr>
          <w:rFonts w:ascii="Arial" w:hAnsi="Arial" w:cs="Arial"/>
        </w:rPr>
      </w:pPr>
    </w:p>
    <w:p w14:paraId="3E050804" w14:textId="621169E7" w:rsidR="00F26243" w:rsidRDefault="00F26243" w:rsidP="00F26243">
      <w:pPr>
        <w:spacing w:line="360" w:lineRule="auto"/>
        <w:jc w:val="both"/>
        <w:rPr>
          <w:rFonts w:ascii="Arial" w:hAnsi="Arial" w:cs="Arial"/>
        </w:rPr>
      </w:pPr>
    </w:p>
    <w:p w14:paraId="5118A4B3" w14:textId="39734271" w:rsidR="00F26243" w:rsidRDefault="00F26243" w:rsidP="00F26243">
      <w:pPr>
        <w:spacing w:line="360" w:lineRule="auto"/>
        <w:jc w:val="both"/>
        <w:rPr>
          <w:rFonts w:ascii="Arial" w:hAnsi="Arial" w:cs="Arial"/>
        </w:rPr>
      </w:pPr>
    </w:p>
    <w:p w14:paraId="15C8B39B" w14:textId="4F9F10E2" w:rsidR="00F26243" w:rsidRDefault="00F26243" w:rsidP="00F26243">
      <w:pPr>
        <w:spacing w:line="360" w:lineRule="auto"/>
        <w:jc w:val="both"/>
        <w:rPr>
          <w:rFonts w:ascii="Arial" w:hAnsi="Arial" w:cs="Arial"/>
        </w:rPr>
      </w:pPr>
    </w:p>
    <w:p w14:paraId="24578432" w14:textId="77777777" w:rsidR="00F26243" w:rsidRPr="002B01C3" w:rsidRDefault="00F26243" w:rsidP="00F26243">
      <w:pPr>
        <w:spacing w:line="360" w:lineRule="auto"/>
        <w:jc w:val="both"/>
        <w:rPr>
          <w:rFonts w:ascii="Arial" w:hAnsi="Arial" w:cs="Arial"/>
        </w:rPr>
      </w:pPr>
    </w:p>
    <w:p w14:paraId="1875F6C7" w14:textId="1EC07D34" w:rsidR="00CA68D2" w:rsidRPr="00CA68D2" w:rsidRDefault="00CA68D2" w:rsidP="00CA68D2">
      <w:pPr>
        <w:spacing w:line="360" w:lineRule="auto"/>
        <w:jc w:val="center"/>
        <w:rPr>
          <w:rFonts w:ascii="Arial" w:hAnsi="Arial" w:cs="Arial"/>
          <w:b/>
          <w:bCs/>
          <w:sz w:val="32"/>
          <w:szCs w:val="32"/>
        </w:rPr>
      </w:pPr>
      <w:r w:rsidRPr="00CA68D2">
        <w:rPr>
          <w:rFonts w:ascii="Arial" w:hAnsi="Arial" w:cs="Arial"/>
          <w:b/>
          <w:bCs/>
          <w:sz w:val="32"/>
          <w:szCs w:val="32"/>
        </w:rPr>
        <w:t>Critically discuss the safeguarding concerns for children and families during the COVID-19 crisis.</w:t>
      </w:r>
    </w:p>
    <w:p w14:paraId="5398FC72" w14:textId="5F714BCE" w:rsidR="00697EA7" w:rsidRPr="00CA68D2" w:rsidRDefault="006750FB" w:rsidP="00F26243">
      <w:pPr>
        <w:spacing w:line="360" w:lineRule="auto"/>
        <w:jc w:val="both"/>
        <w:rPr>
          <w:rFonts w:ascii="Arial" w:hAnsi="Arial" w:cs="Arial"/>
          <w:b/>
          <w:bCs/>
          <w:sz w:val="28"/>
          <w:szCs w:val="28"/>
        </w:rPr>
      </w:pPr>
      <w:r w:rsidRPr="00CA68D2">
        <w:rPr>
          <w:rFonts w:ascii="Arial" w:hAnsi="Arial" w:cs="Arial"/>
          <w:b/>
          <w:bCs/>
          <w:sz w:val="28"/>
          <w:szCs w:val="28"/>
        </w:rPr>
        <w:t>Background</w:t>
      </w:r>
    </w:p>
    <w:p w14:paraId="252ADC66" w14:textId="2848FFAD" w:rsidR="00502042" w:rsidRPr="00B51722" w:rsidRDefault="00502042" w:rsidP="00F26243">
      <w:pPr>
        <w:spacing w:line="360" w:lineRule="auto"/>
        <w:jc w:val="both"/>
        <w:rPr>
          <w:rFonts w:ascii="Arial" w:hAnsi="Arial" w:cs="Arial"/>
        </w:rPr>
      </w:pPr>
      <w:r w:rsidRPr="00B51722">
        <w:rPr>
          <w:rFonts w:ascii="Arial" w:hAnsi="Arial" w:cs="Arial"/>
        </w:rPr>
        <w:t xml:space="preserve">The COVID-19 death toll in the United Kingdom is the greatest in Europe. As of the first of the year, there have been 283,757 cases and 43,995 confirmed deaths, with a total of 54,470 deaths linked to COVID-19 since July of that year. Northern Ireland’s death rate per capita is the lowest in the United Kingdom, </w:t>
      </w:r>
      <w:proofErr w:type="gramStart"/>
      <w:r w:rsidRPr="00B51722">
        <w:rPr>
          <w:rFonts w:ascii="Arial" w:hAnsi="Arial" w:cs="Arial"/>
        </w:rPr>
        <w:t>despite the fact that</w:t>
      </w:r>
      <w:proofErr w:type="gramEnd"/>
      <w:r w:rsidRPr="00B51722">
        <w:rPr>
          <w:rFonts w:ascii="Arial" w:hAnsi="Arial" w:cs="Arial"/>
        </w:rPr>
        <w:t xml:space="preserve"> healthcare is devolved. The elected governments of Northern Ireland, Scotland, and Wales are responsible for providing health and social services. As a result, the UK government is nonetheless responsible for a large range of shared issues (such as defence and healthcare in England) that are delegated to them. The COVID-19 issue has been addressed in a unique way by each country. As a result, lockdowns and the ramifications they have on various groups of people have had to be addressed at various points in time and in various ways.</w:t>
      </w:r>
    </w:p>
    <w:p w14:paraId="78560779" w14:textId="4B210BB8" w:rsidR="00502042" w:rsidRPr="00B51722" w:rsidRDefault="00502042" w:rsidP="00F26243">
      <w:pPr>
        <w:spacing w:line="360" w:lineRule="auto"/>
        <w:jc w:val="both"/>
        <w:rPr>
          <w:rFonts w:ascii="Arial" w:hAnsi="Arial" w:cs="Arial"/>
        </w:rPr>
      </w:pPr>
      <w:r w:rsidRPr="00B51722">
        <w:rPr>
          <w:rFonts w:ascii="Arial" w:hAnsi="Arial" w:cs="Arial"/>
        </w:rPr>
        <w:t>While some persons refused or were unable to comply with lockdown regulations, others were able to do so. Low-income households and ethnic and racial minorities were the least likely to be able to work from home because of a lack of job flexibility and the capacity to separate themselves (Atchison et al., 2020). Children and teens in the UK have been notably impacted by the UK’s policy response to the global financial crisis of 2008, which includes dramatic cuts to social assistance and public spending. We should be concerned about the long-term physical and emotional health of children as a result of this pandemic. As a result, “vulnerable” youngsters are likely to confront a wider range of issues.</w:t>
      </w:r>
    </w:p>
    <w:p w14:paraId="4B055C93" w14:textId="7FF126D3" w:rsidR="00502042" w:rsidRPr="00B51722" w:rsidRDefault="00B51722" w:rsidP="00F26243">
      <w:pPr>
        <w:spacing w:line="360" w:lineRule="auto"/>
        <w:jc w:val="both"/>
        <w:rPr>
          <w:rFonts w:ascii="Arial" w:hAnsi="Arial" w:cs="Arial"/>
          <w:b/>
          <w:bCs/>
          <w:sz w:val="28"/>
          <w:szCs w:val="28"/>
        </w:rPr>
      </w:pPr>
      <w:r w:rsidRPr="00B51722">
        <w:rPr>
          <w:rFonts w:ascii="Arial" w:hAnsi="Arial" w:cs="Arial"/>
          <w:b/>
          <w:bCs/>
          <w:sz w:val="28"/>
          <w:szCs w:val="28"/>
        </w:rPr>
        <w:t>Child vulnerability during COVID period</w:t>
      </w:r>
    </w:p>
    <w:p w14:paraId="27BD49DF" w14:textId="35AF9E46" w:rsidR="00502042" w:rsidRPr="00B51722" w:rsidRDefault="00502042" w:rsidP="00F26243">
      <w:pPr>
        <w:spacing w:line="360" w:lineRule="auto"/>
        <w:jc w:val="both"/>
        <w:rPr>
          <w:rFonts w:ascii="Arial" w:hAnsi="Arial" w:cs="Arial"/>
        </w:rPr>
      </w:pPr>
      <w:r w:rsidRPr="00B51722">
        <w:rPr>
          <w:rFonts w:ascii="Arial" w:hAnsi="Arial" w:cs="Arial"/>
        </w:rPr>
        <w:lastRenderedPageBreak/>
        <w:t>As a result of the widely held perception that children and adolescents are incapable of adequately protecting themselves, society views them as particularly vulnerable. “vulnerability” is a term that many people use interchangeably, and those who fall into this category are treated as such. Because the concept of vulnerability is not a static one, no one can agree on which groups are vulnerable (</w:t>
      </w:r>
      <w:proofErr w:type="spellStart"/>
      <w:r w:rsidRPr="00B51722">
        <w:rPr>
          <w:rFonts w:ascii="Arial" w:hAnsi="Arial" w:cs="Arial"/>
        </w:rPr>
        <w:t>Ruof</w:t>
      </w:r>
      <w:proofErr w:type="spellEnd"/>
      <w:r w:rsidRPr="00B51722">
        <w:rPr>
          <w:rFonts w:ascii="Arial" w:hAnsi="Arial" w:cs="Arial"/>
        </w:rPr>
        <w:t>, 2004). (</w:t>
      </w:r>
      <w:proofErr w:type="spellStart"/>
      <w:r w:rsidRPr="00B51722">
        <w:rPr>
          <w:rFonts w:ascii="Arial" w:hAnsi="Arial" w:cs="Arial"/>
        </w:rPr>
        <w:t>Ruof</w:t>
      </w:r>
      <w:proofErr w:type="spellEnd"/>
      <w:r w:rsidRPr="00B51722">
        <w:rPr>
          <w:rFonts w:ascii="Arial" w:hAnsi="Arial" w:cs="Arial"/>
        </w:rPr>
        <w:t>, 2004). Northern and Kappel are two cities in Norway (2011). Because of this, there has been a shift in the way children’s vulnerability has been examined, articulated and fought over time.</w:t>
      </w:r>
    </w:p>
    <w:p w14:paraId="23C7BB04" w14:textId="77777777" w:rsidR="00502042" w:rsidRPr="00B51722" w:rsidRDefault="00502042" w:rsidP="00F26243">
      <w:pPr>
        <w:spacing w:line="360" w:lineRule="auto"/>
        <w:jc w:val="both"/>
        <w:rPr>
          <w:rFonts w:ascii="Arial" w:hAnsi="Arial" w:cs="Arial"/>
        </w:rPr>
      </w:pPr>
    </w:p>
    <w:p w14:paraId="7EE814AF" w14:textId="616B6AAE" w:rsidR="00502042" w:rsidRPr="00B51722" w:rsidRDefault="00502042" w:rsidP="00F26243">
      <w:pPr>
        <w:spacing w:line="360" w:lineRule="auto"/>
        <w:jc w:val="both"/>
        <w:rPr>
          <w:rFonts w:ascii="Arial" w:hAnsi="Arial" w:cs="Arial"/>
        </w:rPr>
      </w:pPr>
      <w:r w:rsidRPr="00B51722">
        <w:rPr>
          <w:rFonts w:ascii="Arial" w:hAnsi="Arial" w:cs="Arial"/>
        </w:rPr>
        <w:t xml:space="preserve">Getting ready for a pandemic Classification of children’s vulnerability was based on the Technical Paper 2 of the Children’s Commissioner (Children’s Commissioner, 2020). According to the Children’s Commissioner’s 2019 vulnerability assessment, released just nine months before the COVID-19 outbreak (Children’s Commissioner, 2020), 2.3 million UK children live in vulnerable families. One group has “unclear” support, while another group is “invisible” to the system, </w:t>
      </w:r>
      <w:proofErr w:type="spellStart"/>
      <w:r w:rsidRPr="00B51722">
        <w:rPr>
          <w:rFonts w:ascii="Arial" w:hAnsi="Arial" w:cs="Arial"/>
        </w:rPr>
        <w:t>totaling</w:t>
      </w:r>
      <w:proofErr w:type="spellEnd"/>
      <w:r w:rsidRPr="00B51722">
        <w:rPr>
          <w:rFonts w:ascii="Arial" w:hAnsi="Arial" w:cs="Arial"/>
        </w:rPr>
        <w:t xml:space="preserve"> 829,000.</w:t>
      </w:r>
    </w:p>
    <w:p w14:paraId="30803CC4" w14:textId="70E88321" w:rsidR="00502042" w:rsidRPr="00B51722" w:rsidRDefault="00502042" w:rsidP="00F26243">
      <w:pPr>
        <w:spacing w:line="360" w:lineRule="auto"/>
        <w:jc w:val="both"/>
        <w:rPr>
          <w:rFonts w:ascii="Arial" w:hAnsi="Arial" w:cs="Arial"/>
        </w:rPr>
      </w:pPr>
      <w:r w:rsidRPr="00B51722">
        <w:rPr>
          <w:rFonts w:ascii="Arial" w:hAnsi="Arial" w:cs="Arial"/>
        </w:rPr>
        <w:t>A “vulnerable child or adolescent” is defined as a child or adolescent with the following characteristics:</w:t>
      </w:r>
    </w:p>
    <w:p w14:paraId="3F1913BC" w14:textId="23BA31EE" w:rsidR="00502042" w:rsidRPr="00B51722" w:rsidRDefault="00502042" w:rsidP="00B51722">
      <w:pPr>
        <w:pStyle w:val="ListParagraph"/>
        <w:numPr>
          <w:ilvl w:val="0"/>
          <w:numId w:val="7"/>
        </w:numPr>
        <w:spacing w:line="360" w:lineRule="auto"/>
        <w:jc w:val="both"/>
        <w:rPr>
          <w:rFonts w:ascii="Arial" w:hAnsi="Arial" w:cs="Arial"/>
        </w:rPr>
      </w:pPr>
      <w:r w:rsidRPr="00B51722">
        <w:rPr>
          <w:rFonts w:ascii="Arial" w:hAnsi="Arial" w:cs="Arial"/>
        </w:rPr>
        <w:t>Do they have a safety net in place, or does someone else take care of them?</w:t>
      </w:r>
    </w:p>
    <w:p w14:paraId="4932994B" w14:textId="391A44F0" w:rsidR="00502042" w:rsidRPr="00B51722" w:rsidRDefault="00502042" w:rsidP="00B51722">
      <w:pPr>
        <w:pStyle w:val="ListParagraph"/>
        <w:numPr>
          <w:ilvl w:val="0"/>
          <w:numId w:val="7"/>
        </w:numPr>
        <w:spacing w:line="360" w:lineRule="auto"/>
        <w:jc w:val="both"/>
        <w:rPr>
          <w:rFonts w:ascii="Arial" w:hAnsi="Arial" w:cs="Arial"/>
        </w:rPr>
      </w:pPr>
      <w:r w:rsidRPr="00B51722">
        <w:rPr>
          <w:rFonts w:ascii="Arial" w:hAnsi="Arial" w:cs="Arial"/>
        </w:rPr>
        <w:t>Is your EHCP too dangerous for you to handle at home?</w:t>
      </w:r>
    </w:p>
    <w:p w14:paraId="0211AC59" w14:textId="2F94FB5F" w:rsidR="00502042" w:rsidRPr="00B51722" w:rsidRDefault="00502042" w:rsidP="00B51722">
      <w:pPr>
        <w:pStyle w:val="ListParagraph"/>
        <w:numPr>
          <w:ilvl w:val="0"/>
          <w:numId w:val="7"/>
        </w:numPr>
        <w:spacing w:line="360" w:lineRule="auto"/>
        <w:jc w:val="both"/>
        <w:rPr>
          <w:rFonts w:ascii="Arial" w:hAnsi="Arial" w:cs="Arial"/>
        </w:rPr>
      </w:pPr>
      <w:r w:rsidRPr="00B51722">
        <w:rPr>
          <w:rFonts w:ascii="Arial" w:hAnsi="Arial" w:cs="Arial"/>
        </w:rPr>
        <w:t>Local authorities or educational institutions have classified them as vulnerable to harm.</w:t>
      </w:r>
    </w:p>
    <w:p w14:paraId="50630CEB" w14:textId="54ECDF37" w:rsidR="00502042" w:rsidRPr="00B51722" w:rsidRDefault="00502042" w:rsidP="00F26243">
      <w:pPr>
        <w:spacing w:line="360" w:lineRule="auto"/>
        <w:jc w:val="both"/>
        <w:rPr>
          <w:rFonts w:ascii="Arial" w:hAnsi="Arial" w:cs="Arial"/>
        </w:rPr>
      </w:pPr>
      <w:r w:rsidRPr="00B51722">
        <w:rPr>
          <w:rFonts w:ascii="Arial" w:hAnsi="Arial" w:cs="Arial"/>
        </w:rPr>
        <w:t xml:space="preserve">The government, according to </w:t>
      </w:r>
      <w:proofErr w:type="gramStart"/>
      <w:r w:rsidRPr="00B51722">
        <w:rPr>
          <w:rFonts w:ascii="Arial" w:hAnsi="Arial" w:cs="Arial"/>
        </w:rPr>
        <w:t>a number of</w:t>
      </w:r>
      <w:proofErr w:type="gramEnd"/>
      <w:r w:rsidRPr="00B51722">
        <w:rPr>
          <w:rFonts w:ascii="Arial" w:hAnsi="Arial" w:cs="Arial"/>
        </w:rPr>
        <w:t xml:space="preserve"> groups, should give these children with the essential educational and medical treatment, as well as enough protection from harm. Because of this, social services in England and Wales, the principal agency tasked with protecting children, have changed its practises. Social workers who had to deal with situations when choices and decisions went beyond traditional ethics and required rationing of care and resources and tighter prioritisation of clients had to deal with unavoidable challenges as a result of these alterations in policy and practise. For those of you who have never heard of it, here is a brief introduction (the British Association of Social Workers)</w:t>
      </w:r>
    </w:p>
    <w:p w14:paraId="4E69D108" w14:textId="6F450321" w:rsidR="00502042" w:rsidRPr="00B51722" w:rsidRDefault="00502042" w:rsidP="00F26243">
      <w:pPr>
        <w:spacing w:line="360" w:lineRule="auto"/>
        <w:jc w:val="both"/>
        <w:rPr>
          <w:rFonts w:ascii="Arial" w:hAnsi="Arial" w:cs="Arial"/>
          <w:b/>
          <w:bCs/>
          <w:sz w:val="28"/>
          <w:szCs w:val="28"/>
        </w:rPr>
      </w:pPr>
      <w:r w:rsidRPr="00B51722">
        <w:rPr>
          <w:rFonts w:ascii="Arial" w:hAnsi="Arial" w:cs="Arial"/>
          <w:b/>
          <w:bCs/>
          <w:sz w:val="28"/>
          <w:szCs w:val="28"/>
        </w:rPr>
        <w:t xml:space="preserve">Challenges Faced </w:t>
      </w:r>
      <w:r w:rsidR="00B51722" w:rsidRPr="00B51722">
        <w:rPr>
          <w:rFonts w:ascii="Arial" w:hAnsi="Arial" w:cs="Arial"/>
          <w:b/>
          <w:bCs/>
          <w:sz w:val="28"/>
          <w:szCs w:val="28"/>
        </w:rPr>
        <w:t>During</w:t>
      </w:r>
      <w:r w:rsidRPr="00B51722">
        <w:rPr>
          <w:rFonts w:ascii="Arial" w:hAnsi="Arial" w:cs="Arial"/>
          <w:b/>
          <w:bCs/>
          <w:sz w:val="28"/>
          <w:szCs w:val="28"/>
        </w:rPr>
        <w:t xml:space="preserve"> COVID-19</w:t>
      </w:r>
    </w:p>
    <w:p w14:paraId="25C6ED8B" w14:textId="4595F183" w:rsidR="00502042" w:rsidRPr="00B51722" w:rsidRDefault="00502042" w:rsidP="00F26243">
      <w:pPr>
        <w:spacing w:line="360" w:lineRule="auto"/>
        <w:jc w:val="both"/>
        <w:rPr>
          <w:rFonts w:ascii="Arial" w:hAnsi="Arial" w:cs="Arial"/>
        </w:rPr>
      </w:pPr>
      <w:r w:rsidRPr="00B51722">
        <w:rPr>
          <w:rFonts w:ascii="Arial" w:hAnsi="Arial" w:cs="Arial"/>
        </w:rPr>
        <w:t xml:space="preserve">During the COVID-19 scenario, professionals had to deal with ethical and practical difficulties </w:t>
      </w:r>
      <w:proofErr w:type="gramStart"/>
      <w:r w:rsidRPr="00B51722">
        <w:rPr>
          <w:rFonts w:ascii="Arial" w:hAnsi="Arial" w:cs="Arial"/>
        </w:rPr>
        <w:t>on a daily basis</w:t>
      </w:r>
      <w:proofErr w:type="gramEnd"/>
      <w:r w:rsidRPr="00B51722">
        <w:rPr>
          <w:rFonts w:ascii="Arial" w:hAnsi="Arial" w:cs="Arial"/>
        </w:rPr>
        <w:t xml:space="preserve">. The government’s definition of “vulnerable” children and teens has a significant impact on how social services are delivered in practise. Despite the challenges it has created, the </w:t>
      </w:r>
      <w:r w:rsidRPr="00B51722">
        <w:rPr>
          <w:rFonts w:ascii="Arial" w:hAnsi="Arial" w:cs="Arial"/>
        </w:rPr>
        <w:lastRenderedPageBreak/>
        <w:t>epidemic has benefited many elements of social work (the full consequences of which are still unknown). As a result of the unstable and fragile situations that some families endure, children are at greater danger from current “risky” programmes. That’s doable, as these instances demonstrate.</w:t>
      </w:r>
    </w:p>
    <w:p w14:paraId="4E86E918" w14:textId="245F176B" w:rsidR="00502042" w:rsidRPr="00B51722" w:rsidRDefault="00502042" w:rsidP="00F26243">
      <w:pPr>
        <w:spacing w:line="360" w:lineRule="auto"/>
        <w:jc w:val="both"/>
        <w:rPr>
          <w:rFonts w:ascii="Arial" w:hAnsi="Arial" w:cs="Arial"/>
        </w:rPr>
      </w:pPr>
      <w:r w:rsidRPr="00B51722">
        <w:rPr>
          <w:rFonts w:ascii="Arial" w:hAnsi="Arial" w:cs="Arial"/>
        </w:rPr>
        <w:t>Children and teens’ health workers have had to overcome their fear of using digital communication tools because of the COVID-19 pandemic. Adolescent mental health services will see an increase in demand as a result of lockdown, according to the Association of Directors of Children’s Services (ADCS) (CAMHS). Problems in the post-recovery era will need the development of new digital technologies.</w:t>
      </w:r>
    </w:p>
    <w:p w14:paraId="28A92F29" w14:textId="4FE7C159" w:rsidR="00502042" w:rsidRPr="00B51722" w:rsidRDefault="00502042" w:rsidP="00F26243">
      <w:pPr>
        <w:spacing w:line="360" w:lineRule="auto"/>
        <w:jc w:val="both"/>
        <w:rPr>
          <w:rFonts w:ascii="Arial" w:hAnsi="Arial" w:cs="Arial"/>
        </w:rPr>
      </w:pPr>
      <w:r w:rsidRPr="00B51722">
        <w:rPr>
          <w:rFonts w:ascii="Arial" w:hAnsi="Arial" w:cs="Arial"/>
        </w:rPr>
        <w:t>Professionals who work with children and adolescents have generally been resistant to digital technology and digitally mediated service delivery (</w:t>
      </w:r>
      <w:proofErr w:type="spellStart"/>
      <w:r w:rsidRPr="00B51722">
        <w:rPr>
          <w:rFonts w:ascii="Arial" w:hAnsi="Arial" w:cs="Arial"/>
        </w:rPr>
        <w:t>Topocco</w:t>
      </w:r>
      <w:proofErr w:type="spellEnd"/>
      <w:r w:rsidRPr="00B51722">
        <w:rPr>
          <w:rFonts w:ascii="Arial" w:hAnsi="Arial" w:cs="Arial"/>
        </w:rPr>
        <w:t xml:space="preserve"> et al., 2017). Because they feel less vulnerable and less exposed to others, young people prefer obtaining services digitally, according to a study (Gray, Klein, Noyce, </w:t>
      </w:r>
      <w:proofErr w:type="spellStart"/>
      <w:r w:rsidRPr="00B51722">
        <w:rPr>
          <w:rFonts w:ascii="Arial" w:hAnsi="Arial" w:cs="Arial"/>
        </w:rPr>
        <w:t>Sesselberg</w:t>
      </w:r>
      <w:proofErr w:type="spellEnd"/>
      <w:r w:rsidRPr="00B51722">
        <w:rPr>
          <w:rFonts w:ascii="Arial" w:hAnsi="Arial" w:cs="Arial"/>
        </w:rPr>
        <w:t xml:space="preserve">, &amp; </w:t>
      </w:r>
      <w:proofErr w:type="spellStart"/>
      <w:r w:rsidRPr="00B51722">
        <w:rPr>
          <w:rFonts w:ascii="Arial" w:hAnsi="Arial" w:cs="Arial"/>
        </w:rPr>
        <w:t>Cantrill</w:t>
      </w:r>
      <w:proofErr w:type="spellEnd"/>
      <w:r w:rsidRPr="00B51722">
        <w:rPr>
          <w:rFonts w:ascii="Arial" w:hAnsi="Arial" w:cs="Arial"/>
        </w:rPr>
        <w:t>, 2005). Because they work with underserved and frequently stigmatised populations, social service organisations stand to benefit greatly from digital engagement (e.g., Gillingham, 2016; Gallagher, 2016). Many professionals are now aware of the possibilities of the COVID-19 service standards after observing that some young people prefer to converse online rather than in-person. As a result of this, some people’s trust and friendships have been strengthened.</w:t>
      </w:r>
    </w:p>
    <w:p w14:paraId="69A61943" w14:textId="78E6FE60" w:rsidR="00502042" w:rsidRPr="00B51722" w:rsidRDefault="00502042" w:rsidP="00F26243">
      <w:pPr>
        <w:spacing w:line="360" w:lineRule="auto"/>
        <w:jc w:val="both"/>
        <w:rPr>
          <w:rFonts w:ascii="Arial" w:hAnsi="Arial" w:cs="Arial"/>
        </w:rPr>
      </w:pPr>
      <w:r w:rsidRPr="00B51722">
        <w:rPr>
          <w:rFonts w:ascii="Arial" w:hAnsi="Arial" w:cs="Arial"/>
        </w:rPr>
        <w:t>The number of people contacting the duty teams for child protection has decreased. People who are concerned about the safety of children should contact these organisations first. Cases for child protection specialists in several areas have dropped by 50%, according to directors of children’s services and health care workers who have fewer chances to interact with patients in this context than schools and instructors. (</w:t>
      </w:r>
      <w:proofErr w:type="spellStart"/>
      <w:r w:rsidRPr="00B51722">
        <w:rPr>
          <w:rFonts w:ascii="Arial" w:hAnsi="Arial" w:cs="Arial"/>
        </w:rPr>
        <w:t>Weale</w:t>
      </w:r>
      <w:proofErr w:type="spellEnd"/>
      <w:r w:rsidRPr="00B51722">
        <w:rPr>
          <w:rFonts w:ascii="Arial" w:hAnsi="Arial" w:cs="Arial"/>
        </w:rPr>
        <w:t>, 2020) (GPs, routine hospital appointments, and Accident &amp; Emergency departments).</w:t>
      </w:r>
    </w:p>
    <w:p w14:paraId="173A1BEC" w14:textId="5A1B4179" w:rsidR="00502042" w:rsidRPr="00B51722" w:rsidRDefault="00502042" w:rsidP="00F26243">
      <w:pPr>
        <w:spacing w:line="360" w:lineRule="auto"/>
        <w:jc w:val="both"/>
        <w:rPr>
          <w:rFonts w:ascii="Arial" w:hAnsi="Arial" w:cs="Arial"/>
        </w:rPr>
      </w:pPr>
      <w:r w:rsidRPr="00B51722">
        <w:rPr>
          <w:rFonts w:ascii="Arial" w:hAnsi="Arial" w:cs="Arial"/>
        </w:rPr>
        <w:t>As a result of statutory changes in England and Wales addressing partnerships, the pandemic has occurred at a time when educational professional representation has decreased in importance. “Local Safeguarding Partnerships” were superseded in the Children and Social Work Act of 2017 by “Local Safeguarding Boards.” This latter group included the chief executive of the local authority, a clinical commissioning group accountable officer, and the police chief officer. If these “partnerships” can still connect with appropriate authorities by 2019, they can still place education at the core of the protection process (including schools).</w:t>
      </w:r>
    </w:p>
    <w:p w14:paraId="2B4DF5DE" w14:textId="00A52223" w:rsidR="00502042" w:rsidRPr="00FE785B" w:rsidRDefault="00502042" w:rsidP="00F26243">
      <w:pPr>
        <w:spacing w:line="360" w:lineRule="auto"/>
        <w:jc w:val="both"/>
        <w:rPr>
          <w:rFonts w:ascii="Arial" w:hAnsi="Arial" w:cs="Arial"/>
          <w:b/>
          <w:bCs/>
          <w:sz w:val="28"/>
          <w:szCs w:val="28"/>
        </w:rPr>
      </w:pPr>
      <w:r>
        <w:rPr>
          <w:rFonts w:ascii="Arial" w:hAnsi="Arial" w:cs="Arial"/>
          <w:b/>
          <w:bCs/>
          <w:sz w:val="28"/>
          <w:szCs w:val="28"/>
        </w:rPr>
        <w:t>Amid the COVID-19 crisis, protecting children and their families</w:t>
      </w:r>
    </w:p>
    <w:p w14:paraId="3052AD46" w14:textId="7807E9A9" w:rsidR="00D00590" w:rsidRPr="002B01C3" w:rsidRDefault="006750FB" w:rsidP="00F26243">
      <w:pPr>
        <w:spacing w:line="360" w:lineRule="auto"/>
        <w:jc w:val="both"/>
        <w:rPr>
          <w:rFonts w:ascii="Arial" w:hAnsi="Arial" w:cs="Arial"/>
        </w:rPr>
      </w:pPr>
      <w:r w:rsidRPr="002B01C3">
        <w:rPr>
          <w:rFonts w:ascii="Arial" w:hAnsi="Arial" w:cs="Arial"/>
        </w:rPr>
        <w:lastRenderedPageBreak/>
        <w:t xml:space="preserve">Your efforts to help and safeguard vulnerable children and their families face new hurdles since COVID-19 is here to stay. It is more important than ever to keep a lookout for children who may be more vulnerable to injury, abuse, or exploitation because of various causes. Parents are under a lot of pressure to safeguard and promote their children's welfare. </w:t>
      </w:r>
      <w:proofErr w:type="gramStart"/>
      <w:r w:rsidRPr="002B01C3">
        <w:rPr>
          <w:rFonts w:ascii="Arial" w:hAnsi="Arial" w:cs="Arial"/>
        </w:rPr>
        <w:t>Therefore</w:t>
      </w:r>
      <w:proofErr w:type="gramEnd"/>
      <w:r w:rsidRPr="002B01C3">
        <w:rPr>
          <w:rFonts w:ascii="Arial" w:hAnsi="Arial" w:cs="Arial"/>
        </w:rPr>
        <w:t xml:space="preserve"> it's important to protect families as well. Because these parents may already be under great stress, any harm or major harm to their children could be exacerbated.</w:t>
      </w:r>
    </w:p>
    <w:p w14:paraId="764CC22D" w14:textId="0B168FD7" w:rsidR="00D00590" w:rsidRPr="00FE785B" w:rsidRDefault="006750FB" w:rsidP="00F26243">
      <w:pPr>
        <w:spacing w:line="360" w:lineRule="auto"/>
        <w:jc w:val="both"/>
        <w:rPr>
          <w:rFonts w:ascii="Arial" w:hAnsi="Arial" w:cs="Arial"/>
          <w:b/>
          <w:bCs/>
          <w:sz w:val="28"/>
          <w:szCs w:val="28"/>
        </w:rPr>
      </w:pPr>
      <w:r w:rsidRPr="00FE785B">
        <w:rPr>
          <w:rFonts w:ascii="Arial" w:hAnsi="Arial" w:cs="Arial"/>
          <w:b/>
          <w:bCs/>
          <w:sz w:val="28"/>
          <w:szCs w:val="28"/>
        </w:rPr>
        <w:t>Risk factors of COVID 19 in children</w:t>
      </w:r>
    </w:p>
    <w:p w14:paraId="2A091618" w14:textId="3B08FBF5" w:rsidR="00D00590" w:rsidRPr="002B01C3" w:rsidRDefault="006750FB" w:rsidP="00F26243">
      <w:pPr>
        <w:pStyle w:val="ListParagraph"/>
        <w:numPr>
          <w:ilvl w:val="0"/>
          <w:numId w:val="6"/>
        </w:numPr>
        <w:spacing w:line="360" w:lineRule="auto"/>
        <w:jc w:val="both"/>
        <w:rPr>
          <w:rFonts w:ascii="Arial" w:hAnsi="Arial" w:cs="Arial"/>
        </w:rPr>
      </w:pPr>
      <w:r w:rsidRPr="002B01C3">
        <w:rPr>
          <w:rFonts w:ascii="Arial" w:hAnsi="Arial" w:cs="Arial"/>
        </w:rPr>
        <w:t>Poverty</w:t>
      </w:r>
    </w:p>
    <w:p w14:paraId="2C1A893C" w14:textId="74014B4A" w:rsidR="00D00590" w:rsidRPr="002B01C3" w:rsidRDefault="006750FB" w:rsidP="00F26243">
      <w:pPr>
        <w:spacing w:line="360" w:lineRule="auto"/>
        <w:jc w:val="both"/>
        <w:rPr>
          <w:rFonts w:ascii="Arial" w:hAnsi="Arial" w:cs="Arial"/>
        </w:rPr>
      </w:pPr>
      <w:r w:rsidRPr="002B01C3">
        <w:rPr>
          <w:rFonts w:ascii="Arial" w:hAnsi="Arial" w:cs="Arial"/>
        </w:rPr>
        <w:t>Poverty and the protection of children and their families have long been interwoven in our culture. Families unable to meet their children's basic needs are more likely to suffer from abuse, neglect, and other forms of damage. People who cannot work or have been forced to live in solitude have been put at greater risk of poverty because of the COVID-19 epidemic.</w:t>
      </w:r>
    </w:p>
    <w:p w14:paraId="1C528969" w14:textId="69DB838D" w:rsidR="00D00590" w:rsidRPr="002B01C3" w:rsidRDefault="006750FB" w:rsidP="00F26243">
      <w:pPr>
        <w:pStyle w:val="ListParagraph"/>
        <w:numPr>
          <w:ilvl w:val="0"/>
          <w:numId w:val="6"/>
        </w:numPr>
        <w:spacing w:line="360" w:lineRule="auto"/>
        <w:jc w:val="both"/>
        <w:rPr>
          <w:rFonts w:ascii="Arial" w:hAnsi="Arial" w:cs="Arial"/>
        </w:rPr>
      </w:pPr>
      <w:r w:rsidRPr="002B01C3">
        <w:rPr>
          <w:rFonts w:ascii="Arial" w:hAnsi="Arial" w:cs="Arial"/>
        </w:rPr>
        <w:t>Network support</w:t>
      </w:r>
    </w:p>
    <w:p w14:paraId="3B5BFDFD" w14:textId="53565DEC" w:rsidR="00D00590" w:rsidRPr="002B01C3" w:rsidRDefault="001879F6" w:rsidP="00F26243">
      <w:pPr>
        <w:spacing w:line="360" w:lineRule="auto"/>
        <w:jc w:val="both"/>
        <w:rPr>
          <w:rFonts w:ascii="Arial" w:hAnsi="Arial" w:cs="Arial"/>
        </w:rPr>
      </w:pPr>
      <w:r>
        <w:rPr>
          <w:rFonts w:ascii="Arial" w:hAnsi="Arial" w:cs="Arial"/>
        </w:rPr>
        <w:t xml:space="preserve">Abused and neglected children often go unreported and unheard, as we have witnessed ourselves. </w:t>
      </w:r>
      <w:proofErr w:type="gramStart"/>
      <w:r>
        <w:rPr>
          <w:rFonts w:ascii="Arial" w:hAnsi="Arial" w:cs="Arial"/>
        </w:rPr>
        <w:t>In the course of</w:t>
      </w:r>
      <w:proofErr w:type="gramEnd"/>
      <w:r>
        <w:rPr>
          <w:rFonts w:ascii="Arial" w:hAnsi="Arial" w:cs="Arial"/>
        </w:rPr>
        <w:t xml:space="preserve"> additional examination, it becomes evident that all members of the family system are isolated. When things go tough, it helps to have a safety net in place. Children and their families may still be unable to access the regular range of traditional face-to-face social networks even though the requirement for social isolation and constraints on the number of people who can gather indoors and outside has decreased. If a family member is clinically fragile, this is more likely to happen, but it’s also true if people aren’t ready to </w:t>
      </w:r>
      <w:proofErr w:type="gramStart"/>
      <w:r>
        <w:rPr>
          <w:rFonts w:ascii="Arial" w:hAnsi="Arial" w:cs="Arial"/>
        </w:rPr>
        <w:t>open up</w:t>
      </w:r>
      <w:proofErr w:type="gramEnd"/>
      <w:r>
        <w:rPr>
          <w:rFonts w:ascii="Arial" w:hAnsi="Arial" w:cs="Arial"/>
        </w:rPr>
        <w:t xml:space="preserve"> more.</w:t>
      </w:r>
    </w:p>
    <w:p w14:paraId="1D23E760" w14:textId="0C8F37F1" w:rsidR="007743DA" w:rsidRPr="002B01C3" w:rsidRDefault="006750FB" w:rsidP="00F26243">
      <w:pPr>
        <w:pStyle w:val="ListParagraph"/>
        <w:numPr>
          <w:ilvl w:val="0"/>
          <w:numId w:val="6"/>
        </w:numPr>
        <w:spacing w:line="360" w:lineRule="auto"/>
        <w:jc w:val="both"/>
        <w:rPr>
          <w:rFonts w:ascii="Arial" w:hAnsi="Arial" w:cs="Arial"/>
        </w:rPr>
      </w:pPr>
      <w:r w:rsidRPr="002B01C3">
        <w:rPr>
          <w:rFonts w:ascii="Arial" w:hAnsi="Arial" w:cs="Arial"/>
        </w:rPr>
        <w:t>Accommodation</w:t>
      </w:r>
    </w:p>
    <w:p w14:paraId="15DEB3B5" w14:textId="5377FC6F" w:rsidR="00D00590" w:rsidRPr="002B01C3" w:rsidRDefault="006750FB" w:rsidP="00F26243">
      <w:pPr>
        <w:spacing w:line="360" w:lineRule="auto"/>
        <w:jc w:val="both"/>
        <w:rPr>
          <w:rFonts w:ascii="Arial" w:hAnsi="Arial" w:cs="Arial"/>
        </w:rPr>
      </w:pPr>
      <w:r w:rsidRPr="002B01C3">
        <w:rPr>
          <w:rFonts w:ascii="Arial" w:hAnsi="Arial" w:cs="Arial"/>
        </w:rPr>
        <w:t>Children and their families who are vulnerable to abuse or neglect are often unable to find adequate housing. Some examples include having to share a room or being temporarily housed. Increased exposure to improper housing during the COVID-19 outbreak is due to adults working from home and family members spending more time indoors. Kids who need time alone at home for their health and well-being may also spend more time at home with their parents.</w:t>
      </w:r>
    </w:p>
    <w:p w14:paraId="06B845E6" w14:textId="50389C21" w:rsidR="00D00590" w:rsidRPr="002B01C3" w:rsidRDefault="006750FB" w:rsidP="00F26243">
      <w:pPr>
        <w:pStyle w:val="ListParagraph"/>
        <w:numPr>
          <w:ilvl w:val="0"/>
          <w:numId w:val="6"/>
        </w:numPr>
        <w:spacing w:line="360" w:lineRule="auto"/>
        <w:jc w:val="both"/>
        <w:rPr>
          <w:rFonts w:ascii="Arial" w:hAnsi="Arial" w:cs="Arial"/>
        </w:rPr>
      </w:pPr>
      <w:r w:rsidRPr="002B01C3">
        <w:rPr>
          <w:rFonts w:ascii="Arial" w:hAnsi="Arial" w:cs="Arial"/>
        </w:rPr>
        <w:t>Harm and violence</w:t>
      </w:r>
    </w:p>
    <w:p w14:paraId="680510A2" w14:textId="20CA1F2E" w:rsidR="00D00590" w:rsidRPr="002B01C3" w:rsidRDefault="006750FB" w:rsidP="00F26243">
      <w:pPr>
        <w:spacing w:line="360" w:lineRule="auto"/>
        <w:jc w:val="both"/>
        <w:rPr>
          <w:rFonts w:ascii="Arial" w:hAnsi="Arial" w:cs="Arial"/>
        </w:rPr>
      </w:pPr>
      <w:r w:rsidRPr="002B01C3">
        <w:rPr>
          <w:rFonts w:ascii="Arial" w:hAnsi="Arial" w:cs="Arial"/>
        </w:rPr>
        <w:t xml:space="preserve">In the last few decades, many injuries and abuse have become more common. With </w:t>
      </w:r>
      <w:proofErr w:type="spellStart"/>
      <w:r w:rsidRPr="002B01C3">
        <w:rPr>
          <w:rFonts w:ascii="Arial" w:hAnsi="Arial" w:cs="Arial"/>
        </w:rPr>
        <w:t>preexisting</w:t>
      </w:r>
      <w:proofErr w:type="spellEnd"/>
      <w:r w:rsidRPr="002B01C3">
        <w:rPr>
          <w:rFonts w:ascii="Arial" w:hAnsi="Arial" w:cs="Arial"/>
        </w:rPr>
        <w:t xml:space="preserve"> concerns, there is no guarantee that the level of danger will rise. A practitioner’s curiosity is warranted when considering how this risk might be amplified.</w:t>
      </w:r>
    </w:p>
    <w:p w14:paraId="051ADF16" w14:textId="5581CCF6" w:rsidR="007743DA" w:rsidRPr="002B01C3" w:rsidRDefault="006750FB" w:rsidP="00F26243">
      <w:pPr>
        <w:pStyle w:val="ListParagraph"/>
        <w:numPr>
          <w:ilvl w:val="0"/>
          <w:numId w:val="6"/>
        </w:numPr>
        <w:spacing w:line="360" w:lineRule="auto"/>
        <w:jc w:val="both"/>
        <w:rPr>
          <w:rFonts w:ascii="Arial" w:hAnsi="Arial" w:cs="Arial"/>
        </w:rPr>
      </w:pPr>
      <w:r w:rsidRPr="002B01C3">
        <w:rPr>
          <w:rFonts w:ascii="Arial" w:hAnsi="Arial" w:cs="Arial"/>
        </w:rPr>
        <w:lastRenderedPageBreak/>
        <w:t>Domestic violence</w:t>
      </w:r>
    </w:p>
    <w:p w14:paraId="255C0260" w14:textId="7322B3EC" w:rsidR="00D00590" w:rsidRPr="002B01C3" w:rsidRDefault="006750FB" w:rsidP="00F26243">
      <w:pPr>
        <w:spacing w:line="360" w:lineRule="auto"/>
        <w:jc w:val="both"/>
        <w:rPr>
          <w:rFonts w:ascii="Arial" w:hAnsi="Arial" w:cs="Arial"/>
        </w:rPr>
      </w:pPr>
      <w:r w:rsidRPr="002B01C3">
        <w:rPr>
          <w:rFonts w:ascii="Arial" w:hAnsi="Arial" w:cs="Arial"/>
        </w:rPr>
        <w:t>More time spent at home might intensify anxiety in persons who already feel vulnerable due to increased strain and stress within the family unit. As things stand now, it's more important than ever to keep an eye on the potential for hostility and abuse to erupt between individuals and within families.</w:t>
      </w:r>
    </w:p>
    <w:p w14:paraId="3FCF72CA" w14:textId="0F10B386" w:rsidR="00D00590" w:rsidRPr="002B01C3" w:rsidRDefault="006750FB" w:rsidP="00F26243">
      <w:pPr>
        <w:pStyle w:val="ListParagraph"/>
        <w:numPr>
          <w:ilvl w:val="0"/>
          <w:numId w:val="6"/>
        </w:numPr>
        <w:spacing w:line="360" w:lineRule="auto"/>
        <w:jc w:val="both"/>
        <w:rPr>
          <w:rFonts w:ascii="Arial" w:hAnsi="Arial" w:cs="Arial"/>
        </w:rPr>
      </w:pPr>
      <w:r w:rsidRPr="002B01C3">
        <w:rPr>
          <w:rFonts w:ascii="Arial" w:hAnsi="Arial" w:cs="Arial"/>
        </w:rPr>
        <w:t>Substance Abuse</w:t>
      </w:r>
    </w:p>
    <w:p w14:paraId="56E7734C" w14:textId="2777AFCB" w:rsidR="00D00590" w:rsidRPr="002B01C3" w:rsidRDefault="006750FB" w:rsidP="00F26243">
      <w:pPr>
        <w:spacing w:line="360" w:lineRule="auto"/>
        <w:jc w:val="both"/>
        <w:rPr>
          <w:rFonts w:ascii="Arial" w:hAnsi="Arial" w:cs="Arial"/>
        </w:rPr>
      </w:pPr>
      <w:r w:rsidRPr="002B01C3">
        <w:rPr>
          <w:rFonts w:ascii="Arial" w:hAnsi="Arial" w:cs="Arial"/>
        </w:rPr>
        <w:t xml:space="preserve">In both adults and children, maladaptive coping mechanisms, including substance misuse, can be used to escape one's daily difficulties. Adolescents and children are at risk because of the harmful effects of drugs and alcohol on parents. The current stressors, including concerns about job and finances, are likely to worsen family difficulties. It is critical to learn how families are coping with these challenges. When determining </w:t>
      </w:r>
      <w:proofErr w:type="gramStart"/>
      <w:r w:rsidRPr="002B01C3">
        <w:rPr>
          <w:rFonts w:ascii="Arial" w:hAnsi="Arial" w:cs="Arial"/>
        </w:rPr>
        <w:t>whether or not</w:t>
      </w:r>
      <w:proofErr w:type="gramEnd"/>
      <w:r w:rsidRPr="002B01C3">
        <w:rPr>
          <w:rFonts w:ascii="Arial" w:hAnsi="Arial" w:cs="Arial"/>
        </w:rPr>
        <w:t xml:space="preserve"> a family has a history of substance misuse, numerous variables should be considered. How may a parent's or an individual's ability to maintain good health and abstain from dangerous substances be affected by strained national resources? The need to educate children and adolescents about the dangers of substance abuse cannot be overstated.</w:t>
      </w:r>
    </w:p>
    <w:p w14:paraId="4BC13827" w14:textId="0FC150CE" w:rsidR="007743DA" w:rsidRPr="002B01C3" w:rsidRDefault="006750FB" w:rsidP="00F26243">
      <w:pPr>
        <w:pStyle w:val="ListParagraph"/>
        <w:numPr>
          <w:ilvl w:val="0"/>
          <w:numId w:val="6"/>
        </w:numPr>
        <w:spacing w:line="360" w:lineRule="auto"/>
        <w:jc w:val="both"/>
        <w:rPr>
          <w:rFonts w:ascii="Arial" w:hAnsi="Arial" w:cs="Arial"/>
        </w:rPr>
      </w:pPr>
      <w:r w:rsidRPr="002B01C3">
        <w:rPr>
          <w:rFonts w:ascii="Arial" w:hAnsi="Arial" w:cs="Arial"/>
        </w:rPr>
        <w:t>Neglect</w:t>
      </w:r>
    </w:p>
    <w:p w14:paraId="417E8CEB" w14:textId="1D6290E3" w:rsidR="0032052E" w:rsidRPr="002B01C3" w:rsidRDefault="006750FB" w:rsidP="00F26243">
      <w:pPr>
        <w:spacing w:line="360" w:lineRule="auto"/>
        <w:jc w:val="both"/>
        <w:rPr>
          <w:rFonts w:ascii="Arial" w:hAnsi="Arial" w:cs="Arial"/>
        </w:rPr>
      </w:pPr>
      <w:r w:rsidRPr="002B01C3">
        <w:rPr>
          <w:rFonts w:ascii="Arial" w:hAnsi="Arial" w:cs="Arial"/>
        </w:rPr>
        <w:t xml:space="preserve">Children are more likely to be neglected if kept in solitary confinement. As a result of families' financial difficulties and the increased amount of time spent at home, children are more likely to be subjected to abuse or neglect. Even if schools have reopened, children may still have fewer opportunities to contact professionals who can detect indications of neglect and take immediate action. A child's well-being can be adversely affected even if neglect is not the major cause of their involvement with social services. </w:t>
      </w:r>
    </w:p>
    <w:p w14:paraId="67C5D926" w14:textId="4C66746B" w:rsidR="00D00590" w:rsidRPr="002B01C3" w:rsidRDefault="006750FB" w:rsidP="00F26243">
      <w:pPr>
        <w:pStyle w:val="ListParagraph"/>
        <w:numPr>
          <w:ilvl w:val="0"/>
          <w:numId w:val="6"/>
        </w:numPr>
        <w:spacing w:line="360" w:lineRule="auto"/>
        <w:jc w:val="both"/>
        <w:rPr>
          <w:rFonts w:ascii="Arial" w:hAnsi="Arial" w:cs="Arial"/>
        </w:rPr>
      </w:pPr>
      <w:r w:rsidRPr="002B01C3">
        <w:rPr>
          <w:rFonts w:ascii="Arial" w:hAnsi="Arial" w:cs="Arial"/>
        </w:rPr>
        <w:t>Drop in the standard of service</w:t>
      </w:r>
    </w:p>
    <w:p w14:paraId="5C2C56E3" w14:textId="35FE9B63" w:rsidR="001879F6" w:rsidRDefault="001879F6" w:rsidP="00F26243">
      <w:pPr>
        <w:spacing w:line="360" w:lineRule="auto"/>
        <w:jc w:val="both"/>
        <w:rPr>
          <w:rFonts w:ascii="Arial" w:hAnsi="Arial" w:cs="Arial"/>
        </w:rPr>
      </w:pPr>
      <w:r>
        <w:rPr>
          <w:rFonts w:ascii="Arial" w:hAnsi="Arial" w:cs="Arial"/>
        </w:rPr>
        <w:t xml:space="preserve">Emergency legislation was enacted in March 2020 to deal with an increase in demand and a decline in social care staff. The Care Act (2014) and the Mental Health Act requirements affecting children and young adults have undergone significant changes (1983). After the age of 18, local authorities are no longer required to thoroughly assess the needs of young adults and their caretakers. These Care Act easement powers have only been used by eight local governments so far since they were first introduced, and no more will be used until June 29, 2020. These easements were set to expire on July 20, 2021. The changes to the Mental Health Act in England won't take effect again until December 2020. All children, with the exception of those who are ill, </w:t>
      </w:r>
      <w:r>
        <w:rPr>
          <w:rFonts w:ascii="Arial" w:hAnsi="Arial" w:cs="Arial"/>
        </w:rPr>
        <w:lastRenderedPageBreak/>
        <w:t xml:space="preserve">should have access to face-to-face instruction when schools are </w:t>
      </w:r>
      <w:proofErr w:type="gramStart"/>
      <w:r>
        <w:rPr>
          <w:rFonts w:ascii="Arial" w:hAnsi="Arial" w:cs="Arial"/>
        </w:rPr>
        <w:t>open</w:t>
      </w:r>
      <w:proofErr w:type="gramEnd"/>
      <w:r>
        <w:rPr>
          <w:rFonts w:ascii="Arial" w:hAnsi="Arial" w:cs="Arial"/>
        </w:rPr>
        <w:t xml:space="preserve"> and shielding has ended. Students who are eligible for free school lunches should have processes in place that allow schools to deliver instruction remotely while still meeting the requirements of their statutory safeguarding obligations.</w:t>
      </w:r>
    </w:p>
    <w:p w14:paraId="0D20A646" w14:textId="5FA27D2C" w:rsidR="00A05CE8" w:rsidRPr="00FE785B" w:rsidRDefault="001879F6" w:rsidP="00F26243">
      <w:pPr>
        <w:spacing w:line="360" w:lineRule="auto"/>
        <w:jc w:val="both"/>
        <w:rPr>
          <w:rFonts w:ascii="Arial" w:hAnsi="Arial" w:cs="Arial"/>
          <w:b/>
          <w:bCs/>
          <w:sz w:val="28"/>
          <w:szCs w:val="28"/>
        </w:rPr>
      </w:pPr>
      <w:r>
        <w:rPr>
          <w:rFonts w:ascii="Arial" w:hAnsi="Arial" w:cs="Arial"/>
          <w:b/>
          <w:bCs/>
          <w:sz w:val="28"/>
          <w:szCs w:val="28"/>
        </w:rPr>
        <w:t>Shifts in</w:t>
      </w:r>
      <w:r w:rsidR="006750FB" w:rsidRPr="00FE785B">
        <w:rPr>
          <w:rFonts w:ascii="Arial" w:hAnsi="Arial" w:cs="Arial"/>
          <w:b/>
          <w:bCs/>
          <w:sz w:val="28"/>
          <w:szCs w:val="28"/>
        </w:rPr>
        <w:t xml:space="preserve"> paradigm </w:t>
      </w:r>
    </w:p>
    <w:p w14:paraId="79420FB8" w14:textId="71BB3445" w:rsidR="00A05CE8" w:rsidRPr="002B01C3" w:rsidRDefault="006750FB" w:rsidP="00F26243">
      <w:pPr>
        <w:spacing w:line="360" w:lineRule="auto"/>
        <w:jc w:val="both"/>
        <w:rPr>
          <w:rFonts w:ascii="Arial" w:hAnsi="Arial" w:cs="Arial"/>
        </w:rPr>
      </w:pPr>
      <w:r w:rsidRPr="002B01C3">
        <w:rPr>
          <w:rFonts w:ascii="Arial" w:hAnsi="Arial" w:cs="Arial"/>
        </w:rPr>
        <w:t xml:space="preserve">A closer look at existent tensions within child protection systems during the pandemic is a logical next step. </w:t>
      </w:r>
      <w:proofErr w:type="gramStart"/>
      <w:r w:rsidRPr="002B01C3">
        <w:rPr>
          <w:rFonts w:ascii="Arial" w:hAnsi="Arial" w:cs="Arial"/>
        </w:rPr>
        <w:t>Therefore</w:t>
      </w:r>
      <w:proofErr w:type="gramEnd"/>
      <w:r w:rsidRPr="002B01C3">
        <w:rPr>
          <w:rFonts w:ascii="Arial" w:hAnsi="Arial" w:cs="Arial"/>
        </w:rPr>
        <w:t xml:space="preserve"> we've decided to explore deeper. As a result, under Section 17 of the UK's Children Act 1989, children are divided into two categories: those designated as "in need" and those who may be in danger of suffering a serious injury (Section 16). This is found in Section 47. Children's welfare is not prioritized in the current paradigm of child protection. Because risk assessment takes precedence over improving the well-being and welfare of children, many of these youngsters and their families have had to rely on the government for assistance rather than making their efforts (</w:t>
      </w:r>
      <w:proofErr w:type="spellStart"/>
      <w:r w:rsidRPr="002B01C3">
        <w:rPr>
          <w:rFonts w:ascii="Arial" w:hAnsi="Arial" w:cs="Arial"/>
        </w:rPr>
        <w:t>Lonne</w:t>
      </w:r>
      <w:proofErr w:type="spellEnd"/>
      <w:r w:rsidRPr="002B01C3">
        <w:rPr>
          <w:rFonts w:ascii="Arial" w:hAnsi="Arial" w:cs="Arial"/>
        </w:rPr>
        <w:t>, Parton, Thomson, &amp; Harries, 2008).</w:t>
      </w:r>
    </w:p>
    <w:p w14:paraId="25C337D2" w14:textId="3CFECF7F" w:rsidR="00A05CE8" w:rsidRPr="00FE785B" w:rsidRDefault="006750FB" w:rsidP="00F26243">
      <w:pPr>
        <w:spacing w:line="360" w:lineRule="auto"/>
        <w:jc w:val="both"/>
        <w:rPr>
          <w:rFonts w:ascii="Arial" w:hAnsi="Arial" w:cs="Arial"/>
          <w:b/>
          <w:bCs/>
          <w:sz w:val="28"/>
          <w:szCs w:val="28"/>
        </w:rPr>
      </w:pPr>
      <w:r w:rsidRPr="00FE785B">
        <w:rPr>
          <w:rFonts w:ascii="Arial" w:hAnsi="Arial" w:cs="Arial"/>
          <w:b/>
          <w:bCs/>
          <w:sz w:val="28"/>
          <w:szCs w:val="28"/>
        </w:rPr>
        <w:t>Safeguarding policies</w:t>
      </w:r>
    </w:p>
    <w:p w14:paraId="4F7DED9F" w14:textId="7EEFF4FF" w:rsidR="009C2935" w:rsidRDefault="009C2935" w:rsidP="00F26243">
      <w:pPr>
        <w:spacing w:line="360" w:lineRule="auto"/>
        <w:jc w:val="both"/>
        <w:rPr>
          <w:rFonts w:ascii="Arial" w:hAnsi="Arial" w:cs="Arial"/>
        </w:rPr>
      </w:pPr>
      <w:r>
        <w:rPr>
          <w:rFonts w:ascii="Arial" w:hAnsi="Arial" w:cs="Arial"/>
        </w:rPr>
        <w:t xml:space="preserve">Children and adolescents in British public and private institutions are safeguarded by </w:t>
      </w:r>
      <w:proofErr w:type="gramStart"/>
      <w:r>
        <w:rPr>
          <w:rFonts w:ascii="Arial" w:hAnsi="Arial" w:cs="Arial"/>
        </w:rPr>
        <w:t>a number of</w:t>
      </w:r>
      <w:proofErr w:type="gramEnd"/>
      <w:r>
        <w:rPr>
          <w:rFonts w:ascii="Arial" w:hAnsi="Arial" w:cs="Arial"/>
        </w:rPr>
        <w:t xml:space="preserve"> laws. However, despite our best efforts, the most vulnerable members of society have not been adequately protected (</w:t>
      </w:r>
      <w:proofErr w:type="spellStart"/>
      <w:r>
        <w:rPr>
          <w:rFonts w:ascii="Arial" w:hAnsi="Arial" w:cs="Arial"/>
        </w:rPr>
        <w:t>Hek</w:t>
      </w:r>
      <w:proofErr w:type="spellEnd"/>
      <w:r>
        <w:rPr>
          <w:rFonts w:ascii="Arial" w:hAnsi="Arial" w:cs="Arial"/>
        </w:rPr>
        <w:t xml:space="preserve">, Hughes, &amp; </w:t>
      </w:r>
      <w:proofErr w:type="spellStart"/>
      <w:r>
        <w:rPr>
          <w:rFonts w:ascii="Arial" w:hAnsi="Arial" w:cs="Arial"/>
        </w:rPr>
        <w:t>Ozman</w:t>
      </w:r>
      <w:proofErr w:type="spellEnd"/>
      <w:r>
        <w:rPr>
          <w:rFonts w:ascii="Arial" w:hAnsi="Arial" w:cs="Arial"/>
        </w:rPr>
        <w:t>, 2012). Instead of macro-systems that influence practitioners’ work, policies like adult safeguarding focus on micro-systems (practitioners, inter-agency cooperation). Investigations into grave incidents, on the other hand, frequently have an impact on policy. Rarely are the larger structures that affect practitioners’ work examined in policy proposals (Preston-Shoot, 2017). The policy is a crucial part of Safeguarding in both pre-pandemic and post-pandemic scenarios, according to our conceptual framework.</w:t>
      </w:r>
    </w:p>
    <w:p w14:paraId="2D11D404" w14:textId="77777777" w:rsidR="009C2935" w:rsidRDefault="009C2935" w:rsidP="00F26243">
      <w:pPr>
        <w:spacing w:line="360" w:lineRule="auto"/>
        <w:jc w:val="both"/>
        <w:rPr>
          <w:rFonts w:ascii="Arial" w:hAnsi="Arial" w:cs="Arial"/>
        </w:rPr>
      </w:pPr>
      <w:proofErr w:type="spellStart"/>
      <w:r>
        <w:rPr>
          <w:rFonts w:ascii="Arial" w:hAnsi="Arial" w:cs="Arial"/>
        </w:rPr>
        <w:t>Pediatric</w:t>
      </w:r>
      <w:proofErr w:type="spellEnd"/>
      <w:r>
        <w:rPr>
          <w:rFonts w:ascii="Arial" w:hAnsi="Arial" w:cs="Arial"/>
        </w:rPr>
        <w:t xml:space="preserve"> emergency room personnel, family doctors and community nurses are just a few examples of those that work in the health care system (teachers, safeguarding coordinators, school administrators, teaching assistants, and coordinators for students with special or additional requirements)</w:t>
      </w:r>
    </w:p>
    <w:p w14:paraId="51F880E7" w14:textId="0BCAF141" w:rsidR="009C2935" w:rsidRDefault="009C2935" w:rsidP="00F26243">
      <w:pPr>
        <w:spacing w:line="360" w:lineRule="auto"/>
        <w:jc w:val="both"/>
        <w:rPr>
          <w:rFonts w:ascii="Arial" w:hAnsi="Arial" w:cs="Arial"/>
        </w:rPr>
      </w:pPr>
      <w:r>
        <w:rPr>
          <w:rFonts w:ascii="Arial" w:hAnsi="Arial" w:cs="Arial"/>
        </w:rPr>
        <w:t>It is difficult to define a community for children who are vulnerable and at danger, particularly those who are in care, which may include religious institutions and charitable organisations as well as groups that represent children and youth (Jack &amp; Gill, 2010),</w:t>
      </w:r>
    </w:p>
    <w:p w14:paraId="5AD6B1D4" w14:textId="0395FCF8" w:rsidR="009C2935" w:rsidRDefault="009C2935" w:rsidP="00F26243">
      <w:pPr>
        <w:spacing w:line="360" w:lineRule="auto"/>
        <w:jc w:val="both"/>
        <w:rPr>
          <w:rFonts w:ascii="Arial" w:hAnsi="Arial" w:cs="Arial"/>
        </w:rPr>
      </w:pPr>
      <w:r>
        <w:rPr>
          <w:rFonts w:ascii="Arial" w:hAnsi="Arial" w:cs="Arial"/>
        </w:rPr>
        <w:lastRenderedPageBreak/>
        <w:t>The word “family” connotes a need for assistance and a desire to aid in situations where families are particularly complex (</w:t>
      </w:r>
      <w:proofErr w:type="spellStart"/>
      <w:r>
        <w:rPr>
          <w:rFonts w:ascii="Arial" w:hAnsi="Arial" w:cs="Arial"/>
        </w:rPr>
        <w:t>Hantrais</w:t>
      </w:r>
      <w:proofErr w:type="spellEnd"/>
      <w:r>
        <w:rPr>
          <w:rFonts w:ascii="Arial" w:hAnsi="Arial" w:cs="Arial"/>
        </w:rPr>
        <w:t>, 2004). A pandemic environment necessitates that schools, community officials, social and health workers, and other members of the health care system recognise that family concepts and implementations are different.</w:t>
      </w:r>
    </w:p>
    <w:p w14:paraId="7970E8EE" w14:textId="1248E5F7" w:rsidR="009C2935" w:rsidRDefault="009C2935" w:rsidP="00F26243">
      <w:pPr>
        <w:spacing w:line="360" w:lineRule="auto"/>
        <w:jc w:val="both"/>
        <w:rPr>
          <w:rFonts w:ascii="Arial" w:hAnsi="Arial" w:cs="Arial"/>
        </w:rPr>
      </w:pPr>
      <w:r>
        <w:rPr>
          <w:rFonts w:ascii="Arial" w:hAnsi="Arial" w:cs="Arial"/>
        </w:rPr>
        <w:t xml:space="preserve">Face-to-face and “digitally-mediated safeguarding” regulations and practises are crucial in today’s </w:t>
      </w:r>
      <w:proofErr w:type="gramStart"/>
      <w:r>
        <w:rPr>
          <w:rFonts w:ascii="Arial" w:hAnsi="Arial" w:cs="Arial"/>
        </w:rPr>
        <w:t>digitally-mediated</w:t>
      </w:r>
      <w:proofErr w:type="gramEnd"/>
      <w:r>
        <w:rPr>
          <w:rFonts w:ascii="Arial" w:hAnsi="Arial" w:cs="Arial"/>
        </w:rPr>
        <w:t xml:space="preserve"> society.</w:t>
      </w:r>
    </w:p>
    <w:p w14:paraId="168896EB" w14:textId="4E2F4E09" w:rsidR="009C2935" w:rsidRPr="00D86700" w:rsidRDefault="00D86700" w:rsidP="00F26243">
      <w:pPr>
        <w:spacing w:line="360" w:lineRule="auto"/>
        <w:jc w:val="both"/>
        <w:rPr>
          <w:rFonts w:ascii="Arial" w:hAnsi="Arial" w:cs="Arial"/>
          <w:b/>
          <w:bCs/>
          <w:sz w:val="28"/>
          <w:szCs w:val="28"/>
        </w:rPr>
      </w:pPr>
      <w:r>
        <w:rPr>
          <w:rFonts w:ascii="Arial" w:hAnsi="Arial" w:cs="Arial"/>
          <w:b/>
          <w:bCs/>
          <w:sz w:val="28"/>
          <w:szCs w:val="28"/>
        </w:rPr>
        <w:t>Reflection Framework</w:t>
      </w:r>
    </w:p>
    <w:p w14:paraId="111273DE" w14:textId="631CBC20" w:rsidR="009C2935" w:rsidRPr="002B01C3" w:rsidRDefault="009C2935" w:rsidP="00F26243">
      <w:pPr>
        <w:spacing w:line="360" w:lineRule="auto"/>
        <w:jc w:val="both"/>
        <w:rPr>
          <w:rFonts w:ascii="Arial" w:hAnsi="Arial" w:cs="Arial"/>
        </w:rPr>
      </w:pPr>
      <w:r>
        <w:rPr>
          <w:rFonts w:ascii="Arial" w:hAnsi="Arial" w:cs="Arial"/>
        </w:rPr>
        <w:t>Teaching staff and student social workers (on rotation during the pandemic) provided insight into their day-to-day practises and goals for systemic growth in the aftermath of the outbreak. Almost everyone we spoke to was pleased with the design. It’s important to note, though, that one education expert thought the proposed framework was extremely complicated and inflexible, which may be an issue requiring further study. Research is needed to clarify and simplify with precision and in ways that resonate with practitioners and service-users, especially with such rapid change in the epidemic of COVID-19.</w:t>
      </w:r>
    </w:p>
    <w:p w14:paraId="6DF609D1" w14:textId="2F037EF4" w:rsidR="00D00590" w:rsidRPr="00FE785B" w:rsidRDefault="006750FB" w:rsidP="00F26243">
      <w:pPr>
        <w:spacing w:line="360" w:lineRule="auto"/>
        <w:jc w:val="both"/>
        <w:rPr>
          <w:rFonts w:ascii="Arial" w:hAnsi="Arial" w:cs="Arial"/>
          <w:b/>
          <w:bCs/>
          <w:sz w:val="28"/>
          <w:szCs w:val="28"/>
        </w:rPr>
      </w:pPr>
      <w:r w:rsidRPr="00FE785B">
        <w:rPr>
          <w:rFonts w:ascii="Arial" w:hAnsi="Arial" w:cs="Arial"/>
          <w:b/>
          <w:bCs/>
          <w:sz w:val="28"/>
          <w:szCs w:val="28"/>
        </w:rPr>
        <w:t>Conclusion</w:t>
      </w:r>
    </w:p>
    <w:p w14:paraId="6B1667A4" w14:textId="26F887E4" w:rsidR="00580997" w:rsidRDefault="006750FB" w:rsidP="00F26243">
      <w:pPr>
        <w:spacing w:line="360" w:lineRule="auto"/>
        <w:jc w:val="both"/>
        <w:rPr>
          <w:rFonts w:ascii="Arial" w:hAnsi="Arial" w:cs="Arial"/>
        </w:rPr>
      </w:pPr>
      <w:r w:rsidRPr="002B01C3">
        <w:rPr>
          <w:rFonts w:ascii="Arial" w:hAnsi="Arial" w:cs="Arial"/>
        </w:rPr>
        <w:t>The social care framework in which we find ourselves has posed significant obstacles to the welfare of children and adolescents in the United Kingdom due to COVID-19. We've presented a two-part conceptual framework for future research. First, we get a glimpse of what life would be like amid a pandemic. Think realistically about the post-pandemic world because it will be vastly different from the pre-pandemic world in terms of its appearance. Children and young people's safety and well-being are still a subject that is largely hidden or obfuscated in research, legislation, and practice. Our framework emphasizes the importance of service providers who interact with children and young people and their perspectives and rights. Context-dependent, situational, and iterative vulnerability constructs are needed to consider each child's resources and their unique relationship with the outside world, as we believe the government's narrow definition of "vulnerability" should be rethought.</w:t>
      </w:r>
      <w:r w:rsidR="00A87F5E" w:rsidRPr="002B01C3">
        <w:rPr>
          <w:rFonts w:ascii="Arial" w:hAnsi="Arial" w:cs="Arial"/>
        </w:rPr>
        <w:t xml:space="preserve"> T</w:t>
      </w:r>
      <w:r w:rsidRPr="002B01C3">
        <w:rPr>
          <w:rFonts w:ascii="Arial" w:hAnsi="Arial" w:cs="Arial"/>
        </w:rPr>
        <w:t>here must be a balance between protecting children's and young people's rights and developing their social skills. As practitioners, clinicians have a unique opportunity to listen, intervene, and provide support to those in need. To sum it up, this will be accomplished through open dialogue, consultation, and respect for the individuality and viewpoints of adolescents and young adults.</w:t>
      </w:r>
    </w:p>
    <w:p w14:paraId="1CC34144" w14:textId="77777777" w:rsidR="009E3FAD" w:rsidRDefault="009E3FAD" w:rsidP="00F26243">
      <w:pPr>
        <w:spacing w:line="360" w:lineRule="auto"/>
        <w:jc w:val="both"/>
        <w:rPr>
          <w:rFonts w:ascii="Arial" w:hAnsi="Arial" w:cs="Arial"/>
          <w:b/>
          <w:bCs/>
          <w:sz w:val="28"/>
          <w:szCs w:val="28"/>
        </w:rPr>
      </w:pPr>
    </w:p>
    <w:p w14:paraId="2781EC87" w14:textId="241AC18B" w:rsidR="006750FB" w:rsidRPr="00FE785B" w:rsidRDefault="006750FB" w:rsidP="00F26243">
      <w:pPr>
        <w:spacing w:line="360" w:lineRule="auto"/>
        <w:jc w:val="both"/>
        <w:rPr>
          <w:rFonts w:ascii="Arial" w:hAnsi="Arial" w:cs="Arial"/>
          <w:b/>
          <w:bCs/>
          <w:sz w:val="28"/>
          <w:szCs w:val="28"/>
        </w:rPr>
      </w:pPr>
      <w:r w:rsidRPr="00FE785B">
        <w:rPr>
          <w:rFonts w:ascii="Arial" w:hAnsi="Arial" w:cs="Arial"/>
          <w:b/>
          <w:bCs/>
          <w:sz w:val="28"/>
          <w:szCs w:val="28"/>
        </w:rPr>
        <w:lastRenderedPageBreak/>
        <w:t>Reference list</w:t>
      </w:r>
    </w:p>
    <w:p w14:paraId="01B63403" w14:textId="77DD3C15" w:rsidR="00580997" w:rsidRPr="006750FB" w:rsidRDefault="00580997" w:rsidP="00F26243">
      <w:pPr>
        <w:spacing w:line="360" w:lineRule="auto"/>
        <w:jc w:val="both"/>
        <w:rPr>
          <w:rFonts w:ascii="Arial" w:hAnsi="Arial" w:cs="Arial"/>
          <w:i/>
          <w:iCs/>
        </w:rPr>
      </w:pPr>
      <w:r>
        <w:rPr>
          <w:rFonts w:ascii="Arial" w:hAnsi="Arial" w:cs="Arial"/>
        </w:rPr>
        <w:t xml:space="preserve">Bradbury-Jones C., </w:t>
      </w:r>
      <w:proofErr w:type="spellStart"/>
      <w:r>
        <w:rPr>
          <w:rFonts w:ascii="Arial" w:hAnsi="Arial" w:cs="Arial"/>
        </w:rPr>
        <w:t>Isham</w:t>
      </w:r>
      <w:proofErr w:type="spellEnd"/>
      <w:r>
        <w:rPr>
          <w:rFonts w:ascii="Arial" w:hAnsi="Arial" w:cs="Arial"/>
        </w:rPr>
        <w:t xml:space="preserve"> L. The pandemic paradox: The consequences of COVID‐19 on domestic violence. </w:t>
      </w:r>
      <w:r w:rsidRPr="006750FB">
        <w:rPr>
          <w:rFonts w:ascii="Arial" w:hAnsi="Arial" w:cs="Arial"/>
          <w:i/>
          <w:iCs/>
        </w:rPr>
        <w:t xml:space="preserve">Journal of clinical nursing. 2020 </w:t>
      </w:r>
      <w:proofErr w:type="spellStart"/>
      <w:r w:rsidRPr="006750FB">
        <w:rPr>
          <w:rFonts w:ascii="Arial" w:hAnsi="Arial" w:cs="Arial"/>
          <w:i/>
          <w:iCs/>
        </w:rPr>
        <w:t>doi</w:t>
      </w:r>
      <w:proofErr w:type="spellEnd"/>
      <w:r w:rsidRPr="006750FB">
        <w:rPr>
          <w:rFonts w:ascii="Arial" w:hAnsi="Arial" w:cs="Arial"/>
          <w:i/>
          <w:iCs/>
        </w:rPr>
        <w:t>: 10.1111/jocn.1529</w:t>
      </w:r>
      <w:r w:rsidR="00F400CC" w:rsidRPr="006750FB">
        <w:rPr>
          <w:rFonts w:ascii="Arial" w:hAnsi="Arial" w:cs="Arial"/>
          <w:i/>
          <w:iCs/>
        </w:rPr>
        <w:t>.</w:t>
      </w:r>
    </w:p>
    <w:p w14:paraId="7E8EAA33" w14:textId="41AE911B" w:rsidR="00580997" w:rsidRPr="006750FB" w:rsidRDefault="00580997" w:rsidP="00F26243">
      <w:pPr>
        <w:spacing w:line="360" w:lineRule="auto"/>
        <w:jc w:val="both"/>
        <w:rPr>
          <w:rFonts w:ascii="Arial" w:hAnsi="Arial" w:cs="Arial"/>
          <w:i/>
          <w:iCs/>
        </w:rPr>
      </w:pPr>
      <w:r>
        <w:rPr>
          <w:rFonts w:ascii="Arial" w:hAnsi="Arial" w:cs="Arial"/>
        </w:rPr>
        <w:t xml:space="preserve">Bunting R., Webb M.A., Shannon R. Looking again at troubled families: parents’ perspectives on multiple adversities. </w:t>
      </w:r>
      <w:r w:rsidRPr="006750FB">
        <w:rPr>
          <w:rFonts w:ascii="Arial" w:hAnsi="Arial" w:cs="Arial"/>
          <w:i/>
          <w:iCs/>
        </w:rPr>
        <w:t xml:space="preserve">Child &amp; Family Social Work. </w:t>
      </w:r>
      <w:proofErr w:type="gramStart"/>
      <w:r w:rsidRPr="006750FB">
        <w:rPr>
          <w:rFonts w:ascii="Arial" w:hAnsi="Arial" w:cs="Arial"/>
          <w:i/>
          <w:iCs/>
        </w:rPr>
        <w:t>2017;22:31</w:t>
      </w:r>
      <w:proofErr w:type="gramEnd"/>
      <w:r w:rsidRPr="006750FB">
        <w:rPr>
          <w:rFonts w:ascii="Arial" w:hAnsi="Arial" w:cs="Arial"/>
          <w:i/>
          <w:iCs/>
        </w:rPr>
        <w:t xml:space="preserve">–40. </w:t>
      </w:r>
    </w:p>
    <w:p w14:paraId="42246A67" w14:textId="49422A91" w:rsidR="00580997" w:rsidRPr="006750FB" w:rsidRDefault="00580997" w:rsidP="00F26243">
      <w:pPr>
        <w:spacing w:line="360" w:lineRule="auto"/>
        <w:jc w:val="both"/>
        <w:rPr>
          <w:rFonts w:ascii="Arial" w:hAnsi="Arial" w:cs="Arial"/>
          <w:i/>
          <w:iCs/>
        </w:rPr>
      </w:pPr>
      <w:proofErr w:type="spellStart"/>
      <w:r>
        <w:rPr>
          <w:rFonts w:ascii="Arial" w:hAnsi="Arial" w:cs="Arial"/>
        </w:rPr>
        <w:t>Drabick</w:t>
      </w:r>
      <w:proofErr w:type="spellEnd"/>
      <w:r>
        <w:rPr>
          <w:rFonts w:ascii="Arial" w:hAnsi="Arial" w:cs="Arial"/>
        </w:rPr>
        <w:t xml:space="preserve"> D.A.G., Kendall P.C. Developmental psychopathology and the diagnosis of mental health problems among youth. </w:t>
      </w:r>
      <w:r w:rsidRPr="006750FB">
        <w:rPr>
          <w:rFonts w:ascii="Arial" w:hAnsi="Arial" w:cs="Arial"/>
          <w:i/>
          <w:iCs/>
        </w:rPr>
        <w:t>Clinical Psychology Science and Practice. 2010;17(4):272–28</w:t>
      </w:r>
      <w:r w:rsidR="006C2B55" w:rsidRPr="006750FB">
        <w:rPr>
          <w:rFonts w:ascii="Arial" w:hAnsi="Arial" w:cs="Arial"/>
          <w:i/>
          <w:iCs/>
        </w:rPr>
        <w:t>0.</w:t>
      </w:r>
    </w:p>
    <w:p w14:paraId="0A12BF46" w14:textId="328A2305" w:rsidR="00580997" w:rsidRPr="006750FB" w:rsidRDefault="00580997" w:rsidP="00F26243">
      <w:pPr>
        <w:spacing w:line="360" w:lineRule="auto"/>
        <w:jc w:val="both"/>
        <w:rPr>
          <w:rFonts w:ascii="Arial" w:hAnsi="Arial" w:cs="Arial"/>
          <w:i/>
          <w:iCs/>
        </w:rPr>
      </w:pPr>
      <w:r>
        <w:rPr>
          <w:rFonts w:ascii="Arial" w:hAnsi="Arial" w:cs="Arial"/>
        </w:rPr>
        <w:t xml:space="preserve">Featherstone B., Gupta A., Morris K., Warner J. Let’s stop feeding the risk monster: Towards a social model of “child protection” </w:t>
      </w:r>
      <w:r w:rsidRPr="006750FB">
        <w:rPr>
          <w:rFonts w:ascii="Arial" w:hAnsi="Arial" w:cs="Arial"/>
          <w:i/>
          <w:iCs/>
        </w:rPr>
        <w:t>Families Relationships and Societies. 2018;7(1):7–22.</w:t>
      </w:r>
    </w:p>
    <w:p w14:paraId="22E1AF31" w14:textId="64D58BD2" w:rsidR="00580997" w:rsidRPr="006750FB" w:rsidRDefault="00580997" w:rsidP="00F26243">
      <w:pPr>
        <w:spacing w:line="360" w:lineRule="auto"/>
        <w:jc w:val="both"/>
        <w:rPr>
          <w:rFonts w:ascii="Arial" w:hAnsi="Arial" w:cs="Arial"/>
          <w:i/>
          <w:iCs/>
        </w:rPr>
      </w:pPr>
      <w:r>
        <w:rPr>
          <w:rFonts w:ascii="Arial" w:hAnsi="Arial" w:cs="Arial"/>
        </w:rPr>
        <w:t xml:space="preserve">Ferguson H. How social workers reflect in action and when and why they don’t: The possibilities and limits to reflective practice in social work. </w:t>
      </w:r>
      <w:r w:rsidRPr="006750FB">
        <w:rPr>
          <w:rFonts w:ascii="Arial" w:hAnsi="Arial" w:cs="Arial"/>
          <w:i/>
          <w:iCs/>
        </w:rPr>
        <w:t xml:space="preserve">Social Work Education. 2018;37(4):415–427. </w:t>
      </w:r>
    </w:p>
    <w:p w14:paraId="26F8C814" w14:textId="2A302ADE" w:rsidR="00580997" w:rsidRPr="006750FB" w:rsidRDefault="00580997" w:rsidP="00F26243">
      <w:pPr>
        <w:spacing w:line="360" w:lineRule="auto"/>
        <w:jc w:val="both"/>
        <w:rPr>
          <w:rFonts w:ascii="Arial" w:hAnsi="Arial" w:cs="Arial"/>
          <w:i/>
          <w:iCs/>
        </w:rPr>
      </w:pPr>
      <w:r>
        <w:rPr>
          <w:rFonts w:ascii="Arial" w:hAnsi="Arial" w:cs="Arial"/>
        </w:rPr>
        <w:t xml:space="preserve">Gillingham P. Predictive risk modelling to prevent child maltreatment and other adverse outcomes for service users: Inside the “black box” of machine learning. </w:t>
      </w:r>
      <w:r w:rsidRPr="006750FB">
        <w:rPr>
          <w:rFonts w:ascii="Arial" w:hAnsi="Arial" w:cs="Arial"/>
          <w:i/>
          <w:iCs/>
        </w:rPr>
        <w:t xml:space="preserve">British Journal of Social Work. 2016;46(4):1044–1058. </w:t>
      </w:r>
    </w:p>
    <w:p w14:paraId="73AE7F19" w14:textId="28EB22FA" w:rsidR="00580997" w:rsidRPr="006750FB" w:rsidRDefault="00580997" w:rsidP="00F26243">
      <w:pPr>
        <w:spacing w:line="360" w:lineRule="auto"/>
        <w:jc w:val="both"/>
        <w:rPr>
          <w:rFonts w:ascii="Arial" w:hAnsi="Arial" w:cs="Arial"/>
          <w:i/>
          <w:iCs/>
        </w:rPr>
      </w:pPr>
      <w:proofErr w:type="spellStart"/>
      <w:r>
        <w:rPr>
          <w:rFonts w:ascii="Arial" w:hAnsi="Arial" w:cs="Arial"/>
        </w:rPr>
        <w:t>Hek</w:t>
      </w:r>
      <w:proofErr w:type="spellEnd"/>
      <w:r>
        <w:rPr>
          <w:rFonts w:ascii="Arial" w:hAnsi="Arial" w:cs="Arial"/>
        </w:rPr>
        <w:t xml:space="preserve"> R., Hughes N., </w:t>
      </w:r>
      <w:proofErr w:type="spellStart"/>
      <w:r>
        <w:rPr>
          <w:rFonts w:ascii="Arial" w:hAnsi="Arial" w:cs="Arial"/>
        </w:rPr>
        <w:t>Ozman</w:t>
      </w:r>
      <w:proofErr w:type="spellEnd"/>
      <w:r>
        <w:rPr>
          <w:rFonts w:ascii="Arial" w:hAnsi="Arial" w:cs="Arial"/>
        </w:rPr>
        <w:t xml:space="preserve"> R. Safeguarding the needs of children and young people seeking asylum in the UK: Addressing past failings and meeting future challenges. </w:t>
      </w:r>
      <w:r w:rsidRPr="006750FB">
        <w:rPr>
          <w:rFonts w:ascii="Arial" w:hAnsi="Arial" w:cs="Arial"/>
          <w:i/>
          <w:iCs/>
        </w:rPr>
        <w:t xml:space="preserve">Child Abuse Review. 2012;21(5):335–348. </w:t>
      </w:r>
    </w:p>
    <w:p w14:paraId="51F3F248" w14:textId="0FF35FC2" w:rsidR="00580997" w:rsidRPr="006750FB" w:rsidRDefault="00580997" w:rsidP="00F26243">
      <w:pPr>
        <w:spacing w:line="360" w:lineRule="auto"/>
        <w:jc w:val="both"/>
        <w:rPr>
          <w:rFonts w:ascii="Arial" w:hAnsi="Arial" w:cs="Arial"/>
          <w:i/>
          <w:iCs/>
        </w:rPr>
      </w:pPr>
      <w:r>
        <w:rPr>
          <w:rFonts w:ascii="Arial" w:hAnsi="Arial" w:cs="Arial"/>
        </w:rPr>
        <w:t xml:space="preserve">Mansell R. Inequality and digitally mediated communication: </w:t>
      </w:r>
      <w:r w:rsidRPr="006750FB">
        <w:rPr>
          <w:rFonts w:ascii="Arial" w:hAnsi="Arial" w:cs="Arial"/>
          <w:i/>
          <w:iCs/>
        </w:rPr>
        <w:t xml:space="preserve">Divides, contradictions and consequences. </w:t>
      </w:r>
      <w:proofErr w:type="spellStart"/>
      <w:r w:rsidRPr="006750FB">
        <w:rPr>
          <w:rFonts w:ascii="Arial" w:hAnsi="Arial" w:cs="Arial"/>
          <w:i/>
          <w:iCs/>
        </w:rPr>
        <w:t>Javnost</w:t>
      </w:r>
      <w:proofErr w:type="spellEnd"/>
      <w:r w:rsidRPr="006750FB">
        <w:rPr>
          <w:rFonts w:ascii="Arial" w:hAnsi="Arial" w:cs="Arial"/>
          <w:i/>
          <w:iCs/>
        </w:rPr>
        <w:t xml:space="preserve"> – The Public. 2017;24(2):146–161. </w:t>
      </w:r>
    </w:p>
    <w:p w14:paraId="71026482" w14:textId="0BA1E33B" w:rsidR="00580997" w:rsidRPr="006750FB" w:rsidRDefault="00580997" w:rsidP="00F26243">
      <w:pPr>
        <w:spacing w:line="360" w:lineRule="auto"/>
        <w:jc w:val="both"/>
        <w:rPr>
          <w:rFonts w:ascii="Arial" w:hAnsi="Arial" w:cs="Arial"/>
          <w:i/>
          <w:iCs/>
        </w:rPr>
      </w:pPr>
      <w:r>
        <w:rPr>
          <w:rFonts w:ascii="Arial" w:hAnsi="Arial" w:cs="Arial"/>
        </w:rPr>
        <w:t xml:space="preserve">O’Reilly M., </w:t>
      </w:r>
      <w:proofErr w:type="spellStart"/>
      <w:r>
        <w:rPr>
          <w:rFonts w:ascii="Arial" w:hAnsi="Arial" w:cs="Arial"/>
        </w:rPr>
        <w:t>Kiyimba</w:t>
      </w:r>
      <w:proofErr w:type="spellEnd"/>
      <w:r>
        <w:rPr>
          <w:rFonts w:ascii="Arial" w:hAnsi="Arial" w:cs="Arial"/>
        </w:rPr>
        <w:t xml:space="preserve"> M., Karim K. “This is a question we have to ask everyone”: Asking young people about self-harm and suicide. </w:t>
      </w:r>
      <w:r w:rsidRPr="006750FB">
        <w:rPr>
          <w:rFonts w:ascii="Arial" w:hAnsi="Arial" w:cs="Arial"/>
          <w:i/>
          <w:iCs/>
        </w:rPr>
        <w:t xml:space="preserve">Journal of Psychiatric and Mental Health Nursing. </w:t>
      </w:r>
      <w:proofErr w:type="gramStart"/>
      <w:r w:rsidRPr="006750FB">
        <w:rPr>
          <w:rFonts w:ascii="Arial" w:hAnsi="Arial" w:cs="Arial"/>
          <w:i/>
          <w:iCs/>
        </w:rPr>
        <w:t>2016;23:479</w:t>
      </w:r>
      <w:proofErr w:type="gramEnd"/>
      <w:r w:rsidRPr="006750FB">
        <w:rPr>
          <w:rFonts w:ascii="Arial" w:hAnsi="Arial" w:cs="Arial"/>
          <w:i/>
          <w:iCs/>
        </w:rPr>
        <w:t xml:space="preserve">–488. </w:t>
      </w:r>
    </w:p>
    <w:p w14:paraId="698C1207" w14:textId="7824EEC9" w:rsidR="00580997" w:rsidRPr="006750FB" w:rsidRDefault="00580997" w:rsidP="00F26243">
      <w:pPr>
        <w:spacing w:line="360" w:lineRule="auto"/>
        <w:jc w:val="both"/>
        <w:rPr>
          <w:rFonts w:ascii="Arial" w:hAnsi="Arial" w:cs="Arial"/>
          <w:i/>
          <w:iCs/>
        </w:rPr>
      </w:pPr>
      <w:r>
        <w:rPr>
          <w:rFonts w:ascii="Arial" w:hAnsi="Arial" w:cs="Arial"/>
        </w:rPr>
        <w:t xml:space="preserve">Preston-Shoot M. On self-neglect and safeguarding adult reviews: Diminishing returns or adding value? </w:t>
      </w:r>
      <w:r w:rsidRPr="006750FB">
        <w:rPr>
          <w:rFonts w:ascii="Arial" w:hAnsi="Arial" w:cs="Arial"/>
          <w:i/>
          <w:iCs/>
        </w:rPr>
        <w:t xml:space="preserve">The Journal of Adult Protection. 2017;19(2):53–66. </w:t>
      </w:r>
    </w:p>
    <w:p w14:paraId="2CCCC90B" w14:textId="38CC5426" w:rsidR="00580997" w:rsidRPr="006750FB" w:rsidRDefault="00580997" w:rsidP="00F26243">
      <w:pPr>
        <w:spacing w:line="360" w:lineRule="auto"/>
        <w:jc w:val="both"/>
        <w:rPr>
          <w:rFonts w:ascii="Arial" w:hAnsi="Arial" w:cs="Arial"/>
          <w:i/>
          <w:iCs/>
        </w:rPr>
      </w:pPr>
      <w:r>
        <w:rPr>
          <w:rFonts w:ascii="Arial" w:hAnsi="Arial" w:cs="Arial"/>
        </w:rPr>
        <w:t xml:space="preserve">Smeeton J., Boxall K. Birth parents’ perceptions of professional practice in </w:t>
      </w:r>
      <w:proofErr w:type="gramStart"/>
      <w:r>
        <w:rPr>
          <w:rFonts w:ascii="Arial" w:hAnsi="Arial" w:cs="Arial"/>
        </w:rPr>
        <w:t>child care</w:t>
      </w:r>
      <w:proofErr w:type="gramEnd"/>
      <w:r>
        <w:rPr>
          <w:rFonts w:ascii="Arial" w:hAnsi="Arial" w:cs="Arial"/>
        </w:rPr>
        <w:t xml:space="preserve"> and adoption proceedings: Implications for practice. </w:t>
      </w:r>
      <w:r w:rsidRPr="006750FB">
        <w:rPr>
          <w:rFonts w:ascii="Arial" w:hAnsi="Arial" w:cs="Arial"/>
          <w:i/>
          <w:iCs/>
        </w:rPr>
        <w:t xml:space="preserve">Child &amp; Family Social Work. </w:t>
      </w:r>
      <w:proofErr w:type="gramStart"/>
      <w:r w:rsidRPr="006750FB">
        <w:rPr>
          <w:rFonts w:ascii="Arial" w:hAnsi="Arial" w:cs="Arial"/>
          <w:i/>
          <w:iCs/>
        </w:rPr>
        <w:t>2011;16:444</w:t>
      </w:r>
      <w:proofErr w:type="gramEnd"/>
      <w:r w:rsidRPr="006750FB">
        <w:rPr>
          <w:rFonts w:ascii="Arial" w:hAnsi="Arial" w:cs="Arial"/>
          <w:i/>
          <w:iCs/>
        </w:rPr>
        <w:t xml:space="preserve">–453. </w:t>
      </w:r>
    </w:p>
    <w:p w14:paraId="6677A595" w14:textId="50E773C0" w:rsidR="00580997" w:rsidRPr="006750FB" w:rsidRDefault="00580997" w:rsidP="00F26243">
      <w:pPr>
        <w:spacing w:line="360" w:lineRule="auto"/>
        <w:jc w:val="both"/>
        <w:rPr>
          <w:rFonts w:ascii="Arial" w:hAnsi="Arial" w:cs="Arial"/>
          <w:i/>
          <w:iCs/>
        </w:rPr>
      </w:pPr>
      <w:proofErr w:type="spellStart"/>
      <w:r>
        <w:rPr>
          <w:rFonts w:ascii="Arial" w:hAnsi="Arial" w:cs="Arial"/>
        </w:rPr>
        <w:t>Topocco</w:t>
      </w:r>
      <w:proofErr w:type="spellEnd"/>
      <w:r>
        <w:rPr>
          <w:rFonts w:ascii="Arial" w:hAnsi="Arial" w:cs="Arial"/>
        </w:rPr>
        <w:t xml:space="preserve"> N., Riper H., Araya R., </w:t>
      </w:r>
      <w:proofErr w:type="spellStart"/>
      <w:r>
        <w:rPr>
          <w:rFonts w:ascii="Arial" w:hAnsi="Arial" w:cs="Arial"/>
        </w:rPr>
        <w:t>Berking</w:t>
      </w:r>
      <w:proofErr w:type="spellEnd"/>
      <w:r>
        <w:rPr>
          <w:rFonts w:ascii="Arial" w:hAnsi="Arial" w:cs="Arial"/>
        </w:rPr>
        <w:t xml:space="preserve"> M., </w:t>
      </w:r>
      <w:proofErr w:type="spellStart"/>
      <w:r>
        <w:rPr>
          <w:rFonts w:ascii="Arial" w:hAnsi="Arial" w:cs="Arial"/>
        </w:rPr>
        <w:t>Brunn</w:t>
      </w:r>
      <w:proofErr w:type="spellEnd"/>
      <w:r>
        <w:rPr>
          <w:rFonts w:ascii="Arial" w:hAnsi="Arial" w:cs="Arial"/>
        </w:rPr>
        <w:t xml:space="preserve"> M., Chevreul K. Attitudes toward digital treatment for depression: </w:t>
      </w:r>
      <w:r w:rsidRPr="006750FB">
        <w:rPr>
          <w:rFonts w:ascii="Arial" w:hAnsi="Arial" w:cs="Arial"/>
          <w:i/>
          <w:iCs/>
        </w:rPr>
        <w:t xml:space="preserve">A European Stakeholder survey. Internet Interventions. </w:t>
      </w:r>
      <w:proofErr w:type="gramStart"/>
      <w:r w:rsidRPr="006750FB">
        <w:rPr>
          <w:rFonts w:ascii="Arial" w:hAnsi="Arial" w:cs="Arial"/>
          <w:i/>
          <w:iCs/>
        </w:rPr>
        <w:t>2017;8:1</w:t>
      </w:r>
      <w:proofErr w:type="gramEnd"/>
      <w:r w:rsidRPr="006750FB">
        <w:rPr>
          <w:rFonts w:ascii="Arial" w:hAnsi="Arial" w:cs="Arial"/>
          <w:i/>
          <w:iCs/>
        </w:rPr>
        <w:t xml:space="preserve">–9. </w:t>
      </w:r>
    </w:p>
    <w:p w14:paraId="17182BEF" w14:textId="7F931E7A" w:rsidR="00580997" w:rsidRPr="006750FB" w:rsidRDefault="00580997" w:rsidP="00F26243">
      <w:pPr>
        <w:spacing w:line="360" w:lineRule="auto"/>
        <w:jc w:val="both"/>
        <w:rPr>
          <w:rFonts w:ascii="Arial" w:hAnsi="Arial" w:cs="Arial"/>
          <w:i/>
          <w:iCs/>
        </w:rPr>
      </w:pPr>
      <w:r>
        <w:rPr>
          <w:rFonts w:ascii="Arial" w:hAnsi="Arial" w:cs="Arial"/>
        </w:rPr>
        <w:lastRenderedPageBreak/>
        <w:t xml:space="preserve">Walsh J., White S., Morris K., Doherty P. How do you solve a problem like Maria? Family complexity and institutional complications in UK social work. </w:t>
      </w:r>
      <w:r w:rsidRPr="006750FB">
        <w:rPr>
          <w:rFonts w:ascii="Arial" w:hAnsi="Arial" w:cs="Arial"/>
          <w:i/>
          <w:iCs/>
        </w:rPr>
        <w:t xml:space="preserve">European Journal of Social Work. 2019;22(6):1050–1061. </w:t>
      </w:r>
    </w:p>
    <w:p w14:paraId="02D1C987" w14:textId="7C580BD4" w:rsidR="00580997" w:rsidRPr="006750FB" w:rsidRDefault="00580997" w:rsidP="00F26243">
      <w:pPr>
        <w:spacing w:line="360" w:lineRule="auto"/>
        <w:jc w:val="both"/>
        <w:rPr>
          <w:rFonts w:ascii="Arial" w:hAnsi="Arial" w:cs="Arial"/>
          <w:i/>
          <w:iCs/>
        </w:rPr>
      </w:pPr>
      <w:r>
        <w:rPr>
          <w:rFonts w:ascii="Arial" w:hAnsi="Arial" w:cs="Arial"/>
        </w:rPr>
        <w:t xml:space="preserve">Watkins D., Law E.L.C., Barwick J., Kirk E. Exploring children’s understanding of law in their everyday lives. </w:t>
      </w:r>
      <w:r w:rsidRPr="006750FB">
        <w:rPr>
          <w:rFonts w:ascii="Arial" w:hAnsi="Arial" w:cs="Arial"/>
          <w:i/>
          <w:iCs/>
        </w:rPr>
        <w:t xml:space="preserve">Legal Studies. 2018;38(1):59–78. </w:t>
      </w:r>
    </w:p>
    <w:p w14:paraId="719799C1" w14:textId="77777777" w:rsidR="00D246B1" w:rsidRPr="002B01C3" w:rsidRDefault="00D246B1" w:rsidP="00F26243">
      <w:pPr>
        <w:spacing w:line="360" w:lineRule="auto"/>
        <w:jc w:val="both"/>
        <w:rPr>
          <w:rFonts w:ascii="Arial" w:hAnsi="Arial" w:cs="Arial"/>
        </w:rPr>
      </w:pPr>
    </w:p>
    <w:sectPr w:rsidR="00D246B1" w:rsidRPr="002B01C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A39A4" w14:textId="77777777" w:rsidR="00E12E2C" w:rsidRDefault="00E12E2C" w:rsidP="009E3FAD">
      <w:pPr>
        <w:spacing w:after="0" w:line="240" w:lineRule="auto"/>
      </w:pPr>
      <w:r>
        <w:separator/>
      </w:r>
    </w:p>
  </w:endnote>
  <w:endnote w:type="continuationSeparator" w:id="0">
    <w:p w14:paraId="2A286117" w14:textId="77777777" w:rsidR="00E12E2C" w:rsidRDefault="00E12E2C" w:rsidP="009E3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F89E4" w14:textId="77777777" w:rsidR="009E3FAD" w:rsidRDefault="009E3F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C23BF" w14:textId="77777777" w:rsidR="009E3FAD" w:rsidRDefault="009E3F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1BAFB" w14:textId="77777777" w:rsidR="009E3FAD" w:rsidRDefault="009E3F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7CB16" w14:textId="77777777" w:rsidR="00E12E2C" w:rsidRDefault="00E12E2C" w:rsidP="009E3FAD">
      <w:pPr>
        <w:spacing w:after="0" w:line="240" w:lineRule="auto"/>
      </w:pPr>
      <w:r>
        <w:separator/>
      </w:r>
    </w:p>
  </w:footnote>
  <w:footnote w:type="continuationSeparator" w:id="0">
    <w:p w14:paraId="1359656E" w14:textId="77777777" w:rsidR="00E12E2C" w:rsidRDefault="00E12E2C" w:rsidP="009E3F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42D5C" w14:textId="77777777" w:rsidR="009E3FAD" w:rsidRDefault="009E3F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4630726"/>
      <w:docPartObj>
        <w:docPartGallery w:val="Page Numbers (Top of Page)"/>
        <w:docPartUnique/>
      </w:docPartObj>
    </w:sdtPr>
    <w:sdtEndPr>
      <w:rPr>
        <w:noProof/>
      </w:rPr>
    </w:sdtEndPr>
    <w:sdtContent>
      <w:p w14:paraId="34AF0E1E" w14:textId="7DAA6B08" w:rsidR="009E3FAD" w:rsidRDefault="009E3FA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1FE23AD" w14:textId="77777777" w:rsidR="009E3FAD" w:rsidRDefault="009E3F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E5B4B" w14:textId="77777777" w:rsidR="009E3FAD" w:rsidRDefault="009E3F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C17FB"/>
    <w:multiLevelType w:val="hybridMultilevel"/>
    <w:tmpl w:val="67B4C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1812EE"/>
    <w:multiLevelType w:val="hybridMultilevel"/>
    <w:tmpl w:val="C60A15CC"/>
    <w:lvl w:ilvl="0" w:tplc="27CE8D0A">
      <w:start w:val="1"/>
      <w:numFmt w:val="bullet"/>
      <w:lvlText w:val=""/>
      <w:lvlJc w:val="left"/>
      <w:pPr>
        <w:ind w:left="720" w:hanging="360"/>
      </w:pPr>
      <w:rPr>
        <w:rFonts w:ascii="Symbol" w:hAnsi="Symbol" w:hint="default"/>
      </w:rPr>
    </w:lvl>
    <w:lvl w:ilvl="1" w:tplc="219CE9BC" w:tentative="1">
      <w:start w:val="1"/>
      <w:numFmt w:val="bullet"/>
      <w:lvlText w:val="o"/>
      <w:lvlJc w:val="left"/>
      <w:pPr>
        <w:ind w:left="1440" w:hanging="360"/>
      </w:pPr>
      <w:rPr>
        <w:rFonts w:ascii="Courier New" w:hAnsi="Courier New" w:cs="Courier New" w:hint="default"/>
      </w:rPr>
    </w:lvl>
    <w:lvl w:ilvl="2" w:tplc="5D84045C" w:tentative="1">
      <w:start w:val="1"/>
      <w:numFmt w:val="bullet"/>
      <w:lvlText w:val=""/>
      <w:lvlJc w:val="left"/>
      <w:pPr>
        <w:ind w:left="2160" w:hanging="360"/>
      </w:pPr>
      <w:rPr>
        <w:rFonts w:ascii="Wingdings" w:hAnsi="Wingdings" w:hint="default"/>
      </w:rPr>
    </w:lvl>
    <w:lvl w:ilvl="3" w:tplc="96FE0BB2" w:tentative="1">
      <w:start w:val="1"/>
      <w:numFmt w:val="bullet"/>
      <w:lvlText w:val=""/>
      <w:lvlJc w:val="left"/>
      <w:pPr>
        <w:ind w:left="2880" w:hanging="360"/>
      </w:pPr>
      <w:rPr>
        <w:rFonts w:ascii="Symbol" w:hAnsi="Symbol" w:hint="default"/>
      </w:rPr>
    </w:lvl>
    <w:lvl w:ilvl="4" w:tplc="10EC9FB8" w:tentative="1">
      <w:start w:val="1"/>
      <w:numFmt w:val="bullet"/>
      <w:lvlText w:val="o"/>
      <w:lvlJc w:val="left"/>
      <w:pPr>
        <w:ind w:left="3600" w:hanging="360"/>
      </w:pPr>
      <w:rPr>
        <w:rFonts w:ascii="Courier New" w:hAnsi="Courier New" w:cs="Courier New" w:hint="default"/>
      </w:rPr>
    </w:lvl>
    <w:lvl w:ilvl="5" w:tplc="E4C627FE" w:tentative="1">
      <w:start w:val="1"/>
      <w:numFmt w:val="bullet"/>
      <w:lvlText w:val=""/>
      <w:lvlJc w:val="left"/>
      <w:pPr>
        <w:ind w:left="4320" w:hanging="360"/>
      </w:pPr>
      <w:rPr>
        <w:rFonts w:ascii="Wingdings" w:hAnsi="Wingdings" w:hint="default"/>
      </w:rPr>
    </w:lvl>
    <w:lvl w:ilvl="6" w:tplc="83340A88" w:tentative="1">
      <w:start w:val="1"/>
      <w:numFmt w:val="bullet"/>
      <w:lvlText w:val=""/>
      <w:lvlJc w:val="left"/>
      <w:pPr>
        <w:ind w:left="5040" w:hanging="360"/>
      </w:pPr>
      <w:rPr>
        <w:rFonts w:ascii="Symbol" w:hAnsi="Symbol" w:hint="default"/>
      </w:rPr>
    </w:lvl>
    <w:lvl w:ilvl="7" w:tplc="7806DBB8" w:tentative="1">
      <w:start w:val="1"/>
      <w:numFmt w:val="bullet"/>
      <w:lvlText w:val="o"/>
      <w:lvlJc w:val="left"/>
      <w:pPr>
        <w:ind w:left="5760" w:hanging="360"/>
      </w:pPr>
      <w:rPr>
        <w:rFonts w:ascii="Courier New" w:hAnsi="Courier New" w:cs="Courier New" w:hint="default"/>
      </w:rPr>
    </w:lvl>
    <w:lvl w:ilvl="8" w:tplc="CFB4ACDC" w:tentative="1">
      <w:start w:val="1"/>
      <w:numFmt w:val="bullet"/>
      <w:lvlText w:val=""/>
      <w:lvlJc w:val="left"/>
      <w:pPr>
        <w:ind w:left="6480" w:hanging="360"/>
      </w:pPr>
      <w:rPr>
        <w:rFonts w:ascii="Wingdings" w:hAnsi="Wingdings" w:hint="default"/>
      </w:rPr>
    </w:lvl>
  </w:abstractNum>
  <w:abstractNum w:abstractNumId="2" w15:restartNumberingAfterBreak="0">
    <w:nsid w:val="19D64F1B"/>
    <w:multiLevelType w:val="hybridMultilevel"/>
    <w:tmpl w:val="276EF570"/>
    <w:lvl w:ilvl="0" w:tplc="02DC0406">
      <w:start w:val="1"/>
      <w:numFmt w:val="bullet"/>
      <w:lvlText w:val=""/>
      <w:lvlJc w:val="left"/>
      <w:pPr>
        <w:ind w:left="720" w:hanging="360"/>
      </w:pPr>
      <w:rPr>
        <w:rFonts w:ascii="Symbol" w:hAnsi="Symbol" w:hint="default"/>
      </w:rPr>
    </w:lvl>
    <w:lvl w:ilvl="1" w:tplc="CED0A9E2" w:tentative="1">
      <w:start w:val="1"/>
      <w:numFmt w:val="bullet"/>
      <w:lvlText w:val="o"/>
      <w:lvlJc w:val="left"/>
      <w:pPr>
        <w:ind w:left="1440" w:hanging="360"/>
      </w:pPr>
      <w:rPr>
        <w:rFonts w:ascii="Courier New" w:hAnsi="Courier New" w:cs="Courier New" w:hint="default"/>
      </w:rPr>
    </w:lvl>
    <w:lvl w:ilvl="2" w:tplc="CD582372" w:tentative="1">
      <w:start w:val="1"/>
      <w:numFmt w:val="bullet"/>
      <w:lvlText w:val=""/>
      <w:lvlJc w:val="left"/>
      <w:pPr>
        <w:ind w:left="2160" w:hanging="360"/>
      </w:pPr>
      <w:rPr>
        <w:rFonts w:ascii="Wingdings" w:hAnsi="Wingdings" w:hint="default"/>
      </w:rPr>
    </w:lvl>
    <w:lvl w:ilvl="3" w:tplc="30F0D950" w:tentative="1">
      <w:start w:val="1"/>
      <w:numFmt w:val="bullet"/>
      <w:lvlText w:val=""/>
      <w:lvlJc w:val="left"/>
      <w:pPr>
        <w:ind w:left="2880" w:hanging="360"/>
      </w:pPr>
      <w:rPr>
        <w:rFonts w:ascii="Symbol" w:hAnsi="Symbol" w:hint="default"/>
      </w:rPr>
    </w:lvl>
    <w:lvl w:ilvl="4" w:tplc="869ED07E" w:tentative="1">
      <w:start w:val="1"/>
      <w:numFmt w:val="bullet"/>
      <w:lvlText w:val="o"/>
      <w:lvlJc w:val="left"/>
      <w:pPr>
        <w:ind w:left="3600" w:hanging="360"/>
      </w:pPr>
      <w:rPr>
        <w:rFonts w:ascii="Courier New" w:hAnsi="Courier New" w:cs="Courier New" w:hint="default"/>
      </w:rPr>
    </w:lvl>
    <w:lvl w:ilvl="5" w:tplc="06B0D97E" w:tentative="1">
      <w:start w:val="1"/>
      <w:numFmt w:val="bullet"/>
      <w:lvlText w:val=""/>
      <w:lvlJc w:val="left"/>
      <w:pPr>
        <w:ind w:left="4320" w:hanging="360"/>
      </w:pPr>
      <w:rPr>
        <w:rFonts w:ascii="Wingdings" w:hAnsi="Wingdings" w:hint="default"/>
      </w:rPr>
    </w:lvl>
    <w:lvl w:ilvl="6" w:tplc="65C80AB4" w:tentative="1">
      <w:start w:val="1"/>
      <w:numFmt w:val="bullet"/>
      <w:lvlText w:val=""/>
      <w:lvlJc w:val="left"/>
      <w:pPr>
        <w:ind w:left="5040" w:hanging="360"/>
      </w:pPr>
      <w:rPr>
        <w:rFonts w:ascii="Symbol" w:hAnsi="Symbol" w:hint="default"/>
      </w:rPr>
    </w:lvl>
    <w:lvl w:ilvl="7" w:tplc="1F9ADE52" w:tentative="1">
      <w:start w:val="1"/>
      <w:numFmt w:val="bullet"/>
      <w:lvlText w:val="o"/>
      <w:lvlJc w:val="left"/>
      <w:pPr>
        <w:ind w:left="5760" w:hanging="360"/>
      </w:pPr>
      <w:rPr>
        <w:rFonts w:ascii="Courier New" w:hAnsi="Courier New" w:cs="Courier New" w:hint="default"/>
      </w:rPr>
    </w:lvl>
    <w:lvl w:ilvl="8" w:tplc="6B925744" w:tentative="1">
      <w:start w:val="1"/>
      <w:numFmt w:val="bullet"/>
      <w:lvlText w:val=""/>
      <w:lvlJc w:val="left"/>
      <w:pPr>
        <w:ind w:left="6480" w:hanging="360"/>
      </w:pPr>
      <w:rPr>
        <w:rFonts w:ascii="Wingdings" w:hAnsi="Wingdings" w:hint="default"/>
      </w:rPr>
    </w:lvl>
  </w:abstractNum>
  <w:abstractNum w:abstractNumId="3" w15:restartNumberingAfterBreak="0">
    <w:nsid w:val="1BDE4D4F"/>
    <w:multiLevelType w:val="hybridMultilevel"/>
    <w:tmpl w:val="0E4021A2"/>
    <w:lvl w:ilvl="0" w:tplc="33BABC96">
      <w:start w:val="6"/>
      <w:numFmt w:val="bullet"/>
      <w:lvlText w:val="-"/>
      <w:lvlJc w:val="left"/>
      <w:pPr>
        <w:ind w:left="720" w:hanging="360"/>
      </w:pPr>
      <w:rPr>
        <w:rFonts w:ascii="Calibri" w:eastAsiaTheme="minorEastAsia" w:hAnsi="Calibri" w:cstheme="minorBidi" w:hint="default"/>
      </w:rPr>
    </w:lvl>
    <w:lvl w:ilvl="1" w:tplc="42645A9A" w:tentative="1">
      <w:start w:val="1"/>
      <w:numFmt w:val="bullet"/>
      <w:lvlText w:val="o"/>
      <w:lvlJc w:val="left"/>
      <w:pPr>
        <w:ind w:left="1440" w:hanging="360"/>
      </w:pPr>
      <w:rPr>
        <w:rFonts w:ascii="Courier New" w:hAnsi="Courier New" w:cs="Courier New" w:hint="default"/>
      </w:rPr>
    </w:lvl>
    <w:lvl w:ilvl="2" w:tplc="1B4697DC" w:tentative="1">
      <w:start w:val="1"/>
      <w:numFmt w:val="bullet"/>
      <w:lvlText w:val=""/>
      <w:lvlJc w:val="left"/>
      <w:pPr>
        <w:ind w:left="2160" w:hanging="360"/>
      </w:pPr>
      <w:rPr>
        <w:rFonts w:ascii="Wingdings" w:hAnsi="Wingdings" w:hint="default"/>
      </w:rPr>
    </w:lvl>
    <w:lvl w:ilvl="3" w:tplc="52446A30" w:tentative="1">
      <w:start w:val="1"/>
      <w:numFmt w:val="bullet"/>
      <w:lvlText w:val=""/>
      <w:lvlJc w:val="left"/>
      <w:pPr>
        <w:ind w:left="2880" w:hanging="360"/>
      </w:pPr>
      <w:rPr>
        <w:rFonts w:ascii="Symbol" w:hAnsi="Symbol" w:hint="default"/>
      </w:rPr>
    </w:lvl>
    <w:lvl w:ilvl="4" w:tplc="0F3266F2" w:tentative="1">
      <w:start w:val="1"/>
      <w:numFmt w:val="bullet"/>
      <w:lvlText w:val="o"/>
      <w:lvlJc w:val="left"/>
      <w:pPr>
        <w:ind w:left="3600" w:hanging="360"/>
      </w:pPr>
      <w:rPr>
        <w:rFonts w:ascii="Courier New" w:hAnsi="Courier New" w:cs="Courier New" w:hint="default"/>
      </w:rPr>
    </w:lvl>
    <w:lvl w:ilvl="5" w:tplc="D554A36E" w:tentative="1">
      <w:start w:val="1"/>
      <w:numFmt w:val="bullet"/>
      <w:lvlText w:val=""/>
      <w:lvlJc w:val="left"/>
      <w:pPr>
        <w:ind w:left="4320" w:hanging="360"/>
      </w:pPr>
      <w:rPr>
        <w:rFonts w:ascii="Wingdings" w:hAnsi="Wingdings" w:hint="default"/>
      </w:rPr>
    </w:lvl>
    <w:lvl w:ilvl="6" w:tplc="53881B36" w:tentative="1">
      <w:start w:val="1"/>
      <w:numFmt w:val="bullet"/>
      <w:lvlText w:val=""/>
      <w:lvlJc w:val="left"/>
      <w:pPr>
        <w:ind w:left="5040" w:hanging="360"/>
      </w:pPr>
      <w:rPr>
        <w:rFonts w:ascii="Symbol" w:hAnsi="Symbol" w:hint="default"/>
      </w:rPr>
    </w:lvl>
    <w:lvl w:ilvl="7" w:tplc="32D6818E" w:tentative="1">
      <w:start w:val="1"/>
      <w:numFmt w:val="bullet"/>
      <w:lvlText w:val="o"/>
      <w:lvlJc w:val="left"/>
      <w:pPr>
        <w:ind w:left="5760" w:hanging="360"/>
      </w:pPr>
      <w:rPr>
        <w:rFonts w:ascii="Courier New" w:hAnsi="Courier New" w:cs="Courier New" w:hint="default"/>
      </w:rPr>
    </w:lvl>
    <w:lvl w:ilvl="8" w:tplc="C19CF2C0" w:tentative="1">
      <w:start w:val="1"/>
      <w:numFmt w:val="bullet"/>
      <w:lvlText w:val=""/>
      <w:lvlJc w:val="left"/>
      <w:pPr>
        <w:ind w:left="6480" w:hanging="360"/>
      </w:pPr>
      <w:rPr>
        <w:rFonts w:ascii="Wingdings" w:hAnsi="Wingdings" w:hint="default"/>
      </w:rPr>
    </w:lvl>
  </w:abstractNum>
  <w:abstractNum w:abstractNumId="4" w15:restartNumberingAfterBreak="0">
    <w:nsid w:val="32B03A1F"/>
    <w:multiLevelType w:val="hybridMultilevel"/>
    <w:tmpl w:val="0158CDFE"/>
    <w:lvl w:ilvl="0" w:tplc="37146CC4">
      <w:start w:val="1"/>
      <w:numFmt w:val="decimal"/>
      <w:lvlText w:val="%1."/>
      <w:lvlJc w:val="left"/>
      <w:pPr>
        <w:ind w:left="720" w:hanging="360"/>
      </w:pPr>
    </w:lvl>
    <w:lvl w:ilvl="1" w:tplc="1AA20578" w:tentative="1">
      <w:start w:val="1"/>
      <w:numFmt w:val="lowerLetter"/>
      <w:lvlText w:val="%2."/>
      <w:lvlJc w:val="left"/>
      <w:pPr>
        <w:ind w:left="1440" w:hanging="360"/>
      </w:pPr>
    </w:lvl>
    <w:lvl w:ilvl="2" w:tplc="2C10ED58" w:tentative="1">
      <w:start w:val="1"/>
      <w:numFmt w:val="lowerRoman"/>
      <w:lvlText w:val="%3."/>
      <w:lvlJc w:val="right"/>
      <w:pPr>
        <w:ind w:left="2160" w:hanging="180"/>
      </w:pPr>
    </w:lvl>
    <w:lvl w:ilvl="3" w:tplc="126E45F6" w:tentative="1">
      <w:start w:val="1"/>
      <w:numFmt w:val="decimal"/>
      <w:lvlText w:val="%4."/>
      <w:lvlJc w:val="left"/>
      <w:pPr>
        <w:ind w:left="2880" w:hanging="360"/>
      </w:pPr>
    </w:lvl>
    <w:lvl w:ilvl="4" w:tplc="4472171A" w:tentative="1">
      <w:start w:val="1"/>
      <w:numFmt w:val="lowerLetter"/>
      <w:lvlText w:val="%5."/>
      <w:lvlJc w:val="left"/>
      <w:pPr>
        <w:ind w:left="3600" w:hanging="360"/>
      </w:pPr>
    </w:lvl>
    <w:lvl w:ilvl="5" w:tplc="99B66126" w:tentative="1">
      <w:start w:val="1"/>
      <w:numFmt w:val="lowerRoman"/>
      <w:lvlText w:val="%6."/>
      <w:lvlJc w:val="right"/>
      <w:pPr>
        <w:ind w:left="4320" w:hanging="180"/>
      </w:pPr>
    </w:lvl>
    <w:lvl w:ilvl="6" w:tplc="5D48EABE" w:tentative="1">
      <w:start w:val="1"/>
      <w:numFmt w:val="decimal"/>
      <w:lvlText w:val="%7."/>
      <w:lvlJc w:val="left"/>
      <w:pPr>
        <w:ind w:left="5040" w:hanging="360"/>
      </w:pPr>
    </w:lvl>
    <w:lvl w:ilvl="7" w:tplc="208AD038" w:tentative="1">
      <w:start w:val="1"/>
      <w:numFmt w:val="lowerLetter"/>
      <w:lvlText w:val="%8."/>
      <w:lvlJc w:val="left"/>
      <w:pPr>
        <w:ind w:left="5760" w:hanging="360"/>
      </w:pPr>
    </w:lvl>
    <w:lvl w:ilvl="8" w:tplc="A5F2A8B4" w:tentative="1">
      <w:start w:val="1"/>
      <w:numFmt w:val="lowerRoman"/>
      <w:lvlText w:val="%9."/>
      <w:lvlJc w:val="right"/>
      <w:pPr>
        <w:ind w:left="6480" w:hanging="180"/>
      </w:pPr>
    </w:lvl>
  </w:abstractNum>
  <w:abstractNum w:abstractNumId="5" w15:restartNumberingAfterBreak="0">
    <w:nsid w:val="62B61929"/>
    <w:multiLevelType w:val="hybridMultilevel"/>
    <w:tmpl w:val="66BA70E0"/>
    <w:lvl w:ilvl="0" w:tplc="9C76C17C">
      <w:start w:val="1"/>
      <w:numFmt w:val="bullet"/>
      <w:lvlText w:val=""/>
      <w:lvlJc w:val="left"/>
      <w:pPr>
        <w:ind w:left="720" w:hanging="360"/>
      </w:pPr>
      <w:rPr>
        <w:rFonts w:ascii="Symbol" w:hAnsi="Symbol" w:hint="default"/>
      </w:rPr>
    </w:lvl>
    <w:lvl w:ilvl="1" w:tplc="3F10B6AA" w:tentative="1">
      <w:start w:val="1"/>
      <w:numFmt w:val="bullet"/>
      <w:lvlText w:val="o"/>
      <w:lvlJc w:val="left"/>
      <w:pPr>
        <w:ind w:left="1440" w:hanging="360"/>
      </w:pPr>
      <w:rPr>
        <w:rFonts w:ascii="Courier New" w:hAnsi="Courier New" w:cs="Courier New" w:hint="default"/>
      </w:rPr>
    </w:lvl>
    <w:lvl w:ilvl="2" w:tplc="0A247ADE" w:tentative="1">
      <w:start w:val="1"/>
      <w:numFmt w:val="bullet"/>
      <w:lvlText w:val=""/>
      <w:lvlJc w:val="left"/>
      <w:pPr>
        <w:ind w:left="2160" w:hanging="360"/>
      </w:pPr>
      <w:rPr>
        <w:rFonts w:ascii="Wingdings" w:hAnsi="Wingdings" w:hint="default"/>
      </w:rPr>
    </w:lvl>
    <w:lvl w:ilvl="3" w:tplc="3208D62A" w:tentative="1">
      <w:start w:val="1"/>
      <w:numFmt w:val="bullet"/>
      <w:lvlText w:val=""/>
      <w:lvlJc w:val="left"/>
      <w:pPr>
        <w:ind w:left="2880" w:hanging="360"/>
      </w:pPr>
      <w:rPr>
        <w:rFonts w:ascii="Symbol" w:hAnsi="Symbol" w:hint="default"/>
      </w:rPr>
    </w:lvl>
    <w:lvl w:ilvl="4" w:tplc="863AEA8A" w:tentative="1">
      <w:start w:val="1"/>
      <w:numFmt w:val="bullet"/>
      <w:lvlText w:val="o"/>
      <w:lvlJc w:val="left"/>
      <w:pPr>
        <w:ind w:left="3600" w:hanging="360"/>
      </w:pPr>
      <w:rPr>
        <w:rFonts w:ascii="Courier New" w:hAnsi="Courier New" w:cs="Courier New" w:hint="default"/>
      </w:rPr>
    </w:lvl>
    <w:lvl w:ilvl="5" w:tplc="5E36973E" w:tentative="1">
      <w:start w:val="1"/>
      <w:numFmt w:val="bullet"/>
      <w:lvlText w:val=""/>
      <w:lvlJc w:val="left"/>
      <w:pPr>
        <w:ind w:left="4320" w:hanging="360"/>
      </w:pPr>
      <w:rPr>
        <w:rFonts w:ascii="Wingdings" w:hAnsi="Wingdings" w:hint="default"/>
      </w:rPr>
    </w:lvl>
    <w:lvl w:ilvl="6" w:tplc="9B3CD5D6" w:tentative="1">
      <w:start w:val="1"/>
      <w:numFmt w:val="bullet"/>
      <w:lvlText w:val=""/>
      <w:lvlJc w:val="left"/>
      <w:pPr>
        <w:ind w:left="5040" w:hanging="360"/>
      </w:pPr>
      <w:rPr>
        <w:rFonts w:ascii="Symbol" w:hAnsi="Symbol" w:hint="default"/>
      </w:rPr>
    </w:lvl>
    <w:lvl w:ilvl="7" w:tplc="0DF85FE6" w:tentative="1">
      <w:start w:val="1"/>
      <w:numFmt w:val="bullet"/>
      <w:lvlText w:val="o"/>
      <w:lvlJc w:val="left"/>
      <w:pPr>
        <w:ind w:left="5760" w:hanging="360"/>
      </w:pPr>
      <w:rPr>
        <w:rFonts w:ascii="Courier New" w:hAnsi="Courier New" w:cs="Courier New" w:hint="default"/>
      </w:rPr>
    </w:lvl>
    <w:lvl w:ilvl="8" w:tplc="861C5DD6" w:tentative="1">
      <w:start w:val="1"/>
      <w:numFmt w:val="bullet"/>
      <w:lvlText w:val=""/>
      <w:lvlJc w:val="left"/>
      <w:pPr>
        <w:ind w:left="6480" w:hanging="360"/>
      </w:pPr>
      <w:rPr>
        <w:rFonts w:ascii="Wingdings" w:hAnsi="Wingdings" w:hint="default"/>
      </w:rPr>
    </w:lvl>
  </w:abstractNum>
  <w:abstractNum w:abstractNumId="6" w15:restartNumberingAfterBreak="0">
    <w:nsid w:val="732524AC"/>
    <w:multiLevelType w:val="hybridMultilevel"/>
    <w:tmpl w:val="3CA854F8"/>
    <w:lvl w:ilvl="0" w:tplc="6C3A581A">
      <w:start w:val="6"/>
      <w:numFmt w:val="bullet"/>
      <w:lvlText w:val="-"/>
      <w:lvlJc w:val="left"/>
      <w:pPr>
        <w:ind w:left="720" w:hanging="360"/>
      </w:pPr>
      <w:rPr>
        <w:rFonts w:ascii="Calibri" w:eastAsiaTheme="minorEastAsia" w:hAnsi="Calibri" w:cstheme="minorBidi" w:hint="default"/>
      </w:rPr>
    </w:lvl>
    <w:lvl w:ilvl="1" w:tplc="799241CE" w:tentative="1">
      <w:start w:val="1"/>
      <w:numFmt w:val="bullet"/>
      <w:lvlText w:val="o"/>
      <w:lvlJc w:val="left"/>
      <w:pPr>
        <w:ind w:left="1440" w:hanging="360"/>
      </w:pPr>
      <w:rPr>
        <w:rFonts w:ascii="Courier New" w:hAnsi="Courier New" w:cs="Courier New" w:hint="default"/>
      </w:rPr>
    </w:lvl>
    <w:lvl w:ilvl="2" w:tplc="C5B65E3E" w:tentative="1">
      <w:start w:val="1"/>
      <w:numFmt w:val="bullet"/>
      <w:lvlText w:val=""/>
      <w:lvlJc w:val="left"/>
      <w:pPr>
        <w:ind w:left="2160" w:hanging="360"/>
      </w:pPr>
      <w:rPr>
        <w:rFonts w:ascii="Wingdings" w:hAnsi="Wingdings" w:hint="default"/>
      </w:rPr>
    </w:lvl>
    <w:lvl w:ilvl="3" w:tplc="DA187FFA" w:tentative="1">
      <w:start w:val="1"/>
      <w:numFmt w:val="bullet"/>
      <w:lvlText w:val=""/>
      <w:lvlJc w:val="left"/>
      <w:pPr>
        <w:ind w:left="2880" w:hanging="360"/>
      </w:pPr>
      <w:rPr>
        <w:rFonts w:ascii="Symbol" w:hAnsi="Symbol" w:hint="default"/>
      </w:rPr>
    </w:lvl>
    <w:lvl w:ilvl="4" w:tplc="1E308B1E" w:tentative="1">
      <w:start w:val="1"/>
      <w:numFmt w:val="bullet"/>
      <w:lvlText w:val="o"/>
      <w:lvlJc w:val="left"/>
      <w:pPr>
        <w:ind w:left="3600" w:hanging="360"/>
      </w:pPr>
      <w:rPr>
        <w:rFonts w:ascii="Courier New" w:hAnsi="Courier New" w:cs="Courier New" w:hint="default"/>
      </w:rPr>
    </w:lvl>
    <w:lvl w:ilvl="5" w:tplc="7D6051EC" w:tentative="1">
      <w:start w:val="1"/>
      <w:numFmt w:val="bullet"/>
      <w:lvlText w:val=""/>
      <w:lvlJc w:val="left"/>
      <w:pPr>
        <w:ind w:left="4320" w:hanging="360"/>
      </w:pPr>
      <w:rPr>
        <w:rFonts w:ascii="Wingdings" w:hAnsi="Wingdings" w:hint="default"/>
      </w:rPr>
    </w:lvl>
    <w:lvl w:ilvl="6" w:tplc="3BA2035C" w:tentative="1">
      <w:start w:val="1"/>
      <w:numFmt w:val="bullet"/>
      <w:lvlText w:val=""/>
      <w:lvlJc w:val="left"/>
      <w:pPr>
        <w:ind w:left="5040" w:hanging="360"/>
      </w:pPr>
      <w:rPr>
        <w:rFonts w:ascii="Symbol" w:hAnsi="Symbol" w:hint="default"/>
      </w:rPr>
    </w:lvl>
    <w:lvl w:ilvl="7" w:tplc="3C8ADA7A" w:tentative="1">
      <w:start w:val="1"/>
      <w:numFmt w:val="bullet"/>
      <w:lvlText w:val="o"/>
      <w:lvlJc w:val="left"/>
      <w:pPr>
        <w:ind w:left="5760" w:hanging="360"/>
      </w:pPr>
      <w:rPr>
        <w:rFonts w:ascii="Courier New" w:hAnsi="Courier New" w:cs="Courier New" w:hint="default"/>
      </w:rPr>
    </w:lvl>
    <w:lvl w:ilvl="8" w:tplc="FAC85CAE" w:tentative="1">
      <w:start w:val="1"/>
      <w:numFmt w:val="bullet"/>
      <w:lvlText w:val=""/>
      <w:lvlJc w:val="left"/>
      <w:pPr>
        <w:ind w:left="6480" w:hanging="360"/>
      </w:pPr>
      <w:rPr>
        <w:rFonts w:ascii="Wingdings" w:hAnsi="Wingdings" w:hint="default"/>
      </w:rPr>
    </w:lvl>
  </w:abstractNum>
  <w:num w:numId="1" w16cid:durableId="1539203490">
    <w:abstractNumId w:val="4"/>
  </w:num>
  <w:num w:numId="2" w16cid:durableId="1104811934">
    <w:abstractNumId w:val="3"/>
  </w:num>
  <w:num w:numId="3" w16cid:durableId="1768962781">
    <w:abstractNumId w:val="6"/>
  </w:num>
  <w:num w:numId="4" w16cid:durableId="1020472080">
    <w:abstractNumId w:val="2"/>
  </w:num>
  <w:num w:numId="5" w16cid:durableId="722369387">
    <w:abstractNumId w:val="1"/>
  </w:num>
  <w:num w:numId="6" w16cid:durableId="1380862344">
    <w:abstractNumId w:val="5"/>
  </w:num>
  <w:num w:numId="7" w16cid:durableId="1379548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EA7"/>
    <w:rsid w:val="0005758D"/>
    <w:rsid w:val="00072E93"/>
    <w:rsid w:val="00082241"/>
    <w:rsid w:val="000A0047"/>
    <w:rsid w:val="000B63C7"/>
    <w:rsid w:val="000D05FF"/>
    <w:rsid w:val="000F5EEF"/>
    <w:rsid w:val="001741DC"/>
    <w:rsid w:val="00181FA8"/>
    <w:rsid w:val="001879F6"/>
    <w:rsid w:val="001D2F0E"/>
    <w:rsid w:val="001F354D"/>
    <w:rsid w:val="00234AB8"/>
    <w:rsid w:val="002B01C3"/>
    <w:rsid w:val="0032052E"/>
    <w:rsid w:val="00475FB9"/>
    <w:rsid w:val="00502042"/>
    <w:rsid w:val="00580997"/>
    <w:rsid w:val="0067233F"/>
    <w:rsid w:val="006750FB"/>
    <w:rsid w:val="00697EA7"/>
    <w:rsid w:val="006C2B55"/>
    <w:rsid w:val="007743DA"/>
    <w:rsid w:val="00782220"/>
    <w:rsid w:val="00786F4A"/>
    <w:rsid w:val="008B5C75"/>
    <w:rsid w:val="009535C5"/>
    <w:rsid w:val="00954504"/>
    <w:rsid w:val="009909D4"/>
    <w:rsid w:val="009C2935"/>
    <w:rsid w:val="009E3FAD"/>
    <w:rsid w:val="00A05CE8"/>
    <w:rsid w:val="00A87F5E"/>
    <w:rsid w:val="00AF2844"/>
    <w:rsid w:val="00B400FB"/>
    <w:rsid w:val="00B51722"/>
    <w:rsid w:val="00CA68D2"/>
    <w:rsid w:val="00D00590"/>
    <w:rsid w:val="00D246B1"/>
    <w:rsid w:val="00D86700"/>
    <w:rsid w:val="00E12E2C"/>
    <w:rsid w:val="00F26243"/>
    <w:rsid w:val="00F400CC"/>
    <w:rsid w:val="00FE785B"/>
    <w:rsid w:val="00FF1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E508FD"/>
  <w15:chartTrackingRefBased/>
  <w15:docId w15:val="{82A8E3AB-050C-9148-BD12-9A0298F73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7EA7"/>
    <w:rPr>
      <w:color w:val="0563C1" w:themeColor="hyperlink"/>
      <w:u w:val="single"/>
    </w:rPr>
  </w:style>
  <w:style w:type="character" w:customStyle="1" w:styleId="UnresolvedMention1">
    <w:name w:val="Unresolved Mention1"/>
    <w:basedOn w:val="DefaultParagraphFont"/>
    <w:uiPriority w:val="99"/>
    <w:semiHidden/>
    <w:unhideWhenUsed/>
    <w:rsid w:val="00697EA7"/>
    <w:rPr>
      <w:color w:val="605E5C"/>
      <w:shd w:val="clear" w:color="auto" w:fill="E1DFDD"/>
    </w:rPr>
  </w:style>
  <w:style w:type="paragraph" w:styleId="ListParagraph">
    <w:name w:val="List Paragraph"/>
    <w:basedOn w:val="Normal"/>
    <w:uiPriority w:val="34"/>
    <w:qFormat/>
    <w:rsid w:val="0005758D"/>
    <w:pPr>
      <w:ind w:left="720"/>
      <w:contextualSpacing/>
    </w:pPr>
  </w:style>
  <w:style w:type="paragraph" w:styleId="Header">
    <w:name w:val="header"/>
    <w:basedOn w:val="Normal"/>
    <w:link w:val="HeaderChar"/>
    <w:uiPriority w:val="99"/>
    <w:unhideWhenUsed/>
    <w:rsid w:val="00A05C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5CE8"/>
  </w:style>
  <w:style w:type="paragraph" w:styleId="Footer">
    <w:name w:val="footer"/>
    <w:basedOn w:val="Normal"/>
    <w:link w:val="FooterChar"/>
    <w:uiPriority w:val="99"/>
    <w:unhideWhenUsed/>
    <w:rsid w:val="00A05C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5CE8"/>
  </w:style>
  <w:style w:type="paragraph" w:customStyle="1" w:styleId="Default">
    <w:name w:val="Default"/>
    <w:rsid w:val="000B63C7"/>
    <w:pPr>
      <w:autoSpaceDE w:val="0"/>
      <w:autoSpaceDN w:val="0"/>
      <w:adjustRightInd w:val="0"/>
      <w:spacing w:after="0" w:line="240" w:lineRule="auto"/>
    </w:pPr>
    <w:rPr>
      <w:rFonts w:ascii="Arial" w:eastAsia="Times New Roman" w:hAnsi="Arial" w:cs="Arial"/>
      <w:color w:val="000000"/>
      <w:sz w:val="24"/>
      <w:szCs w:val="24"/>
      <w:lang w:val="en-US"/>
    </w:rPr>
  </w:style>
  <w:style w:type="character" w:styleId="UnresolvedMention">
    <w:name w:val="Unresolved Mention"/>
    <w:basedOn w:val="DefaultParagraphFont"/>
    <w:uiPriority w:val="99"/>
    <w:rsid w:val="00580997"/>
    <w:rPr>
      <w:color w:val="605E5C"/>
      <w:shd w:val="clear" w:color="auto" w:fill="E1DFDD"/>
    </w:rPr>
  </w:style>
  <w:style w:type="character" w:styleId="PlaceholderText">
    <w:name w:val="Placeholder Text"/>
    <w:basedOn w:val="DefaultParagraphFont"/>
    <w:uiPriority w:val="99"/>
    <w:semiHidden/>
    <w:rsid w:val="009E3F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2898</Words>
  <Characters>16525</Characters>
  <Application>Microsoft Office Word</Application>
  <DocSecurity>0</DocSecurity>
  <Lines>137</Lines>
  <Paragraphs>38</Paragraphs>
  <ScaleCrop>false</ScaleCrop>
  <Company/>
  <LinksUpToDate>false</LinksUpToDate>
  <CharactersWithSpaces>19385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mahnoorch878@gmail.com</dc:creator>
  <cp:lastModifiedBy>roxana tiris</cp:lastModifiedBy>
  <cp:revision>3</cp:revision>
  <dcterms:created xsi:type="dcterms:W3CDTF">2022-03-31T14:56:00Z</dcterms:created>
  <dcterms:modified xsi:type="dcterms:W3CDTF">2022-04-08T08:09:00Z</dcterms:modified>
</cp:coreProperties>
</file>