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52A2C196"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1B7CD1">
        <w:rPr>
          <w:rFonts w:ascii="Arial" w:hAnsi="Arial" w:cs="Arial"/>
          <w:sz w:val="28"/>
          <w:szCs w:val="28"/>
        </w:rPr>
        <w:t>2311679</w:t>
      </w:r>
    </w:p>
    <w:p w14:paraId="01D5D8DB" w14:textId="03ED09ED" w:rsidR="00FF5B70" w:rsidRDefault="00FF5B70" w:rsidP="00041A5A">
      <w:pPr>
        <w:spacing w:line="360" w:lineRule="auto"/>
        <w:rPr>
          <w:rFonts w:ascii="Arial" w:hAnsi="Arial" w:cs="Arial"/>
          <w:sz w:val="28"/>
          <w:szCs w:val="28"/>
        </w:rPr>
      </w:pPr>
    </w:p>
    <w:p w14:paraId="37A27DB3" w14:textId="64003D29"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1B7CD1">
        <w:rPr>
          <w:rFonts w:ascii="Arial" w:hAnsi="Arial" w:cs="Arial"/>
          <w:sz w:val="28"/>
          <w:szCs w:val="28"/>
        </w:rPr>
        <w:t>Monica Noncoro Nchama</w:t>
      </w:r>
    </w:p>
    <w:p w14:paraId="638A4615" w14:textId="77777777" w:rsidR="00715990" w:rsidRPr="00260277" w:rsidRDefault="00715990" w:rsidP="00041A5A">
      <w:pPr>
        <w:spacing w:line="360" w:lineRule="auto"/>
        <w:rPr>
          <w:rFonts w:ascii="Arial" w:hAnsi="Arial" w:cs="Arial"/>
          <w:sz w:val="28"/>
          <w:szCs w:val="28"/>
        </w:rPr>
      </w:pPr>
    </w:p>
    <w:p w14:paraId="0B04E018" w14:textId="2622A1E9"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p>
    <w:p w14:paraId="19AA26A9" w14:textId="2F99F205" w:rsidR="00FF5B70" w:rsidRDefault="00FF5B70" w:rsidP="00041A5A">
      <w:pPr>
        <w:spacing w:line="360" w:lineRule="auto"/>
        <w:rPr>
          <w:rFonts w:ascii="Arial" w:hAnsi="Arial" w:cs="Arial"/>
          <w:sz w:val="28"/>
          <w:szCs w:val="28"/>
        </w:rPr>
      </w:pPr>
    </w:p>
    <w:p w14:paraId="3FE66E60" w14:textId="7972DA8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1B7CD1">
        <w:rPr>
          <w:rFonts w:ascii="Arial" w:hAnsi="Arial" w:cs="Arial"/>
          <w:sz w:val="28"/>
          <w:szCs w:val="28"/>
        </w:rPr>
        <w:t>670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1B7CD1">
      <w:pPr>
        <w:pStyle w:val="Heading1"/>
        <w:jc w:val="left"/>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1B7CD1"/>
    <w:p w14:paraId="24BD4B42" w14:textId="255ED044" w:rsidR="00D769F0" w:rsidRPr="00D769F0" w:rsidRDefault="00FF5B70" w:rsidP="001B7CD1">
      <w:pPr>
        <w:pStyle w:val="Heading2"/>
      </w:pPr>
      <w:r>
        <w:t>My p</w:t>
      </w:r>
      <w:r w:rsidR="00D769F0" w:rsidRPr="00D769F0">
        <w:t xml:space="preserve">roject title: </w:t>
      </w:r>
      <w:r w:rsidR="00920FFE">
        <w:t>The Impact of Social Media Use on the Mental Well-being of Adolescents Aged 13-18 in the United Kingdom.</w:t>
      </w:r>
    </w:p>
    <w:p w14:paraId="03FD30D3" w14:textId="475F3855" w:rsidR="00715990" w:rsidRPr="00260277" w:rsidRDefault="00715990" w:rsidP="001B7CD1">
      <w:pPr>
        <w:spacing w:line="360" w:lineRule="auto"/>
        <w:rPr>
          <w:rFonts w:ascii="Arial" w:hAnsi="Arial" w:cs="Arial"/>
        </w:rPr>
      </w:pPr>
    </w:p>
    <w:p w14:paraId="40C7BB25" w14:textId="1F301D2B" w:rsidR="00784670" w:rsidRDefault="00545684" w:rsidP="001B7CD1">
      <w:pPr>
        <w:pStyle w:val="Heading2"/>
        <w:numPr>
          <w:ilvl w:val="0"/>
          <w:numId w:val="2"/>
        </w:numPr>
      </w:pPr>
      <w:r w:rsidRPr="00784670">
        <w:t>Aim</w:t>
      </w:r>
      <w:r w:rsidR="00784670" w:rsidRPr="00784670">
        <w:t>:</w:t>
      </w:r>
    </w:p>
    <w:p w14:paraId="6CFD08F5" w14:textId="77777777" w:rsidR="001B7CD1" w:rsidRDefault="001B7CD1" w:rsidP="001B7CD1">
      <w:pPr>
        <w:spacing w:after="200" w:line="360" w:lineRule="auto"/>
        <w:ind w:left="360"/>
      </w:pPr>
      <w:r w:rsidRPr="001B7CD1">
        <w:rPr>
          <w:rFonts w:ascii="Arial" w:eastAsia="Arial" w:hAnsi="Arial" w:cs="Arial"/>
          <w:sz w:val="22"/>
        </w:rPr>
        <w:t>This study aims to critically explore how the use of social media influences the mental well-being of adolescents aged 13 to 18 in the United Kingdom, drawing on existing secondary literature.</w:t>
      </w:r>
    </w:p>
    <w:p w14:paraId="4C6858D8" w14:textId="77777777" w:rsidR="00784670" w:rsidRPr="00FB4301" w:rsidRDefault="00784670" w:rsidP="001B7CD1">
      <w:pPr>
        <w:spacing w:line="360" w:lineRule="auto"/>
        <w:rPr>
          <w:rFonts w:ascii="Arial" w:hAnsi="Arial" w:cs="Arial"/>
        </w:rPr>
      </w:pPr>
    </w:p>
    <w:p w14:paraId="2B00F95C" w14:textId="36874FB6" w:rsidR="00545684" w:rsidRDefault="00784670" w:rsidP="001B7CD1">
      <w:pPr>
        <w:pStyle w:val="Heading2"/>
        <w:numPr>
          <w:ilvl w:val="0"/>
          <w:numId w:val="2"/>
        </w:numPr>
      </w:pPr>
      <w:r>
        <w:t>O</w:t>
      </w:r>
      <w:r w:rsidR="00545684" w:rsidRPr="00260277">
        <w:t>bjectives:</w:t>
      </w:r>
    </w:p>
    <w:p w14:paraId="31A6B4B1" w14:textId="77777777" w:rsidR="001B7CD1" w:rsidRDefault="001B7CD1" w:rsidP="0054060A">
      <w:pPr>
        <w:pStyle w:val="ListParagraph"/>
        <w:numPr>
          <w:ilvl w:val="0"/>
          <w:numId w:val="4"/>
        </w:numPr>
        <w:spacing w:after="100" w:line="360" w:lineRule="auto"/>
        <w:contextualSpacing w:val="0"/>
      </w:pPr>
      <w:r>
        <w:rPr>
          <w:rFonts w:ascii="Arial" w:eastAsia="Arial" w:hAnsi="Arial" w:cs="Arial"/>
          <w:sz w:val="22"/>
        </w:rPr>
        <w:t>To review published secondary literature examining patterns and frequency of social media use among UK adolescents.</w:t>
      </w:r>
    </w:p>
    <w:p w14:paraId="636EAD49" w14:textId="77777777" w:rsidR="001B7CD1" w:rsidRDefault="001B7CD1" w:rsidP="0054060A">
      <w:pPr>
        <w:pStyle w:val="ListParagraph"/>
        <w:numPr>
          <w:ilvl w:val="0"/>
          <w:numId w:val="4"/>
        </w:numPr>
        <w:spacing w:after="100" w:line="360" w:lineRule="auto"/>
        <w:contextualSpacing w:val="0"/>
      </w:pPr>
      <w:r>
        <w:rPr>
          <w:rFonts w:ascii="Arial" w:eastAsia="Arial" w:hAnsi="Arial" w:cs="Arial"/>
          <w:sz w:val="22"/>
        </w:rPr>
        <w:t>To identify the psychological and emotional effects, both positive and negative, that have been associated with social media engagement in this age group.</w:t>
      </w:r>
    </w:p>
    <w:p w14:paraId="27FAB232" w14:textId="77777777" w:rsidR="001B7CD1" w:rsidRDefault="001B7CD1" w:rsidP="0054060A">
      <w:pPr>
        <w:pStyle w:val="ListParagraph"/>
        <w:numPr>
          <w:ilvl w:val="0"/>
          <w:numId w:val="4"/>
        </w:numPr>
        <w:spacing w:after="100" w:line="360" w:lineRule="auto"/>
        <w:contextualSpacing w:val="0"/>
      </w:pPr>
      <w:r>
        <w:rPr>
          <w:rFonts w:ascii="Arial" w:eastAsia="Arial" w:hAnsi="Arial" w:cs="Arial"/>
          <w:sz w:val="22"/>
        </w:rPr>
        <w:t>To apply thematic analysis to identify recurring patterns and themes across existing qualitative and quantitative secondary sources.</w:t>
      </w:r>
    </w:p>
    <w:p w14:paraId="5792F87C" w14:textId="77777777" w:rsidR="001B7CD1" w:rsidRDefault="001B7CD1" w:rsidP="0054060A">
      <w:pPr>
        <w:pStyle w:val="ListParagraph"/>
        <w:numPr>
          <w:ilvl w:val="0"/>
          <w:numId w:val="4"/>
        </w:numPr>
        <w:spacing w:after="100" w:line="360" w:lineRule="auto"/>
        <w:contextualSpacing w:val="0"/>
      </w:pPr>
      <w:r>
        <w:rPr>
          <w:rFonts w:ascii="Arial" w:eastAsia="Arial" w:hAnsi="Arial" w:cs="Arial"/>
          <w:sz w:val="22"/>
        </w:rPr>
        <w:t>To develop evidence-informed recommendations for supporting adolescent mental well-being in relation to social media use.</w:t>
      </w:r>
    </w:p>
    <w:p w14:paraId="16E050C5" w14:textId="77777777" w:rsidR="001B7CD1" w:rsidRPr="001B7CD1" w:rsidRDefault="001B7CD1" w:rsidP="001B7CD1">
      <w:pPr>
        <w:pStyle w:val="ListParagraph"/>
      </w:pPr>
    </w:p>
    <w:p w14:paraId="4DE92F51" w14:textId="77777777" w:rsidR="00041A5A" w:rsidRPr="00260277" w:rsidRDefault="00041A5A" w:rsidP="001B7CD1">
      <w:pPr>
        <w:spacing w:line="360" w:lineRule="auto"/>
        <w:rPr>
          <w:rFonts w:ascii="Arial" w:hAnsi="Arial" w:cs="Arial"/>
        </w:rPr>
      </w:pPr>
    </w:p>
    <w:p w14:paraId="3AC96963" w14:textId="3DF563BF" w:rsidR="00545684" w:rsidRDefault="00545684" w:rsidP="001B7CD1">
      <w:pPr>
        <w:pStyle w:val="Heading2"/>
        <w:numPr>
          <w:ilvl w:val="0"/>
          <w:numId w:val="2"/>
        </w:numPr>
      </w:pPr>
      <w:r w:rsidRPr="00260277">
        <w:t>Background</w:t>
      </w:r>
      <w:r w:rsidR="00FB4301">
        <w:t>/Rationale</w:t>
      </w:r>
      <w:r w:rsidRPr="00260277">
        <w:t>:</w:t>
      </w:r>
    </w:p>
    <w:p w14:paraId="4C53F17B" w14:textId="77777777" w:rsidR="001B7CD1" w:rsidRDefault="001B7CD1" w:rsidP="0054060A">
      <w:pPr>
        <w:spacing w:after="200" w:line="360" w:lineRule="auto"/>
        <w:jc w:val="both"/>
      </w:pPr>
      <w:r>
        <w:rPr>
          <w:rFonts w:ascii="Arial" w:eastAsia="Arial" w:hAnsi="Arial" w:cs="Arial"/>
          <w:sz w:val="22"/>
        </w:rPr>
        <w:t>Social media platforms have become deeply embedded in the daily lives of adolescents in the United Kingdom, shaping how young people communicate, form identities, and relate to their peers (Ofcom, 2024). Alongside this growth in use, concerns have increasingly been raised by educators, health professionals, and parents regarding the potential effects of prolonged online engagement on adolescent mental health, including anxiety, low self-esteem, sleep disruption, and social comparison (Kelly et al., 2018; Keles, McCrae and Grealish, 2020). At the same time, social media is also recognised as a source of peer support, information, and connection for young people, suggesting that its impact may be more complex than a simple</w:t>
      </w:r>
      <w:r>
        <w:rPr>
          <w:rFonts w:ascii="Arial" w:eastAsia="Arial" w:hAnsi="Arial" w:cs="Arial"/>
          <w:sz w:val="22"/>
        </w:rPr>
        <w:t xml:space="preserve"> </w:t>
      </w:r>
      <w:r>
        <w:rPr>
          <w:rFonts w:ascii="Arial" w:eastAsia="Arial" w:hAnsi="Arial" w:cs="Arial"/>
          <w:sz w:val="22"/>
        </w:rPr>
        <w:lastRenderedPageBreak/>
        <w:t>positive-or-negative dichotomy (Best, Manktelow and Taylor, 2014; Valkenburg, Meier and Beyens, 2022).</w:t>
      </w:r>
    </w:p>
    <w:p w14:paraId="4B63E4CF" w14:textId="4FD340C2" w:rsidR="001B7CD1" w:rsidRDefault="001B7CD1" w:rsidP="0054060A">
      <w:pPr>
        <w:spacing w:after="200" w:line="360" w:lineRule="auto"/>
        <w:jc w:val="both"/>
      </w:pPr>
      <w:r>
        <w:rPr>
          <w:rFonts w:ascii="Arial" w:eastAsia="Arial" w:hAnsi="Arial" w:cs="Arial"/>
          <w:sz w:val="22"/>
        </w:rPr>
        <w:t xml:space="preserve">This topic is highly relevant to the field of health and social care, as professionals working with young people increasingly need to understand the digital contexts in which adolescent well-being is shaped, </w:t>
      </w:r>
      <w:r>
        <w:rPr>
          <w:rFonts w:ascii="Arial" w:eastAsia="Arial" w:hAnsi="Arial" w:cs="Arial"/>
          <w:sz w:val="22"/>
        </w:rPr>
        <w:t xml:space="preserve">in order to </w:t>
      </w:r>
      <w:r>
        <w:rPr>
          <w:rFonts w:ascii="Arial" w:eastAsia="Arial" w:hAnsi="Arial" w:cs="Arial"/>
          <w:sz w:val="22"/>
        </w:rPr>
        <w:t>provide informed and effective support (NHS Digital, 2023). A secondary research approach is particularly appropriate here, as a substantial body of published research, reports, and data already exists on this subject, offering a rich foundation from which patterns and themes can be drawn without requiring direct contact with adolescent participants, which carries additional ethical sensitivities.</w:t>
      </w:r>
    </w:p>
    <w:p w14:paraId="6228453F" w14:textId="524DACF8" w:rsidR="001B7CD1" w:rsidRPr="001B7CD1" w:rsidRDefault="001B7CD1" w:rsidP="001B7CD1"/>
    <w:p w14:paraId="123E060D" w14:textId="779C77FB" w:rsidR="00545684" w:rsidRPr="00260277" w:rsidRDefault="00545684" w:rsidP="001B7CD1">
      <w:pPr>
        <w:spacing w:line="360" w:lineRule="auto"/>
        <w:rPr>
          <w:rFonts w:ascii="Arial" w:hAnsi="Arial" w:cs="Arial"/>
        </w:rPr>
      </w:pPr>
    </w:p>
    <w:p w14:paraId="48B3D1A4" w14:textId="77777777" w:rsidR="00041A5A" w:rsidRPr="00260277" w:rsidRDefault="00041A5A" w:rsidP="001B7CD1">
      <w:pPr>
        <w:spacing w:line="360" w:lineRule="auto"/>
        <w:rPr>
          <w:rFonts w:ascii="Arial" w:hAnsi="Arial" w:cs="Arial"/>
        </w:rPr>
      </w:pPr>
    </w:p>
    <w:p w14:paraId="332E5A12" w14:textId="7B9F79F3" w:rsidR="00545684" w:rsidRDefault="00545684" w:rsidP="001B7CD1">
      <w:pPr>
        <w:pStyle w:val="Heading2"/>
        <w:numPr>
          <w:ilvl w:val="0"/>
          <w:numId w:val="2"/>
        </w:numPr>
      </w:pPr>
      <w:r w:rsidRPr="00260277">
        <w:t>Methods:</w:t>
      </w:r>
    </w:p>
    <w:p w14:paraId="41949185" w14:textId="77777777" w:rsidR="001B7CD1" w:rsidRDefault="001B7CD1" w:rsidP="0054060A">
      <w:pPr>
        <w:pStyle w:val="ListParagraph"/>
        <w:jc w:val="both"/>
      </w:pPr>
    </w:p>
    <w:p w14:paraId="0A9F54A7" w14:textId="77777777" w:rsidR="001B7CD1" w:rsidRDefault="001B7CD1" w:rsidP="0054060A">
      <w:pPr>
        <w:spacing w:after="200" w:line="360" w:lineRule="auto"/>
        <w:jc w:val="both"/>
      </w:pPr>
      <w:r>
        <w:rPr>
          <w:rFonts w:ascii="Arial" w:eastAsia="Arial" w:hAnsi="Arial" w:cs="Arial"/>
          <w:sz w:val="22"/>
        </w:rPr>
        <w:t>This project will adopt a secondary research methodology, drawing on existing published academic literature, institutional reports, and publicly available data relevant to social media use and adolescent mental well-being in the UK. Sources will be identified through university library databases, academic search engines, and relevant UK health and policy websites, using clear inclusion criteria (UK-based or UK-relevant studies, adolescents aged 13–18, and recent publications) and exclusion criteria (studies unrelated to mental well-being or outside the specified age range).</w:t>
      </w:r>
    </w:p>
    <w:p w14:paraId="1D7F35C1" w14:textId="77777777" w:rsidR="001B7CD1" w:rsidRDefault="001B7CD1" w:rsidP="0054060A">
      <w:pPr>
        <w:spacing w:after="200" w:line="360" w:lineRule="auto"/>
        <w:jc w:val="both"/>
      </w:pPr>
      <w:r>
        <w:rPr>
          <w:rFonts w:ascii="Arial" w:eastAsia="Arial" w:hAnsi="Arial" w:cs="Arial"/>
          <w:sz w:val="22"/>
        </w:rPr>
        <w:t>The data extracted from these sources will be analysed using thematic analysis, following the six-phase approach described by Braun and Clarke (2006), allowing recurring ideas, patterns, and concepts across the literature to be identified, coded, and grouped into overarching themes. As this project relies solely on secondary data, no direct participant recruitment will take place; nonetheless, all sources will be used and reported responsibly and in line with the university's academic integrity and referencing requirements.</w:t>
      </w:r>
    </w:p>
    <w:p w14:paraId="5EA5684E" w14:textId="77777777" w:rsidR="001B7CD1" w:rsidRPr="001B7CD1" w:rsidRDefault="001B7CD1" w:rsidP="001B7CD1">
      <w:pPr>
        <w:pStyle w:val="ListParagraph"/>
      </w:pPr>
    </w:p>
    <w:p w14:paraId="7415BFCC" w14:textId="5A34063E" w:rsidR="0061260B" w:rsidRDefault="0061260B" w:rsidP="001B7CD1">
      <w:pPr>
        <w:rPr>
          <w:rFonts w:ascii="Arial" w:hAnsi="Arial" w:cs="Arial"/>
        </w:rPr>
      </w:pPr>
    </w:p>
    <w:p w14:paraId="5CE5B6D9" w14:textId="77777777" w:rsidR="0054060A" w:rsidRDefault="0054060A" w:rsidP="001B7CD1">
      <w:pPr>
        <w:rPr>
          <w:rFonts w:ascii="Arial" w:hAnsi="Arial" w:cs="Arial"/>
        </w:rPr>
      </w:pPr>
    </w:p>
    <w:p w14:paraId="08437629" w14:textId="77777777" w:rsidR="0061260B" w:rsidRPr="00260277" w:rsidRDefault="0061260B" w:rsidP="001B7CD1">
      <w:pPr>
        <w:rPr>
          <w:rFonts w:ascii="Arial" w:hAnsi="Arial" w:cs="Arial"/>
        </w:rPr>
      </w:pPr>
    </w:p>
    <w:p w14:paraId="232DCC93" w14:textId="73447936" w:rsidR="0061260B" w:rsidRDefault="0061260B" w:rsidP="001B7CD1">
      <w:pPr>
        <w:pStyle w:val="Heading2"/>
        <w:numPr>
          <w:ilvl w:val="0"/>
          <w:numId w:val="2"/>
        </w:numPr>
      </w:pPr>
      <w:r w:rsidRPr="00260277">
        <w:lastRenderedPageBreak/>
        <w:t>Resources</w:t>
      </w:r>
      <w:r w:rsidR="00260277">
        <w:t>:</w:t>
      </w:r>
      <w:r w:rsidRPr="00260277">
        <w:t xml:space="preserve"> </w:t>
      </w:r>
    </w:p>
    <w:p w14:paraId="53BF76FC" w14:textId="77777777" w:rsidR="001B7CD1" w:rsidRDefault="001B7CD1" w:rsidP="001B7CD1">
      <w:pPr>
        <w:pStyle w:val="ListParagraph"/>
      </w:pPr>
    </w:p>
    <w:p w14:paraId="3AE5C4C7" w14:textId="77777777" w:rsidR="001B7CD1" w:rsidRDefault="001B7CD1" w:rsidP="0054060A">
      <w:pPr>
        <w:spacing w:after="200" w:line="360" w:lineRule="auto"/>
        <w:jc w:val="both"/>
      </w:pPr>
      <w:r>
        <w:rPr>
          <w:rFonts w:ascii="Arial" w:eastAsia="Arial" w:hAnsi="Arial" w:cs="Arial"/>
          <w:sz w:val="22"/>
        </w:rPr>
        <w:t>Access to the university's online library and academic databases, together with a personal laptop and reliable internet connection, will be required to locate and review relevant literature. Additional resources include reference management support, regular guidance and feedback sessions with the module supervisor, and dedicated, uninterrupted time set aside for reading, note-taking, and analysis alongside existing work and study commitments.</w:t>
      </w:r>
    </w:p>
    <w:p w14:paraId="3B86BBF7" w14:textId="77777777" w:rsidR="001B7CD1" w:rsidRPr="001B7CD1" w:rsidRDefault="001B7CD1" w:rsidP="001B7CD1">
      <w:pPr>
        <w:pStyle w:val="ListParagraph"/>
      </w:pPr>
    </w:p>
    <w:p w14:paraId="64C3045A" w14:textId="742E6424" w:rsidR="0061260B" w:rsidRDefault="0061260B" w:rsidP="001B7CD1">
      <w:pPr>
        <w:rPr>
          <w:rFonts w:ascii="Arial" w:hAnsi="Arial" w:cs="Arial"/>
        </w:rPr>
      </w:pPr>
    </w:p>
    <w:p w14:paraId="376E10FA" w14:textId="77777777" w:rsidR="00260277" w:rsidRPr="00260277" w:rsidRDefault="00260277" w:rsidP="001B7CD1">
      <w:pPr>
        <w:rPr>
          <w:rFonts w:ascii="Arial" w:hAnsi="Arial" w:cs="Arial"/>
        </w:rPr>
      </w:pPr>
    </w:p>
    <w:p w14:paraId="0FE77585" w14:textId="00409C65" w:rsidR="00545684" w:rsidRDefault="0061260B" w:rsidP="001B7CD1">
      <w:pPr>
        <w:pStyle w:val="Heading2"/>
        <w:numPr>
          <w:ilvl w:val="0"/>
          <w:numId w:val="2"/>
        </w:numPr>
      </w:pPr>
      <w:r w:rsidRPr="00260277">
        <w:t>Timescale:</w:t>
      </w:r>
    </w:p>
    <w:p w14:paraId="31C22635" w14:textId="77777777" w:rsidR="001B7CD1" w:rsidRDefault="001B7CD1" w:rsidP="001B7CD1"/>
    <w:tbl>
      <w:tblPr>
        <w:tblStyle w:val="TableGrid"/>
        <w:tblW w:w="9046" w:type="dxa"/>
        <w:tblLook w:val="04A0" w:firstRow="1" w:lastRow="0" w:firstColumn="1" w:lastColumn="0" w:noHBand="0" w:noVBand="1"/>
      </w:tblPr>
      <w:tblGrid>
        <w:gridCol w:w="2217"/>
        <w:gridCol w:w="1418"/>
        <w:gridCol w:w="1418"/>
        <w:gridCol w:w="1418"/>
        <w:gridCol w:w="1418"/>
        <w:gridCol w:w="1418"/>
      </w:tblGrid>
      <w:tr w:rsidR="00183F4D" w14:paraId="4BB786A8" w14:textId="77777777" w:rsidTr="00183F4D">
        <w:trPr>
          <w:trHeight w:val="576"/>
        </w:trPr>
        <w:tc>
          <w:tcPr>
            <w:tcW w:w="1507" w:type="dxa"/>
          </w:tcPr>
          <w:p w14:paraId="6F28DA3D" w14:textId="46C6AC21" w:rsidR="00183F4D" w:rsidRDefault="00183F4D" w:rsidP="001B7CD1">
            <w:pPr>
              <w:spacing w:line="360" w:lineRule="auto"/>
              <w:rPr>
                <w:rFonts w:ascii="Arial" w:hAnsi="Arial" w:cs="Arial"/>
              </w:rPr>
            </w:pPr>
            <w:r>
              <w:rPr>
                <w:rFonts w:ascii="Arial" w:hAnsi="Arial" w:cs="Arial"/>
              </w:rPr>
              <w:t>T</w:t>
            </w:r>
            <w:r w:rsidR="00863702">
              <w:rPr>
                <w:rFonts w:ascii="Arial" w:hAnsi="Arial" w:cs="Arial"/>
              </w:rPr>
              <w:t>ype of work:</w:t>
            </w:r>
          </w:p>
        </w:tc>
        <w:tc>
          <w:tcPr>
            <w:tcW w:w="1507" w:type="dxa"/>
          </w:tcPr>
          <w:p w14:paraId="0D495637" w14:textId="4AD8B04B" w:rsidR="00183F4D" w:rsidRDefault="0013544C" w:rsidP="001B7CD1">
            <w:pPr>
              <w:spacing w:line="360" w:lineRule="auto"/>
              <w:rPr>
                <w:rFonts w:ascii="Arial" w:hAnsi="Arial" w:cs="Arial"/>
              </w:rPr>
            </w:pPr>
            <w:r>
              <w:rPr>
                <w:rFonts w:ascii="Arial" w:hAnsi="Arial" w:cs="Arial"/>
              </w:rPr>
              <w:t>15</w:t>
            </w:r>
            <w:r w:rsidR="00B14FD7">
              <w:rPr>
                <w:rFonts w:ascii="Arial" w:hAnsi="Arial" w:cs="Arial"/>
              </w:rPr>
              <w:t>/0</w:t>
            </w:r>
            <w:r w:rsidR="00084B6B">
              <w:rPr>
                <w:rFonts w:ascii="Arial" w:hAnsi="Arial" w:cs="Arial"/>
              </w:rPr>
              <w:t>7/2026</w:t>
            </w:r>
          </w:p>
        </w:tc>
        <w:tc>
          <w:tcPr>
            <w:tcW w:w="1508" w:type="dxa"/>
          </w:tcPr>
          <w:p w14:paraId="517D3FCA" w14:textId="6992045D" w:rsidR="00183F4D" w:rsidRDefault="000A6D3B" w:rsidP="001B7CD1">
            <w:pPr>
              <w:spacing w:line="360" w:lineRule="auto"/>
              <w:rPr>
                <w:rFonts w:ascii="Arial" w:hAnsi="Arial" w:cs="Arial"/>
              </w:rPr>
            </w:pPr>
            <w:r>
              <w:rPr>
                <w:rFonts w:ascii="Arial" w:hAnsi="Arial" w:cs="Arial"/>
              </w:rPr>
              <w:t>19/0</w:t>
            </w:r>
            <w:r w:rsidR="00F466C8">
              <w:rPr>
                <w:rFonts w:ascii="Arial" w:hAnsi="Arial" w:cs="Arial"/>
              </w:rPr>
              <w:t>8</w:t>
            </w:r>
            <w:r>
              <w:rPr>
                <w:rFonts w:ascii="Arial" w:hAnsi="Arial" w:cs="Arial"/>
              </w:rPr>
              <w:t>/2026</w:t>
            </w:r>
          </w:p>
        </w:tc>
        <w:tc>
          <w:tcPr>
            <w:tcW w:w="1508" w:type="dxa"/>
          </w:tcPr>
          <w:p w14:paraId="4D0510FB" w14:textId="549DB277" w:rsidR="00183F4D" w:rsidRDefault="00F466C8" w:rsidP="001B7CD1">
            <w:pPr>
              <w:spacing w:line="360" w:lineRule="auto"/>
              <w:rPr>
                <w:rFonts w:ascii="Arial" w:hAnsi="Arial" w:cs="Arial"/>
              </w:rPr>
            </w:pPr>
            <w:r>
              <w:rPr>
                <w:rFonts w:ascii="Arial" w:hAnsi="Arial" w:cs="Arial"/>
              </w:rPr>
              <w:t>10/09/2026</w:t>
            </w:r>
          </w:p>
        </w:tc>
        <w:tc>
          <w:tcPr>
            <w:tcW w:w="1508" w:type="dxa"/>
          </w:tcPr>
          <w:p w14:paraId="56695CE7" w14:textId="75DB8170" w:rsidR="00183F4D" w:rsidRDefault="00CF2641" w:rsidP="001B7CD1">
            <w:pPr>
              <w:spacing w:line="360" w:lineRule="auto"/>
              <w:rPr>
                <w:rFonts w:ascii="Arial" w:hAnsi="Arial" w:cs="Arial"/>
              </w:rPr>
            </w:pPr>
            <w:r>
              <w:rPr>
                <w:rFonts w:ascii="Arial" w:hAnsi="Arial" w:cs="Arial"/>
              </w:rPr>
              <w:t>17/10/2026</w:t>
            </w:r>
          </w:p>
        </w:tc>
        <w:tc>
          <w:tcPr>
            <w:tcW w:w="1508" w:type="dxa"/>
          </w:tcPr>
          <w:p w14:paraId="231DDD17" w14:textId="0E0958B4" w:rsidR="00183F4D" w:rsidRDefault="00280979" w:rsidP="001B7CD1">
            <w:pPr>
              <w:spacing w:line="360" w:lineRule="auto"/>
              <w:rPr>
                <w:rFonts w:ascii="Arial" w:hAnsi="Arial" w:cs="Arial"/>
              </w:rPr>
            </w:pPr>
            <w:r>
              <w:rPr>
                <w:rFonts w:ascii="Arial" w:hAnsi="Arial" w:cs="Arial"/>
              </w:rPr>
              <w:t>10/11/2026</w:t>
            </w:r>
          </w:p>
        </w:tc>
      </w:tr>
      <w:tr w:rsidR="00183F4D" w14:paraId="7028CD6C" w14:textId="77777777" w:rsidTr="00B14FD7">
        <w:trPr>
          <w:trHeight w:val="602"/>
        </w:trPr>
        <w:tc>
          <w:tcPr>
            <w:tcW w:w="1507" w:type="dxa"/>
          </w:tcPr>
          <w:p w14:paraId="5AB5C9EC" w14:textId="5B5C9BB8" w:rsidR="00183F4D" w:rsidRDefault="00863702" w:rsidP="001B7CD1">
            <w:pPr>
              <w:spacing w:line="360" w:lineRule="auto"/>
              <w:rPr>
                <w:rFonts w:ascii="Arial" w:hAnsi="Arial" w:cs="Arial"/>
              </w:rPr>
            </w:pPr>
            <w:r>
              <w:rPr>
                <w:rFonts w:ascii="Arial" w:hAnsi="Arial" w:cs="Arial"/>
              </w:rPr>
              <w:t>Chapter 1</w:t>
            </w:r>
            <w:r w:rsidR="007205F6">
              <w:rPr>
                <w:rFonts w:ascii="Arial" w:hAnsi="Arial" w:cs="Arial"/>
              </w:rPr>
              <w:t xml:space="preserve">: Introduction </w:t>
            </w:r>
          </w:p>
        </w:tc>
        <w:tc>
          <w:tcPr>
            <w:tcW w:w="1507" w:type="dxa"/>
            <w:shd w:val="clear" w:color="auto" w:fill="5B9BD5" w:themeFill="accent5"/>
          </w:tcPr>
          <w:p w14:paraId="0B105C59" w14:textId="77777777" w:rsidR="00183F4D" w:rsidRDefault="00183F4D" w:rsidP="001B7CD1">
            <w:pPr>
              <w:spacing w:line="360" w:lineRule="auto"/>
              <w:rPr>
                <w:rFonts w:ascii="Arial" w:hAnsi="Arial" w:cs="Arial"/>
              </w:rPr>
            </w:pPr>
          </w:p>
        </w:tc>
        <w:tc>
          <w:tcPr>
            <w:tcW w:w="1508" w:type="dxa"/>
          </w:tcPr>
          <w:p w14:paraId="0DB36E3E" w14:textId="77777777" w:rsidR="00183F4D" w:rsidRDefault="00183F4D" w:rsidP="001B7CD1">
            <w:pPr>
              <w:spacing w:line="360" w:lineRule="auto"/>
              <w:rPr>
                <w:rFonts w:ascii="Arial" w:hAnsi="Arial" w:cs="Arial"/>
              </w:rPr>
            </w:pPr>
          </w:p>
        </w:tc>
        <w:tc>
          <w:tcPr>
            <w:tcW w:w="1508" w:type="dxa"/>
          </w:tcPr>
          <w:p w14:paraId="379904EF" w14:textId="77777777" w:rsidR="00183F4D" w:rsidRDefault="00183F4D" w:rsidP="001B7CD1">
            <w:pPr>
              <w:spacing w:line="360" w:lineRule="auto"/>
              <w:rPr>
                <w:rFonts w:ascii="Arial" w:hAnsi="Arial" w:cs="Arial"/>
              </w:rPr>
            </w:pPr>
          </w:p>
        </w:tc>
        <w:tc>
          <w:tcPr>
            <w:tcW w:w="1508" w:type="dxa"/>
          </w:tcPr>
          <w:p w14:paraId="045F1873" w14:textId="77777777" w:rsidR="00183F4D" w:rsidRDefault="00183F4D" w:rsidP="001B7CD1">
            <w:pPr>
              <w:spacing w:line="360" w:lineRule="auto"/>
              <w:rPr>
                <w:rFonts w:ascii="Arial" w:hAnsi="Arial" w:cs="Arial"/>
              </w:rPr>
            </w:pPr>
          </w:p>
        </w:tc>
        <w:tc>
          <w:tcPr>
            <w:tcW w:w="1508" w:type="dxa"/>
          </w:tcPr>
          <w:p w14:paraId="4F399C2A" w14:textId="77777777" w:rsidR="00183F4D" w:rsidRDefault="00183F4D" w:rsidP="001B7CD1">
            <w:pPr>
              <w:spacing w:line="360" w:lineRule="auto"/>
              <w:rPr>
                <w:rFonts w:ascii="Arial" w:hAnsi="Arial" w:cs="Arial"/>
              </w:rPr>
            </w:pPr>
          </w:p>
        </w:tc>
      </w:tr>
      <w:tr w:rsidR="00183F4D" w14:paraId="1DB63522" w14:textId="77777777" w:rsidTr="000A6D3B">
        <w:trPr>
          <w:trHeight w:val="576"/>
        </w:trPr>
        <w:tc>
          <w:tcPr>
            <w:tcW w:w="1507" w:type="dxa"/>
          </w:tcPr>
          <w:p w14:paraId="33E4B873" w14:textId="77777777" w:rsidR="00183F4D" w:rsidRDefault="007205F6" w:rsidP="001B7CD1">
            <w:pPr>
              <w:spacing w:line="360" w:lineRule="auto"/>
              <w:rPr>
                <w:rFonts w:ascii="Arial" w:hAnsi="Arial" w:cs="Arial"/>
              </w:rPr>
            </w:pPr>
            <w:r>
              <w:rPr>
                <w:rFonts w:ascii="Arial" w:hAnsi="Arial" w:cs="Arial"/>
              </w:rPr>
              <w:t>Chapter 2:</w:t>
            </w:r>
          </w:p>
          <w:p w14:paraId="685DA417" w14:textId="5437AD0E" w:rsidR="007205F6" w:rsidRDefault="007205F6" w:rsidP="001B7CD1">
            <w:pPr>
              <w:spacing w:line="360" w:lineRule="auto"/>
              <w:rPr>
                <w:rFonts w:ascii="Arial" w:hAnsi="Arial" w:cs="Arial"/>
              </w:rPr>
            </w:pPr>
            <w:r>
              <w:rPr>
                <w:rFonts w:ascii="Arial" w:hAnsi="Arial" w:cs="Arial"/>
              </w:rPr>
              <w:t>Background</w:t>
            </w:r>
          </w:p>
        </w:tc>
        <w:tc>
          <w:tcPr>
            <w:tcW w:w="1507" w:type="dxa"/>
          </w:tcPr>
          <w:p w14:paraId="6B6CE9EF" w14:textId="77777777" w:rsidR="00183F4D" w:rsidRDefault="00183F4D" w:rsidP="001B7CD1">
            <w:pPr>
              <w:spacing w:line="360" w:lineRule="auto"/>
              <w:rPr>
                <w:rFonts w:ascii="Arial" w:hAnsi="Arial" w:cs="Arial"/>
              </w:rPr>
            </w:pPr>
          </w:p>
        </w:tc>
        <w:tc>
          <w:tcPr>
            <w:tcW w:w="1508" w:type="dxa"/>
            <w:shd w:val="clear" w:color="auto" w:fill="5B9BD5" w:themeFill="accent5"/>
          </w:tcPr>
          <w:p w14:paraId="4C575F06" w14:textId="77777777" w:rsidR="00183F4D" w:rsidRDefault="00183F4D" w:rsidP="001B7CD1">
            <w:pPr>
              <w:spacing w:line="360" w:lineRule="auto"/>
              <w:rPr>
                <w:rFonts w:ascii="Arial" w:hAnsi="Arial" w:cs="Arial"/>
              </w:rPr>
            </w:pPr>
          </w:p>
        </w:tc>
        <w:tc>
          <w:tcPr>
            <w:tcW w:w="1508" w:type="dxa"/>
          </w:tcPr>
          <w:p w14:paraId="4EE543EB" w14:textId="77777777" w:rsidR="00183F4D" w:rsidRDefault="00183F4D" w:rsidP="001B7CD1">
            <w:pPr>
              <w:spacing w:line="360" w:lineRule="auto"/>
              <w:rPr>
                <w:rFonts w:ascii="Arial" w:hAnsi="Arial" w:cs="Arial"/>
              </w:rPr>
            </w:pPr>
          </w:p>
        </w:tc>
        <w:tc>
          <w:tcPr>
            <w:tcW w:w="1508" w:type="dxa"/>
          </w:tcPr>
          <w:p w14:paraId="4C6B66F0" w14:textId="77777777" w:rsidR="00183F4D" w:rsidRDefault="00183F4D" w:rsidP="001B7CD1">
            <w:pPr>
              <w:spacing w:line="360" w:lineRule="auto"/>
              <w:rPr>
                <w:rFonts w:ascii="Arial" w:hAnsi="Arial" w:cs="Arial"/>
              </w:rPr>
            </w:pPr>
          </w:p>
        </w:tc>
        <w:tc>
          <w:tcPr>
            <w:tcW w:w="1508" w:type="dxa"/>
          </w:tcPr>
          <w:p w14:paraId="4F58D37D" w14:textId="77777777" w:rsidR="00183F4D" w:rsidRDefault="00183F4D" w:rsidP="001B7CD1">
            <w:pPr>
              <w:spacing w:line="360" w:lineRule="auto"/>
              <w:rPr>
                <w:rFonts w:ascii="Arial" w:hAnsi="Arial" w:cs="Arial"/>
              </w:rPr>
            </w:pPr>
          </w:p>
        </w:tc>
      </w:tr>
      <w:tr w:rsidR="00183F4D" w14:paraId="0EF6032B" w14:textId="77777777" w:rsidTr="00280979">
        <w:trPr>
          <w:trHeight w:val="576"/>
        </w:trPr>
        <w:tc>
          <w:tcPr>
            <w:tcW w:w="1507" w:type="dxa"/>
          </w:tcPr>
          <w:p w14:paraId="188FFDF8" w14:textId="77777777" w:rsidR="00183F4D" w:rsidRDefault="007205F6" w:rsidP="001B7CD1">
            <w:pPr>
              <w:spacing w:line="360" w:lineRule="auto"/>
              <w:rPr>
                <w:rFonts w:ascii="Arial" w:hAnsi="Arial" w:cs="Arial"/>
              </w:rPr>
            </w:pPr>
            <w:r>
              <w:rPr>
                <w:rFonts w:ascii="Arial" w:hAnsi="Arial" w:cs="Arial"/>
              </w:rPr>
              <w:t>Chapter 3:</w:t>
            </w:r>
          </w:p>
          <w:p w14:paraId="72212134" w14:textId="7F674A7E" w:rsidR="007205F6" w:rsidRDefault="007205F6" w:rsidP="001B7CD1">
            <w:pPr>
              <w:spacing w:line="360" w:lineRule="auto"/>
              <w:rPr>
                <w:rFonts w:ascii="Arial" w:hAnsi="Arial" w:cs="Arial"/>
              </w:rPr>
            </w:pPr>
            <w:r>
              <w:rPr>
                <w:rFonts w:ascii="Arial" w:hAnsi="Arial" w:cs="Arial"/>
              </w:rPr>
              <w:t>Methods</w:t>
            </w:r>
          </w:p>
        </w:tc>
        <w:tc>
          <w:tcPr>
            <w:tcW w:w="1507" w:type="dxa"/>
          </w:tcPr>
          <w:p w14:paraId="7C03CF82" w14:textId="77777777" w:rsidR="00183F4D" w:rsidRDefault="00183F4D" w:rsidP="001B7CD1">
            <w:pPr>
              <w:spacing w:line="360" w:lineRule="auto"/>
              <w:rPr>
                <w:rFonts w:ascii="Arial" w:hAnsi="Arial" w:cs="Arial"/>
              </w:rPr>
            </w:pPr>
          </w:p>
        </w:tc>
        <w:tc>
          <w:tcPr>
            <w:tcW w:w="1508" w:type="dxa"/>
          </w:tcPr>
          <w:p w14:paraId="393CA597" w14:textId="77777777" w:rsidR="00183F4D" w:rsidRDefault="00183F4D" w:rsidP="001B7CD1">
            <w:pPr>
              <w:spacing w:line="360" w:lineRule="auto"/>
              <w:rPr>
                <w:rFonts w:ascii="Arial" w:hAnsi="Arial" w:cs="Arial"/>
              </w:rPr>
            </w:pPr>
          </w:p>
        </w:tc>
        <w:tc>
          <w:tcPr>
            <w:tcW w:w="1508" w:type="dxa"/>
            <w:shd w:val="clear" w:color="auto" w:fill="5B9BD5" w:themeFill="accent5"/>
          </w:tcPr>
          <w:p w14:paraId="66A952F7" w14:textId="77777777" w:rsidR="00183F4D" w:rsidRDefault="00183F4D" w:rsidP="001B7CD1">
            <w:pPr>
              <w:spacing w:line="360" w:lineRule="auto"/>
              <w:rPr>
                <w:rFonts w:ascii="Arial" w:hAnsi="Arial" w:cs="Arial"/>
              </w:rPr>
            </w:pPr>
          </w:p>
        </w:tc>
        <w:tc>
          <w:tcPr>
            <w:tcW w:w="1508" w:type="dxa"/>
          </w:tcPr>
          <w:p w14:paraId="08E0C804" w14:textId="77777777" w:rsidR="00183F4D" w:rsidRDefault="00183F4D" w:rsidP="001B7CD1">
            <w:pPr>
              <w:spacing w:line="360" w:lineRule="auto"/>
              <w:rPr>
                <w:rFonts w:ascii="Arial" w:hAnsi="Arial" w:cs="Arial"/>
              </w:rPr>
            </w:pPr>
          </w:p>
        </w:tc>
        <w:tc>
          <w:tcPr>
            <w:tcW w:w="1508" w:type="dxa"/>
          </w:tcPr>
          <w:p w14:paraId="326605B7" w14:textId="77777777" w:rsidR="00183F4D" w:rsidRDefault="00183F4D" w:rsidP="001B7CD1">
            <w:pPr>
              <w:spacing w:line="360" w:lineRule="auto"/>
              <w:rPr>
                <w:rFonts w:ascii="Arial" w:hAnsi="Arial" w:cs="Arial"/>
              </w:rPr>
            </w:pPr>
          </w:p>
        </w:tc>
      </w:tr>
      <w:tr w:rsidR="00183F4D" w14:paraId="70D9B0D1" w14:textId="77777777" w:rsidTr="00280979">
        <w:trPr>
          <w:trHeight w:val="576"/>
        </w:trPr>
        <w:tc>
          <w:tcPr>
            <w:tcW w:w="1507" w:type="dxa"/>
          </w:tcPr>
          <w:p w14:paraId="0EE43941" w14:textId="662EB2CC" w:rsidR="00183F4D" w:rsidRDefault="007205F6" w:rsidP="001B7CD1">
            <w:pPr>
              <w:spacing w:line="360" w:lineRule="auto"/>
              <w:rPr>
                <w:rFonts w:ascii="Arial" w:hAnsi="Arial" w:cs="Arial"/>
              </w:rPr>
            </w:pPr>
            <w:r>
              <w:rPr>
                <w:rFonts w:ascii="Arial" w:hAnsi="Arial" w:cs="Arial"/>
              </w:rPr>
              <w:t>Chapter 4: Results and Decision</w:t>
            </w:r>
          </w:p>
        </w:tc>
        <w:tc>
          <w:tcPr>
            <w:tcW w:w="1507" w:type="dxa"/>
          </w:tcPr>
          <w:p w14:paraId="647521AB" w14:textId="77777777" w:rsidR="00183F4D" w:rsidRDefault="00183F4D" w:rsidP="001B7CD1">
            <w:pPr>
              <w:spacing w:line="360" w:lineRule="auto"/>
              <w:rPr>
                <w:rFonts w:ascii="Arial" w:hAnsi="Arial" w:cs="Arial"/>
              </w:rPr>
            </w:pPr>
          </w:p>
        </w:tc>
        <w:tc>
          <w:tcPr>
            <w:tcW w:w="1508" w:type="dxa"/>
          </w:tcPr>
          <w:p w14:paraId="7C9979A7" w14:textId="77777777" w:rsidR="00183F4D" w:rsidRDefault="00183F4D" w:rsidP="001B7CD1">
            <w:pPr>
              <w:spacing w:line="360" w:lineRule="auto"/>
              <w:rPr>
                <w:rFonts w:ascii="Arial" w:hAnsi="Arial" w:cs="Arial"/>
              </w:rPr>
            </w:pPr>
          </w:p>
        </w:tc>
        <w:tc>
          <w:tcPr>
            <w:tcW w:w="1508" w:type="dxa"/>
          </w:tcPr>
          <w:p w14:paraId="26DD0863" w14:textId="77777777" w:rsidR="00183F4D" w:rsidRDefault="00183F4D" w:rsidP="001B7CD1">
            <w:pPr>
              <w:spacing w:line="360" w:lineRule="auto"/>
              <w:rPr>
                <w:rFonts w:ascii="Arial" w:hAnsi="Arial" w:cs="Arial"/>
              </w:rPr>
            </w:pPr>
          </w:p>
        </w:tc>
        <w:tc>
          <w:tcPr>
            <w:tcW w:w="1508" w:type="dxa"/>
            <w:shd w:val="clear" w:color="auto" w:fill="5B9BD5" w:themeFill="accent5"/>
          </w:tcPr>
          <w:p w14:paraId="08977617" w14:textId="77777777" w:rsidR="00183F4D" w:rsidRDefault="00183F4D" w:rsidP="001B7CD1">
            <w:pPr>
              <w:spacing w:line="360" w:lineRule="auto"/>
              <w:rPr>
                <w:rFonts w:ascii="Arial" w:hAnsi="Arial" w:cs="Arial"/>
              </w:rPr>
            </w:pPr>
          </w:p>
        </w:tc>
        <w:tc>
          <w:tcPr>
            <w:tcW w:w="1508" w:type="dxa"/>
          </w:tcPr>
          <w:p w14:paraId="359A05B5" w14:textId="77777777" w:rsidR="00183F4D" w:rsidRDefault="00183F4D" w:rsidP="001B7CD1">
            <w:pPr>
              <w:spacing w:line="360" w:lineRule="auto"/>
              <w:rPr>
                <w:rFonts w:ascii="Arial" w:hAnsi="Arial" w:cs="Arial"/>
              </w:rPr>
            </w:pPr>
          </w:p>
        </w:tc>
      </w:tr>
      <w:tr w:rsidR="00183F4D" w14:paraId="18425654" w14:textId="77777777" w:rsidTr="00280979">
        <w:trPr>
          <w:trHeight w:val="576"/>
        </w:trPr>
        <w:tc>
          <w:tcPr>
            <w:tcW w:w="1507" w:type="dxa"/>
          </w:tcPr>
          <w:p w14:paraId="6A612760" w14:textId="34882F84" w:rsidR="00183F4D" w:rsidRDefault="0016005C" w:rsidP="001B7CD1">
            <w:pPr>
              <w:spacing w:line="360" w:lineRule="auto"/>
              <w:rPr>
                <w:rFonts w:ascii="Arial" w:hAnsi="Arial" w:cs="Arial"/>
              </w:rPr>
            </w:pPr>
            <w:r>
              <w:rPr>
                <w:rFonts w:ascii="Arial" w:hAnsi="Arial" w:cs="Arial"/>
              </w:rPr>
              <w:t>Chapter 5: Recommendations and conclusion - proofreading</w:t>
            </w:r>
          </w:p>
        </w:tc>
        <w:tc>
          <w:tcPr>
            <w:tcW w:w="1507" w:type="dxa"/>
          </w:tcPr>
          <w:p w14:paraId="2C308BD5" w14:textId="77777777" w:rsidR="00183F4D" w:rsidRDefault="00183F4D" w:rsidP="001B7CD1">
            <w:pPr>
              <w:spacing w:line="360" w:lineRule="auto"/>
              <w:rPr>
                <w:rFonts w:ascii="Arial" w:hAnsi="Arial" w:cs="Arial"/>
              </w:rPr>
            </w:pPr>
          </w:p>
        </w:tc>
        <w:tc>
          <w:tcPr>
            <w:tcW w:w="1508" w:type="dxa"/>
          </w:tcPr>
          <w:p w14:paraId="5D712AD1" w14:textId="77777777" w:rsidR="00183F4D" w:rsidRDefault="00183F4D" w:rsidP="001B7CD1">
            <w:pPr>
              <w:spacing w:line="360" w:lineRule="auto"/>
              <w:rPr>
                <w:rFonts w:ascii="Arial" w:hAnsi="Arial" w:cs="Arial"/>
              </w:rPr>
            </w:pPr>
          </w:p>
        </w:tc>
        <w:tc>
          <w:tcPr>
            <w:tcW w:w="1508" w:type="dxa"/>
          </w:tcPr>
          <w:p w14:paraId="598475DB" w14:textId="77777777" w:rsidR="00183F4D" w:rsidRDefault="00183F4D" w:rsidP="001B7CD1">
            <w:pPr>
              <w:spacing w:line="360" w:lineRule="auto"/>
              <w:rPr>
                <w:rFonts w:ascii="Arial" w:hAnsi="Arial" w:cs="Arial"/>
              </w:rPr>
            </w:pPr>
          </w:p>
        </w:tc>
        <w:tc>
          <w:tcPr>
            <w:tcW w:w="1508" w:type="dxa"/>
          </w:tcPr>
          <w:p w14:paraId="49AA3BE8" w14:textId="77777777" w:rsidR="00183F4D" w:rsidRDefault="00183F4D" w:rsidP="001B7CD1">
            <w:pPr>
              <w:spacing w:line="360" w:lineRule="auto"/>
              <w:rPr>
                <w:rFonts w:ascii="Arial" w:hAnsi="Arial" w:cs="Arial"/>
              </w:rPr>
            </w:pPr>
          </w:p>
        </w:tc>
        <w:tc>
          <w:tcPr>
            <w:tcW w:w="1508" w:type="dxa"/>
            <w:shd w:val="clear" w:color="auto" w:fill="5B9BD5" w:themeFill="accent5"/>
          </w:tcPr>
          <w:p w14:paraId="22C91BF5" w14:textId="77777777" w:rsidR="00183F4D" w:rsidRDefault="00183F4D" w:rsidP="001B7CD1">
            <w:pPr>
              <w:spacing w:line="360" w:lineRule="auto"/>
              <w:rPr>
                <w:rFonts w:ascii="Arial" w:hAnsi="Arial" w:cs="Arial"/>
              </w:rPr>
            </w:pPr>
          </w:p>
        </w:tc>
      </w:tr>
    </w:tbl>
    <w:p w14:paraId="11976506" w14:textId="77777777" w:rsidR="004E10A4" w:rsidRDefault="004E10A4" w:rsidP="001B7CD1">
      <w:pPr>
        <w:spacing w:line="360" w:lineRule="auto"/>
        <w:rPr>
          <w:rFonts w:ascii="Arial" w:hAnsi="Arial" w:cs="Arial"/>
        </w:rPr>
      </w:pPr>
    </w:p>
    <w:p w14:paraId="41BD97AB" w14:textId="77777777" w:rsidR="00260277" w:rsidRPr="00260277" w:rsidRDefault="00260277" w:rsidP="001B7CD1">
      <w:pPr>
        <w:spacing w:line="360" w:lineRule="auto"/>
        <w:rPr>
          <w:rFonts w:ascii="Arial" w:hAnsi="Arial" w:cs="Arial"/>
        </w:rPr>
      </w:pPr>
    </w:p>
    <w:p w14:paraId="5713A915" w14:textId="60566118" w:rsidR="00FF5B70" w:rsidRPr="00FF5B70" w:rsidRDefault="00FF5B70" w:rsidP="001B7CD1">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4ECDA0BD" w14:textId="77777777" w:rsidR="00FF5B70" w:rsidRPr="00260277" w:rsidRDefault="00FF5B70" w:rsidP="001B7CD1">
      <w:pPr>
        <w:spacing w:line="360" w:lineRule="auto"/>
        <w:rPr>
          <w:rFonts w:ascii="Arial" w:hAnsi="Arial" w:cs="Arial"/>
        </w:rPr>
      </w:pPr>
    </w:p>
    <w:p w14:paraId="3B54418D" w14:textId="76C2D394" w:rsidR="001B7CD1" w:rsidRDefault="001B7CD1" w:rsidP="0054060A">
      <w:pPr>
        <w:spacing w:line="360" w:lineRule="auto"/>
        <w:jc w:val="both"/>
        <w:rPr>
          <w:rFonts w:ascii="Arial" w:eastAsia="Arial" w:hAnsi="Arial" w:cs="Arial"/>
          <w:sz w:val="22"/>
        </w:rPr>
      </w:pPr>
      <w:r>
        <w:rPr>
          <w:rFonts w:ascii="Arial" w:eastAsia="Arial" w:hAnsi="Arial" w:cs="Arial"/>
          <w:sz w:val="22"/>
        </w:rPr>
        <w:lastRenderedPageBreak/>
        <w:t xml:space="preserve">As a researcher, I bring a genuine personal interest in digital media and online platforms, along with practical familiarity from my own professional background in content creation, which supports my understanding of how social media operates and is experienced by its users. However, I recognise that balancing this research project alongside existing work, study, and family commitments will require careful time management. I also acknowledge that, as this is my first experience conducting a structured piece of secondary research using thematic analysis, I will need to remain reflexive about my own assumptions regarding social </w:t>
      </w:r>
      <w:r>
        <w:rPr>
          <w:rFonts w:ascii="Arial" w:eastAsia="Arial" w:hAnsi="Arial" w:cs="Arial"/>
          <w:sz w:val="22"/>
        </w:rPr>
        <w:t>media and</w:t>
      </w:r>
      <w:r>
        <w:rPr>
          <w:rFonts w:ascii="Arial" w:eastAsia="Arial" w:hAnsi="Arial" w:cs="Arial"/>
          <w:sz w:val="22"/>
        </w:rPr>
        <w:t xml:space="preserve"> ensure that my analysis remains grounded in the evidence rather than personal opinion.</w:t>
      </w:r>
    </w:p>
    <w:p w14:paraId="672394F5" w14:textId="77777777" w:rsidR="005B497D" w:rsidRDefault="005B497D" w:rsidP="001B7CD1">
      <w:pPr>
        <w:spacing w:line="360" w:lineRule="auto"/>
        <w:rPr>
          <w:rFonts w:ascii="Arial" w:hAnsi="Arial" w:cs="Arial"/>
        </w:rPr>
      </w:pPr>
    </w:p>
    <w:p w14:paraId="2D3E2009" w14:textId="77777777" w:rsidR="0054060A" w:rsidRPr="001B7CD1" w:rsidRDefault="0054060A" w:rsidP="001B7CD1">
      <w:pPr>
        <w:spacing w:line="360" w:lineRule="auto"/>
        <w:rPr>
          <w:rFonts w:ascii="Arial" w:hAnsi="Arial" w:cs="Arial"/>
        </w:rPr>
      </w:pPr>
    </w:p>
    <w:p w14:paraId="262C8CA3" w14:textId="4D2FF9E1" w:rsidR="00545684" w:rsidRPr="00260277" w:rsidRDefault="00545684" w:rsidP="00FF5B70">
      <w:pPr>
        <w:pStyle w:val="Heading1"/>
      </w:pPr>
      <w:r w:rsidRPr="00260277">
        <w:t>References</w:t>
      </w:r>
    </w:p>
    <w:p w14:paraId="754CEB55" w14:textId="77777777" w:rsidR="00545684" w:rsidRPr="00260277" w:rsidRDefault="00545684" w:rsidP="00041A5A">
      <w:pPr>
        <w:spacing w:line="360" w:lineRule="auto"/>
        <w:rPr>
          <w:rFonts w:ascii="Arial" w:hAnsi="Arial" w:cs="Arial"/>
        </w:rPr>
      </w:pPr>
    </w:p>
    <w:p w14:paraId="7DCA4EE8" w14:textId="77777777" w:rsidR="001B7CD1" w:rsidRDefault="001B7CD1" w:rsidP="001B7CD1">
      <w:pPr>
        <w:spacing w:after="200" w:line="360" w:lineRule="auto"/>
        <w:jc w:val="both"/>
      </w:pPr>
      <w:r>
        <w:rPr>
          <w:rFonts w:ascii="Arial" w:hAnsi="Arial"/>
          <w:sz w:val="22"/>
        </w:rPr>
        <w:t xml:space="preserve">Best, P., Manktelow, R. and Taylor, B. (2014) 'Online communication, social media and adolescent wellbeing: a systematic narrative review', </w:t>
      </w:r>
      <w:r w:rsidRPr="005B497D">
        <w:rPr>
          <w:rFonts w:ascii="Arial" w:hAnsi="Arial"/>
          <w:i/>
          <w:iCs/>
          <w:sz w:val="22"/>
        </w:rPr>
        <w:t>Children and Youth Services Review</w:t>
      </w:r>
      <w:r>
        <w:rPr>
          <w:rFonts w:ascii="Arial" w:hAnsi="Arial"/>
          <w:sz w:val="22"/>
        </w:rPr>
        <w:t>, 41, pp. 27–36.</w:t>
      </w:r>
    </w:p>
    <w:p w14:paraId="554224F9" w14:textId="77777777" w:rsidR="001B7CD1" w:rsidRDefault="001B7CD1" w:rsidP="001B7CD1">
      <w:pPr>
        <w:spacing w:after="200" w:line="360" w:lineRule="auto"/>
        <w:jc w:val="both"/>
      </w:pPr>
      <w:r>
        <w:rPr>
          <w:rFonts w:ascii="Arial" w:hAnsi="Arial"/>
          <w:sz w:val="22"/>
        </w:rPr>
        <w:t xml:space="preserve">Braun, V. and Clarke, V. (2006) 'Using thematic analysis in psychology', </w:t>
      </w:r>
      <w:r w:rsidRPr="005B497D">
        <w:rPr>
          <w:rFonts w:ascii="Arial" w:hAnsi="Arial"/>
          <w:i/>
          <w:iCs/>
          <w:sz w:val="22"/>
        </w:rPr>
        <w:t>Qualitative Research in Psychology</w:t>
      </w:r>
      <w:r>
        <w:rPr>
          <w:rFonts w:ascii="Arial" w:hAnsi="Arial"/>
          <w:sz w:val="22"/>
        </w:rPr>
        <w:t>, 3(2), pp. 77–101.</w:t>
      </w:r>
    </w:p>
    <w:p w14:paraId="659146B0" w14:textId="77777777" w:rsidR="001B7CD1" w:rsidRDefault="001B7CD1" w:rsidP="001B7CD1">
      <w:pPr>
        <w:spacing w:after="200" w:line="360" w:lineRule="auto"/>
        <w:jc w:val="both"/>
      </w:pPr>
      <w:r>
        <w:rPr>
          <w:rFonts w:ascii="Arial" w:hAnsi="Arial"/>
          <w:sz w:val="22"/>
        </w:rPr>
        <w:t xml:space="preserve">Keles, B., McCrae, N. and Grealish, A. (2020) 'A systematic review: the influence of social media on depression, anxiety and psychological distress in adolescents', </w:t>
      </w:r>
      <w:r w:rsidRPr="005B497D">
        <w:rPr>
          <w:rFonts w:ascii="Arial" w:hAnsi="Arial"/>
          <w:i/>
          <w:iCs/>
          <w:sz w:val="22"/>
        </w:rPr>
        <w:t>International Journal of Adolescence and Youth</w:t>
      </w:r>
      <w:r>
        <w:rPr>
          <w:rFonts w:ascii="Arial" w:hAnsi="Arial"/>
          <w:sz w:val="22"/>
        </w:rPr>
        <w:t>, 25(1), pp. 79–93.</w:t>
      </w:r>
    </w:p>
    <w:p w14:paraId="1151ACCD" w14:textId="77777777" w:rsidR="001B7CD1" w:rsidRDefault="001B7CD1" w:rsidP="001B7CD1">
      <w:pPr>
        <w:spacing w:after="200" w:line="360" w:lineRule="auto"/>
        <w:jc w:val="both"/>
      </w:pPr>
      <w:r>
        <w:rPr>
          <w:rFonts w:ascii="Arial" w:hAnsi="Arial"/>
          <w:sz w:val="22"/>
        </w:rPr>
        <w:t xml:space="preserve">Kelly, Y., Zilanawala, A., Booker, C. and Sacker, A. (2018) 'Social media use and adolescent mental health: findings from the UK Millennium Cohort Study', </w:t>
      </w:r>
      <w:r w:rsidRPr="005B497D">
        <w:rPr>
          <w:rFonts w:ascii="Arial" w:hAnsi="Arial"/>
          <w:i/>
          <w:iCs/>
          <w:sz w:val="22"/>
        </w:rPr>
        <w:t>EClinicalMedicine,</w:t>
      </w:r>
      <w:r>
        <w:rPr>
          <w:rFonts w:ascii="Arial" w:hAnsi="Arial"/>
          <w:sz w:val="22"/>
        </w:rPr>
        <w:t xml:space="preserve"> 6, pp. 59–68.</w:t>
      </w:r>
    </w:p>
    <w:p w14:paraId="055EE64E" w14:textId="77777777" w:rsidR="001B7CD1" w:rsidRDefault="001B7CD1" w:rsidP="001B7CD1">
      <w:pPr>
        <w:spacing w:after="200" w:line="360" w:lineRule="auto"/>
        <w:jc w:val="both"/>
      </w:pPr>
      <w:r>
        <w:rPr>
          <w:rFonts w:ascii="Arial" w:hAnsi="Arial"/>
          <w:sz w:val="22"/>
        </w:rPr>
        <w:t xml:space="preserve">NHS Digital (2023) </w:t>
      </w:r>
      <w:r w:rsidRPr="005B497D">
        <w:rPr>
          <w:rFonts w:ascii="Arial" w:hAnsi="Arial"/>
          <w:i/>
          <w:iCs/>
          <w:sz w:val="22"/>
        </w:rPr>
        <w:t>Mental health of children and young people in England</w:t>
      </w:r>
      <w:r>
        <w:rPr>
          <w:rFonts w:ascii="Arial" w:hAnsi="Arial"/>
          <w:sz w:val="22"/>
        </w:rPr>
        <w:t>, 2023. Leeds: NHS Digital.</w:t>
      </w:r>
    </w:p>
    <w:p w14:paraId="24B5E9CC" w14:textId="77777777" w:rsidR="001B7CD1" w:rsidRDefault="001B7CD1" w:rsidP="001B7CD1">
      <w:pPr>
        <w:spacing w:after="200" w:line="360" w:lineRule="auto"/>
        <w:jc w:val="both"/>
      </w:pPr>
      <w:r>
        <w:rPr>
          <w:rFonts w:ascii="Arial" w:hAnsi="Arial"/>
          <w:sz w:val="22"/>
        </w:rPr>
        <w:t xml:space="preserve">Ofcom (2024) </w:t>
      </w:r>
      <w:r w:rsidRPr="005B497D">
        <w:rPr>
          <w:rFonts w:ascii="Arial" w:hAnsi="Arial"/>
          <w:i/>
          <w:iCs/>
          <w:sz w:val="22"/>
        </w:rPr>
        <w:t>Children and parents: media use and attitudes report 2024</w:t>
      </w:r>
      <w:r>
        <w:rPr>
          <w:rFonts w:ascii="Arial" w:hAnsi="Arial"/>
          <w:sz w:val="22"/>
        </w:rPr>
        <w:t>. London: Ofcom.</w:t>
      </w:r>
    </w:p>
    <w:p w14:paraId="71D6F812" w14:textId="77777777" w:rsidR="001B7CD1" w:rsidRDefault="001B7CD1" w:rsidP="001B7CD1">
      <w:pPr>
        <w:spacing w:after="200" w:line="360" w:lineRule="auto"/>
        <w:jc w:val="both"/>
      </w:pPr>
      <w:r>
        <w:rPr>
          <w:rFonts w:ascii="Arial" w:hAnsi="Arial"/>
          <w:sz w:val="22"/>
        </w:rPr>
        <w:t xml:space="preserve">Valkenburg, P.M., Meier, A. and Beyens, I. (2022) 'Social media use and its impact on adolescent mental health: an umbrella review of the evidence', </w:t>
      </w:r>
      <w:r w:rsidRPr="005B497D">
        <w:rPr>
          <w:rFonts w:ascii="Arial" w:hAnsi="Arial"/>
          <w:i/>
          <w:iCs/>
          <w:sz w:val="22"/>
        </w:rPr>
        <w:t>Current Opinion in Psychology</w:t>
      </w:r>
      <w:r>
        <w:rPr>
          <w:rFonts w:ascii="Arial" w:hAnsi="Arial"/>
          <w:sz w:val="22"/>
        </w:rPr>
        <w:t>, 44, pp. 58–68.</w:t>
      </w: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BCF807" w14:textId="77777777" w:rsidR="00B6276A" w:rsidRDefault="00B6276A" w:rsidP="00545684">
      <w:pPr>
        <w:spacing w:after="0" w:line="240" w:lineRule="auto"/>
      </w:pPr>
      <w:r>
        <w:separator/>
      </w:r>
    </w:p>
  </w:endnote>
  <w:endnote w:type="continuationSeparator" w:id="0">
    <w:p w14:paraId="4CCAB8D8" w14:textId="77777777" w:rsidR="00B6276A" w:rsidRDefault="00B6276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A12D98B" w14:textId="77777777" w:rsidR="00B6276A" w:rsidRDefault="00B6276A" w:rsidP="00545684">
      <w:pPr>
        <w:spacing w:after="0" w:line="240" w:lineRule="auto"/>
      </w:pPr>
      <w:r>
        <w:separator/>
      </w:r>
    </w:p>
  </w:footnote>
  <w:footnote w:type="continuationSeparator" w:id="0">
    <w:p w14:paraId="6005ED98" w14:textId="77777777" w:rsidR="00B6276A" w:rsidRDefault="00B6276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12E7BAE"/>
    <w:multiLevelType w:val="hybridMultilevel"/>
    <w:tmpl w:val="420A0C64"/>
    <w:lvl w:ilvl="0" w:tplc="A4943604">
      <w:start w:val="1"/>
      <w:numFmt w:val="bullet"/>
      <w:lvlText w:val="●"/>
      <w:lvlJc w:val="left"/>
      <w:pPr>
        <w:ind w:left="720" w:hanging="360"/>
      </w:pPr>
    </w:lvl>
    <w:lvl w:ilvl="1" w:tplc="9EE2C3E0">
      <w:start w:val="1"/>
      <w:numFmt w:val="bullet"/>
      <w:lvlText w:val="○"/>
      <w:lvlJc w:val="left"/>
      <w:pPr>
        <w:ind w:left="1440" w:hanging="360"/>
      </w:pPr>
    </w:lvl>
    <w:lvl w:ilvl="2" w:tplc="0994D46A">
      <w:start w:val="1"/>
      <w:numFmt w:val="bullet"/>
      <w:lvlText w:val="■"/>
      <w:lvlJc w:val="left"/>
      <w:pPr>
        <w:ind w:left="2160" w:hanging="360"/>
      </w:pPr>
    </w:lvl>
    <w:lvl w:ilvl="3" w:tplc="701A2E42">
      <w:start w:val="1"/>
      <w:numFmt w:val="bullet"/>
      <w:lvlText w:val="●"/>
      <w:lvlJc w:val="left"/>
      <w:pPr>
        <w:ind w:left="2880" w:hanging="360"/>
      </w:pPr>
    </w:lvl>
    <w:lvl w:ilvl="4" w:tplc="FAAC514A">
      <w:start w:val="1"/>
      <w:numFmt w:val="bullet"/>
      <w:lvlText w:val="○"/>
      <w:lvlJc w:val="left"/>
      <w:pPr>
        <w:ind w:left="3600" w:hanging="360"/>
      </w:pPr>
    </w:lvl>
    <w:lvl w:ilvl="5" w:tplc="13D403E8">
      <w:start w:val="1"/>
      <w:numFmt w:val="bullet"/>
      <w:lvlText w:val="■"/>
      <w:lvlJc w:val="left"/>
      <w:pPr>
        <w:ind w:left="4320" w:hanging="360"/>
      </w:pPr>
    </w:lvl>
    <w:lvl w:ilvl="6" w:tplc="1D661E3C">
      <w:start w:val="1"/>
      <w:numFmt w:val="bullet"/>
      <w:lvlText w:val="●"/>
      <w:lvlJc w:val="left"/>
      <w:pPr>
        <w:ind w:left="5040" w:hanging="360"/>
      </w:pPr>
    </w:lvl>
    <w:lvl w:ilvl="7" w:tplc="42F8930A">
      <w:start w:val="1"/>
      <w:numFmt w:val="bullet"/>
      <w:lvlText w:val="●"/>
      <w:lvlJc w:val="left"/>
      <w:pPr>
        <w:ind w:left="5760" w:hanging="360"/>
      </w:pPr>
    </w:lvl>
    <w:lvl w:ilvl="8" w:tplc="75163F30">
      <w:start w:val="1"/>
      <w:numFmt w:val="bullet"/>
      <w:lvlText w:val="●"/>
      <w:lvlJc w:val="left"/>
      <w:pPr>
        <w:ind w:left="6480" w:hanging="360"/>
      </w:pPr>
    </w:lvl>
  </w:abstractNum>
  <w:abstractNum w:abstractNumId="1" w15:restartNumberingAfterBreak="0">
    <w:nsid w:val="72991533"/>
    <w:multiLevelType w:val="hybridMultilevel"/>
    <w:tmpl w:val="A58EB7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A836CE"/>
    <w:multiLevelType w:val="hybridMultilevel"/>
    <w:tmpl w:val="C880912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299582413">
    <w:abstractNumId w:val="1"/>
  </w:num>
  <w:num w:numId="3" w16cid:durableId="902763812">
    <w:abstractNumId w:val="0"/>
    <w:lvlOverride w:ilvl="0">
      <w:startOverride w:val="1"/>
    </w:lvlOverride>
  </w:num>
  <w:num w:numId="4" w16cid:durableId="104197711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4B6B"/>
    <w:rsid w:val="000A5161"/>
    <w:rsid w:val="000A6D3B"/>
    <w:rsid w:val="000B7CD5"/>
    <w:rsid w:val="0013544C"/>
    <w:rsid w:val="0016005C"/>
    <w:rsid w:val="00183F4D"/>
    <w:rsid w:val="001B7CD1"/>
    <w:rsid w:val="00216C85"/>
    <w:rsid w:val="00260277"/>
    <w:rsid w:val="00273EDD"/>
    <w:rsid w:val="00280979"/>
    <w:rsid w:val="002A15DA"/>
    <w:rsid w:val="002C3965"/>
    <w:rsid w:val="002D3324"/>
    <w:rsid w:val="00321C4C"/>
    <w:rsid w:val="003B5B7F"/>
    <w:rsid w:val="003F015E"/>
    <w:rsid w:val="004903AA"/>
    <w:rsid w:val="004E10A4"/>
    <w:rsid w:val="004E6C3B"/>
    <w:rsid w:val="0054060A"/>
    <w:rsid w:val="00545684"/>
    <w:rsid w:val="005B497D"/>
    <w:rsid w:val="0061260B"/>
    <w:rsid w:val="00664E1C"/>
    <w:rsid w:val="00715990"/>
    <w:rsid w:val="007205F6"/>
    <w:rsid w:val="00784670"/>
    <w:rsid w:val="00863702"/>
    <w:rsid w:val="00866B7B"/>
    <w:rsid w:val="008E5015"/>
    <w:rsid w:val="00920FFE"/>
    <w:rsid w:val="0094725E"/>
    <w:rsid w:val="009D1D1E"/>
    <w:rsid w:val="00A035FD"/>
    <w:rsid w:val="00B14FD7"/>
    <w:rsid w:val="00B6276A"/>
    <w:rsid w:val="00BC1A60"/>
    <w:rsid w:val="00CF2641"/>
    <w:rsid w:val="00D769F0"/>
    <w:rsid w:val="00E614D4"/>
    <w:rsid w:val="00EC68DA"/>
    <w:rsid w:val="00EE71F3"/>
    <w:rsid w:val="00F278D4"/>
    <w:rsid w:val="00F466C8"/>
    <w:rsid w:val="00FB4301"/>
    <w:rsid w:val="00FD0D6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qFormat/>
    <w:rsid w:val="001B7C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monica kellys kellys</cp:lastModifiedBy>
  <cp:revision>2</cp:revision>
  <cp:lastPrinted>2026-06-22T08:49:00Z</cp:lastPrinted>
  <dcterms:created xsi:type="dcterms:W3CDTF">2026-07-15T10:08:00Z</dcterms:created>
  <dcterms:modified xsi:type="dcterms:W3CDTF">2026-07-15T10:08:00Z</dcterms:modified>
</cp:coreProperties>
</file>