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07D8BE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A075E">
              <w:rPr>
                <w:rFonts w:ascii="Times New Roman" w:hAnsi="Times New Roman" w:cs="Times New Roman"/>
                <w:b/>
                <w:color w:val="auto"/>
                <w:sz w:val="48"/>
              </w:rPr>
              <w:t>Michelle Skelland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31F65176" w14:textId="77777777" w:rsidR="003A075E" w:rsidRDefault="003A075E" w:rsidP="003A075E">
            <w:pPr>
              <w:ind w:right="-957"/>
              <w:rPr>
                <w:rFonts w:ascii="Times New Roman" w:hAnsi="Times New Roman" w:cs="Times New Roman"/>
                <w:b/>
                <w:sz w:val="48"/>
              </w:rPr>
            </w:pPr>
            <w:r>
              <w:rPr>
                <w:rFonts w:ascii="Times New Roman" w:hAnsi="Times New Roman" w:cs="Times New Roman"/>
                <w:b/>
                <w:sz w:val="48"/>
              </w:rPr>
              <w:t>2237148@student.uwtsd.ac.uk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BB9555A" w14:textId="77777777" w:rsidR="003A075E" w:rsidRPr="005D3F07" w:rsidRDefault="003A075E" w:rsidP="003A075E">
            <w:pPr>
              <w:ind w:right="-957"/>
              <w:rPr>
                <w:rFonts w:ascii="Times New Roman" w:hAnsi="Times New Roman" w:cs="Times New Roman"/>
                <w:b/>
                <w:sz w:val="48"/>
              </w:rPr>
            </w:pPr>
            <w:r>
              <w:rPr>
                <w:rFonts w:ascii="Times New Roman" w:hAnsi="Times New Roman" w:cs="Times New Roman"/>
                <w:b/>
                <w:sz w:val="48"/>
              </w:rPr>
              <w:t>2237148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70797153" w14:textId="3610EAE2" w:rsidR="007F312E" w:rsidRPr="003A075E" w:rsidRDefault="007F312E" w:rsidP="003A075E">
      <w:pPr>
        <w:rPr>
          <w:b/>
          <w:sz w:val="24"/>
          <w:szCs w:val="24"/>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xml:space="preserve">, </w:t>
            </w:r>
            <w:proofErr w:type="gramStart"/>
            <w:r w:rsidR="00F34C86">
              <w:rPr>
                <w:sz w:val="24"/>
                <w:szCs w:val="24"/>
              </w:rPr>
              <w:t>strategies</w:t>
            </w:r>
            <w:proofErr w:type="gramEnd"/>
            <w:r w:rsidR="00F34C86">
              <w:rPr>
                <w:sz w:val="24"/>
                <w:szCs w:val="24"/>
              </w:rPr>
              <w:t xml:space="preserve">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6AEE143B" w14:textId="77777777" w:rsidR="003A075E" w:rsidRPr="00A90669" w:rsidRDefault="003A075E" w:rsidP="00C83B72">
            <w:pPr>
              <w:spacing w:line="360" w:lineRule="auto"/>
              <w:jc w:val="both"/>
              <w:rPr>
                <w:color w:val="000000" w:themeColor="text1"/>
                <w:sz w:val="24"/>
                <w:szCs w:val="24"/>
              </w:rPr>
            </w:pPr>
            <w:r w:rsidRPr="00A90669">
              <w:rPr>
                <w:color w:val="000000" w:themeColor="text1"/>
                <w:sz w:val="24"/>
                <w:szCs w:val="24"/>
              </w:rPr>
              <w:t xml:space="preserve">The United Nations Convention on the Rights of the Child (UNCRC), which is a 54 point, internationally agreed upon declaration, was adopted in full by the Welsh government in 2004 and protected by Welsh law under Rights of Children and Young Persons (Wales) Measure 2011. Four key articles were picked out for special attention and forms both the spine of the UNCRC and the basis upon which future legislation relating to the rights of the child would be formed by the Welsh government. These articles </w:t>
            </w:r>
            <w:proofErr w:type="gramStart"/>
            <w:r w:rsidRPr="00A90669">
              <w:rPr>
                <w:color w:val="000000" w:themeColor="text1"/>
                <w:sz w:val="24"/>
                <w:szCs w:val="24"/>
              </w:rPr>
              <w:t>are;</w:t>
            </w:r>
            <w:proofErr w:type="gramEnd"/>
            <w:r w:rsidRPr="00A90669">
              <w:rPr>
                <w:color w:val="000000" w:themeColor="text1"/>
                <w:sz w:val="24"/>
                <w:szCs w:val="24"/>
              </w:rPr>
              <w:t xml:space="preserve"> Article 2, “right to non-discrimination”; Article 3, “commitment to the best interests of the child”; Article 6, “right to life, survival and development”; Article 12, “a right to be heard.” The Social Services and Wellbeing (Wales) Act (2014) (SSWB14) has the UNCRC at its heart and working within this framework means that these key themes are recurring throughout this case study and directly relate to actions taken. Key to the SSWBA14, is listening to the voice of the individuals we work with. In safeguarding matters, listening to the voice of the child so that the wishes, needs and well-being of the child are put first, is paramount to the decisions regarding the actions taken to protect the child from harm.</w:t>
            </w:r>
          </w:p>
          <w:p w14:paraId="36BB0EDC" w14:textId="77777777" w:rsidR="003A075E" w:rsidRPr="00A90669" w:rsidRDefault="003A075E" w:rsidP="00C83B72">
            <w:pPr>
              <w:spacing w:line="360" w:lineRule="auto"/>
              <w:jc w:val="both"/>
              <w:rPr>
                <w:color w:val="000000" w:themeColor="text1"/>
                <w:sz w:val="24"/>
                <w:szCs w:val="24"/>
              </w:rPr>
            </w:pPr>
          </w:p>
          <w:p w14:paraId="4A8B0382" w14:textId="428595A0" w:rsidR="003A075E" w:rsidRPr="00A90669" w:rsidRDefault="003A075E" w:rsidP="00C83B72">
            <w:pPr>
              <w:spacing w:line="360" w:lineRule="auto"/>
              <w:jc w:val="both"/>
              <w:rPr>
                <w:color w:val="000000" w:themeColor="text1"/>
                <w:sz w:val="24"/>
                <w:szCs w:val="24"/>
              </w:rPr>
            </w:pPr>
            <w:r w:rsidRPr="00A90669">
              <w:rPr>
                <w:color w:val="000000" w:themeColor="text1"/>
                <w:sz w:val="24"/>
                <w:szCs w:val="24"/>
              </w:rPr>
              <w:lastRenderedPageBreak/>
              <w:t xml:space="preserve">One of the core requirements of the SSWBA14 is to include a constellation of agencies in child protection matters, with social care, the police, youth offending teams, family services, education and community health all making up the multi-disciplinary teams (MDT) that work together to safeguard children. This requirement recognises the fact that agencies cannot operate in silos and that no one practitioner can have a full picture of a child and their family. Working across agencies ensures that a better understanding of the whole </w:t>
            </w:r>
            <w:proofErr w:type="gramStart"/>
            <w:r w:rsidRPr="00A90669">
              <w:rPr>
                <w:color w:val="000000" w:themeColor="text1"/>
                <w:sz w:val="24"/>
                <w:szCs w:val="24"/>
              </w:rPr>
              <w:t>families</w:t>
            </w:r>
            <w:proofErr w:type="gramEnd"/>
            <w:r w:rsidRPr="00A90669">
              <w:rPr>
                <w:color w:val="000000" w:themeColor="text1"/>
                <w:sz w:val="24"/>
                <w:szCs w:val="24"/>
              </w:rPr>
              <w:t xml:space="preserve"> circumstances and their needs for care, support and safety is achieved (The Wales Safeguarding Procedures, 2024). All those working within the MDT must act within the principles set out by the UNCRC and SSWBA14 and should be aware of the socio-economic, institutional, and cultural discrimination and oppression that children and their families can face (</w:t>
            </w:r>
            <w:r w:rsidR="00C575F0" w:rsidRPr="00A90669">
              <w:rPr>
                <w:color w:val="000000" w:themeColor="text1"/>
                <w:sz w:val="24"/>
                <w:szCs w:val="24"/>
              </w:rPr>
              <w:t>C</w:t>
            </w:r>
            <w:r w:rsidRPr="00A90669">
              <w:rPr>
                <w:color w:val="000000" w:themeColor="text1"/>
                <w:sz w:val="24"/>
                <w:szCs w:val="24"/>
              </w:rPr>
              <w:t>hildren’s commissioner for Wales</w:t>
            </w:r>
            <w:r w:rsidR="00C575F0" w:rsidRPr="00A90669">
              <w:rPr>
                <w:color w:val="000000" w:themeColor="text1"/>
                <w:sz w:val="24"/>
                <w:szCs w:val="24"/>
              </w:rPr>
              <w:t>,</w:t>
            </w:r>
            <w:r w:rsidRPr="00A90669">
              <w:rPr>
                <w:color w:val="000000" w:themeColor="text1"/>
                <w:sz w:val="24"/>
                <w:szCs w:val="24"/>
              </w:rPr>
              <w:t xml:space="preserve"> 2017). However, it is perhaps most incumbent upon the social worker as the professional who best understands these imbalances to highlight these issues and act in an anti-discriminatory way towards individuals open to social services. In fact, it is a professional requirement that social workers must act in an anti-discriminatory way and keep up to date by constantly reviewing knowledge about issues of equality, fairness, </w:t>
            </w:r>
            <w:proofErr w:type="gramStart"/>
            <w:r w:rsidRPr="00A90669">
              <w:rPr>
                <w:color w:val="000000" w:themeColor="text1"/>
                <w:sz w:val="24"/>
                <w:szCs w:val="24"/>
              </w:rPr>
              <w:t>access</w:t>
            </w:r>
            <w:proofErr w:type="gramEnd"/>
            <w:r w:rsidRPr="00A90669">
              <w:rPr>
                <w:color w:val="000000" w:themeColor="text1"/>
                <w:sz w:val="24"/>
                <w:szCs w:val="24"/>
              </w:rPr>
              <w:t xml:space="preserve"> and anti-discriminatory practice (CoPP: Social Care Wales, 2017). These codes are also there to protect individuals, carers and practitioners working within the legal framework of the SSWBA14.</w:t>
            </w:r>
          </w:p>
          <w:p w14:paraId="72521F7F" w14:textId="77777777" w:rsidR="003A075E" w:rsidRPr="00A90669" w:rsidRDefault="003A075E" w:rsidP="00C83B72">
            <w:pPr>
              <w:spacing w:line="360" w:lineRule="auto"/>
              <w:jc w:val="both"/>
              <w:rPr>
                <w:color w:val="000000" w:themeColor="text1"/>
                <w:sz w:val="24"/>
                <w:szCs w:val="24"/>
              </w:rPr>
            </w:pPr>
          </w:p>
          <w:p w14:paraId="5212779B" w14:textId="63A6F006" w:rsidR="003A075E" w:rsidRPr="00A90669" w:rsidRDefault="003A075E" w:rsidP="00C83B72">
            <w:pPr>
              <w:spacing w:line="360" w:lineRule="auto"/>
              <w:jc w:val="both"/>
              <w:rPr>
                <w:color w:val="000000" w:themeColor="text1"/>
                <w:sz w:val="24"/>
                <w:szCs w:val="24"/>
              </w:rPr>
            </w:pPr>
            <w:r w:rsidRPr="00A90669">
              <w:rPr>
                <w:color w:val="000000" w:themeColor="text1"/>
                <w:sz w:val="24"/>
                <w:szCs w:val="24"/>
              </w:rPr>
              <w:t xml:space="preserve">As a further safeguard, to ensure the voice of the child is heard and enable them to have active and equal participation in the interactions that the child has with professionals, the SSWBA14 code of practice part 10 places a legal requirement on practitioners to make an active offer entitling those under child protection and looked after children to enable access to independent advocacy services. Another important consideration is that of language and in Wales an active offer for Welsh language should be made at the first meeting for all children and families. This means that anyone in Wales wishing for services to be provided in the Welsh language does not have to ask for it. This safeguards language choice, promotes </w:t>
            </w:r>
            <w:proofErr w:type="gramStart"/>
            <w:r w:rsidRPr="00A90669">
              <w:rPr>
                <w:color w:val="000000" w:themeColor="text1"/>
                <w:sz w:val="24"/>
                <w:szCs w:val="24"/>
              </w:rPr>
              <w:t>dignity</w:t>
            </w:r>
            <w:proofErr w:type="gramEnd"/>
            <w:r w:rsidRPr="00A90669">
              <w:rPr>
                <w:color w:val="000000" w:themeColor="text1"/>
                <w:sz w:val="24"/>
                <w:szCs w:val="24"/>
              </w:rPr>
              <w:t xml:space="preserve"> and empowers Welsh speakers by giving them the opportunity to engage with professionals in their favoured or first language. It is another </w:t>
            </w:r>
            <w:proofErr w:type="gramStart"/>
            <w:r w:rsidRPr="00A90669">
              <w:rPr>
                <w:color w:val="000000" w:themeColor="text1"/>
                <w:sz w:val="24"/>
                <w:szCs w:val="24"/>
              </w:rPr>
              <w:t>key way</w:t>
            </w:r>
            <w:proofErr w:type="gramEnd"/>
            <w:r w:rsidRPr="00A90669">
              <w:rPr>
                <w:color w:val="000000" w:themeColor="text1"/>
                <w:sz w:val="24"/>
                <w:szCs w:val="24"/>
              </w:rPr>
              <w:t xml:space="preserve"> that social workers operating in Wales can ensure that anti-discriminatory practice is being maintained (Welsh Gov – More than just words, 20</w:t>
            </w:r>
            <w:r w:rsidR="00C575F0" w:rsidRPr="00A90669">
              <w:rPr>
                <w:color w:val="000000" w:themeColor="text1"/>
                <w:sz w:val="24"/>
                <w:szCs w:val="24"/>
              </w:rPr>
              <w:t>21</w:t>
            </w:r>
            <w:r w:rsidRPr="00A90669">
              <w:rPr>
                <w:color w:val="000000" w:themeColor="text1"/>
                <w:sz w:val="24"/>
                <w:szCs w:val="24"/>
              </w:rPr>
              <w:t>).</w:t>
            </w:r>
          </w:p>
          <w:p w14:paraId="152A1AB3" w14:textId="77777777" w:rsidR="003A075E" w:rsidRPr="00A90669" w:rsidRDefault="003A075E" w:rsidP="00C83B72">
            <w:pPr>
              <w:spacing w:line="360" w:lineRule="auto"/>
              <w:jc w:val="both"/>
              <w:rPr>
                <w:color w:val="000000" w:themeColor="text1"/>
                <w:sz w:val="24"/>
                <w:szCs w:val="24"/>
              </w:rPr>
            </w:pPr>
          </w:p>
          <w:p w14:paraId="298345EF" w14:textId="77777777" w:rsidR="003A075E" w:rsidRPr="00A90669" w:rsidRDefault="003A075E" w:rsidP="00C83B72">
            <w:pPr>
              <w:spacing w:line="360" w:lineRule="auto"/>
              <w:jc w:val="both"/>
              <w:rPr>
                <w:color w:val="000000" w:themeColor="text1"/>
                <w:sz w:val="24"/>
                <w:szCs w:val="24"/>
              </w:rPr>
            </w:pPr>
            <w:r w:rsidRPr="00A90669">
              <w:rPr>
                <w:color w:val="000000" w:themeColor="text1"/>
                <w:sz w:val="24"/>
                <w:szCs w:val="24"/>
              </w:rPr>
              <w:t xml:space="preserve">When </w:t>
            </w:r>
            <w:proofErr w:type="gramStart"/>
            <w:r w:rsidRPr="00A90669">
              <w:rPr>
                <w:color w:val="000000" w:themeColor="text1"/>
                <w:sz w:val="24"/>
                <w:szCs w:val="24"/>
              </w:rPr>
              <w:t>making an assessment of</w:t>
            </w:r>
            <w:proofErr w:type="gramEnd"/>
            <w:r w:rsidRPr="00A90669">
              <w:rPr>
                <w:color w:val="000000" w:themeColor="text1"/>
                <w:sz w:val="24"/>
                <w:szCs w:val="24"/>
              </w:rPr>
              <w:t xml:space="preserve"> people and developing care and support plans the SSWBA14 recognises the need for these assessments to be based around what matters to the individual, by taking a person centred, strengths-based approach. A social worker should attempt to develop collaborative relationships with individuals by using a strengths-based approach to identify their intrinsic strengths and abilities and utilise these, along with care and support </w:t>
            </w:r>
            <w:proofErr w:type="gramStart"/>
            <w:r w:rsidRPr="00A90669">
              <w:rPr>
                <w:color w:val="000000" w:themeColor="text1"/>
                <w:sz w:val="24"/>
                <w:szCs w:val="24"/>
              </w:rPr>
              <w:t>in order to</w:t>
            </w:r>
            <w:proofErr w:type="gramEnd"/>
            <w:r w:rsidRPr="00A90669">
              <w:rPr>
                <w:color w:val="000000" w:themeColor="text1"/>
                <w:sz w:val="24"/>
                <w:szCs w:val="24"/>
              </w:rPr>
              <w:t xml:space="preserve"> reach their wellbeing goals. There is good evidence that adopting a strengths-based approach enhances wellbeing through the development of hope (</w:t>
            </w:r>
            <w:proofErr w:type="spellStart"/>
            <w:r w:rsidRPr="00A90669">
              <w:rPr>
                <w:color w:val="000000" w:themeColor="text1"/>
                <w:sz w:val="24"/>
                <w:szCs w:val="24"/>
              </w:rPr>
              <w:t>Pattoni</w:t>
            </w:r>
            <w:proofErr w:type="spellEnd"/>
            <w:r w:rsidRPr="00A90669">
              <w:rPr>
                <w:color w:val="000000" w:themeColor="text1"/>
                <w:sz w:val="24"/>
                <w:szCs w:val="24"/>
              </w:rPr>
              <w:t xml:space="preserve">, 2012). This is achieved by enabling individuals to look beyond immediate problems, create a climate of optimism and conceptualise a future that motivates them and engenders hope. A skilled practitioner working to increase an individual's recognition and perception of their own strengths and resources has been shown to promote an enhanced sense of well-being (Park and Peterson, 2009). </w:t>
            </w:r>
          </w:p>
          <w:p w14:paraId="151CE5B2" w14:textId="77777777" w:rsidR="003A075E" w:rsidRPr="00A90669" w:rsidRDefault="003A075E" w:rsidP="00C83B72">
            <w:pPr>
              <w:spacing w:line="360" w:lineRule="auto"/>
              <w:jc w:val="both"/>
              <w:rPr>
                <w:color w:val="000000" w:themeColor="text1"/>
                <w:sz w:val="24"/>
                <w:szCs w:val="24"/>
              </w:rPr>
            </w:pPr>
          </w:p>
          <w:p w14:paraId="2C1EA663" w14:textId="77777777" w:rsidR="003A075E" w:rsidRPr="00A90669" w:rsidRDefault="003A075E" w:rsidP="00C83B72">
            <w:pPr>
              <w:spacing w:line="360" w:lineRule="auto"/>
              <w:jc w:val="both"/>
              <w:rPr>
                <w:color w:val="000000" w:themeColor="text1"/>
                <w:sz w:val="24"/>
                <w:szCs w:val="24"/>
              </w:rPr>
            </w:pPr>
            <w:r w:rsidRPr="00A90669">
              <w:rPr>
                <w:color w:val="000000" w:themeColor="text1"/>
                <w:sz w:val="24"/>
                <w:szCs w:val="24"/>
              </w:rPr>
              <w:t xml:space="preserve">Risk can be viewed as the likelihood of significant harm occurring and significant harm in this context can be defined as; neglect, sexual, </w:t>
            </w:r>
            <w:proofErr w:type="gramStart"/>
            <w:r w:rsidRPr="00A90669">
              <w:rPr>
                <w:color w:val="000000" w:themeColor="text1"/>
                <w:sz w:val="24"/>
                <w:szCs w:val="24"/>
              </w:rPr>
              <w:t>physical</w:t>
            </w:r>
            <w:proofErr w:type="gramEnd"/>
            <w:r w:rsidRPr="00A90669">
              <w:rPr>
                <w:color w:val="000000" w:themeColor="text1"/>
                <w:sz w:val="24"/>
                <w:szCs w:val="24"/>
              </w:rPr>
              <w:t xml:space="preserve"> and emotional abuse; the impairment of physical or mental health; the impairment of physical intellectual, emotional, social or behavioural development (Munro, 2011; Wales safeguarding procedures, 2024). Where there are safeguarding concerns that significant harm is likely to occur or significant harm is considered to have occurred all ‘practitioners’ whether paid or unpaid volunteers, have a duty to report (Section 164, SSWBA14). If after initial checks, which would involve ‘seeing the child’, there is reasonable cause to suspect this is true S47 enquiries of the Children Act 1989 must be triggered. This may be single agency or a joint enquiry involving the social service and police (Wales safeguarding procedures, 2024). There is a preventative aspect to the </w:t>
            </w:r>
            <w:proofErr w:type="gramStart"/>
            <w:r w:rsidRPr="00A90669">
              <w:rPr>
                <w:color w:val="000000" w:themeColor="text1"/>
                <w:sz w:val="24"/>
                <w:szCs w:val="24"/>
              </w:rPr>
              <w:t>SSWBA14</w:t>
            </w:r>
            <w:proofErr w:type="gramEnd"/>
            <w:r w:rsidRPr="00A90669">
              <w:rPr>
                <w:color w:val="000000" w:themeColor="text1"/>
                <w:sz w:val="24"/>
                <w:szCs w:val="24"/>
              </w:rPr>
              <w:t xml:space="preserve"> and early intervention is desirable in order to prevent harm from occurring so s47 enquiries can be triggered to allow social services and other agencies to work with families before crisis points are reached. </w:t>
            </w:r>
          </w:p>
          <w:p w14:paraId="06CBFBB5" w14:textId="77777777" w:rsidR="003A075E" w:rsidRPr="00A90669" w:rsidRDefault="003A075E" w:rsidP="00C83B72">
            <w:pPr>
              <w:spacing w:line="360" w:lineRule="auto"/>
              <w:jc w:val="both"/>
              <w:rPr>
                <w:color w:val="000000" w:themeColor="text1"/>
                <w:sz w:val="24"/>
                <w:szCs w:val="24"/>
              </w:rPr>
            </w:pPr>
          </w:p>
          <w:p w14:paraId="2EE1DF29" w14:textId="77777777" w:rsidR="003A075E" w:rsidRPr="00A90669" w:rsidRDefault="003A075E" w:rsidP="00C83B72">
            <w:pPr>
              <w:spacing w:line="360" w:lineRule="auto"/>
              <w:jc w:val="both"/>
              <w:rPr>
                <w:color w:val="000000" w:themeColor="text1"/>
                <w:sz w:val="24"/>
                <w:szCs w:val="24"/>
              </w:rPr>
            </w:pPr>
            <w:r w:rsidRPr="00A90669">
              <w:rPr>
                <w:color w:val="000000" w:themeColor="text1"/>
                <w:sz w:val="24"/>
                <w:szCs w:val="24"/>
              </w:rPr>
              <w:t xml:space="preserve">This reflective case study relates to a disclosure made by child (1) for whom I was the nominated therapeutic social worker for, which involved an allegation of physical harm whilst under the care of foster carer (2). </w:t>
            </w:r>
            <w:proofErr w:type="gramStart"/>
            <w:r w:rsidRPr="00A90669">
              <w:rPr>
                <w:color w:val="000000" w:themeColor="text1"/>
                <w:sz w:val="24"/>
                <w:szCs w:val="24"/>
              </w:rPr>
              <w:t>In order to</w:t>
            </w:r>
            <w:proofErr w:type="gramEnd"/>
            <w:r w:rsidRPr="00A90669">
              <w:rPr>
                <w:color w:val="000000" w:themeColor="text1"/>
                <w:sz w:val="24"/>
                <w:szCs w:val="24"/>
              </w:rPr>
              <w:t xml:space="preserve"> protect the identity of the child and carer involved </w:t>
            </w:r>
            <w:r w:rsidRPr="00A90669">
              <w:rPr>
                <w:color w:val="000000" w:themeColor="text1"/>
                <w:sz w:val="24"/>
                <w:szCs w:val="24"/>
              </w:rPr>
              <w:lastRenderedPageBreak/>
              <w:t xml:space="preserve">in this case study and maintain confidentiality, any identifiable data has been anonymised. Under the GDPR legislation there are protection rights for individuals with respect to personal data collection and processing. The Information Commissioner’s Office has powers to punish any breaches of this legislation. Therefore, any individual identifiers such as names, locations, </w:t>
            </w:r>
            <w:proofErr w:type="gramStart"/>
            <w:r w:rsidRPr="00A90669">
              <w:rPr>
                <w:color w:val="000000" w:themeColor="text1"/>
                <w:sz w:val="24"/>
                <w:szCs w:val="24"/>
              </w:rPr>
              <w:t>ethnicity</w:t>
            </w:r>
            <w:proofErr w:type="gramEnd"/>
            <w:r w:rsidRPr="00A90669">
              <w:rPr>
                <w:color w:val="000000" w:themeColor="text1"/>
                <w:sz w:val="24"/>
                <w:szCs w:val="24"/>
              </w:rPr>
              <w:t xml:space="preserve"> or religious/political opinions will not be disclosed in this piece of work. The child (1) involved in this case report is a female between 10 and 14 years of age and resided with a single female carer (2) under a foster care placement arranged by the private fostering agency for which I work within as a therapeutic social worker. The place of residence is in a semi-detached house in a small town situated in North Wales. The town formerly an industrial heartland for pottery and coal mining between the 17th and 19th centuries. There are some agricultural areas still present in the area. There is a low eligibility for free school meals and both Welsh and English is used to teach within the local schools.</w:t>
            </w:r>
          </w:p>
          <w:p w14:paraId="2A3AEE67" w14:textId="77777777" w:rsidR="003A075E" w:rsidRPr="00A90669" w:rsidRDefault="003A075E" w:rsidP="00C83B72">
            <w:pPr>
              <w:spacing w:line="360" w:lineRule="auto"/>
              <w:jc w:val="both"/>
              <w:rPr>
                <w:color w:val="000000" w:themeColor="text1"/>
                <w:sz w:val="24"/>
                <w:szCs w:val="24"/>
              </w:rPr>
            </w:pPr>
            <w:r w:rsidRPr="00A90669">
              <w:rPr>
                <w:color w:val="000000" w:themeColor="text1"/>
                <w:sz w:val="24"/>
                <w:szCs w:val="24"/>
              </w:rPr>
              <w:t xml:space="preserve">As the nominated therapeutic social worker for 1 and 2, my responsibility is to undertake therapeutic activities with 1 </w:t>
            </w:r>
            <w:proofErr w:type="gramStart"/>
            <w:r w:rsidRPr="00A90669">
              <w:rPr>
                <w:color w:val="000000" w:themeColor="text1"/>
                <w:sz w:val="24"/>
                <w:szCs w:val="24"/>
              </w:rPr>
              <w:t>in order to</w:t>
            </w:r>
            <w:proofErr w:type="gramEnd"/>
            <w:r w:rsidRPr="00A90669">
              <w:rPr>
                <w:color w:val="000000" w:themeColor="text1"/>
                <w:sz w:val="24"/>
                <w:szCs w:val="24"/>
              </w:rPr>
              <w:t xml:space="preserve"> enhance 1’s wellbeing, strengths and resilience to both stabilise the placement and to build resources that will help 1 with future endeavours in life. I was also tasked with providing support to 2 </w:t>
            </w:r>
            <w:proofErr w:type="gramStart"/>
            <w:r w:rsidRPr="00A90669">
              <w:rPr>
                <w:color w:val="000000" w:themeColor="text1"/>
                <w:sz w:val="24"/>
                <w:szCs w:val="24"/>
              </w:rPr>
              <w:t>in order to</w:t>
            </w:r>
            <w:proofErr w:type="gramEnd"/>
            <w:r w:rsidRPr="00A90669">
              <w:rPr>
                <w:color w:val="000000" w:themeColor="text1"/>
                <w:sz w:val="24"/>
                <w:szCs w:val="24"/>
              </w:rPr>
              <w:t xml:space="preserve"> care for 1 using a trauma informed approach. At some point, whilst attending school 1 disclosed information to one of the teachers at the school that 2 had physically strook 1. This allegation was taken seriously and escalated to the schools designated safeguarding person (DSP). This was immediately reported to the foster agency who took action to arrange an emergency respite carer that same day. The DSP also submitted a child protection referral to the LA who led the enquiries into the safeguarding concern. The events that took place here all align with the ‘duty to report’ as mentioned above (Wales Safeguarding procedures, 2024).</w:t>
            </w:r>
          </w:p>
          <w:p w14:paraId="4D13620B" w14:textId="77777777" w:rsidR="003A075E" w:rsidRPr="00A90669" w:rsidRDefault="003A075E" w:rsidP="00C83B72">
            <w:pPr>
              <w:spacing w:line="360" w:lineRule="auto"/>
              <w:jc w:val="both"/>
              <w:rPr>
                <w:color w:val="000000" w:themeColor="text1"/>
                <w:sz w:val="24"/>
                <w:szCs w:val="24"/>
              </w:rPr>
            </w:pPr>
          </w:p>
          <w:p w14:paraId="31D8BC56" w14:textId="77777777" w:rsidR="003A075E" w:rsidRPr="00A90669" w:rsidRDefault="003A075E" w:rsidP="00C83B72">
            <w:pPr>
              <w:spacing w:line="360" w:lineRule="auto"/>
              <w:jc w:val="both"/>
              <w:rPr>
                <w:color w:val="000000" w:themeColor="text1"/>
                <w:sz w:val="24"/>
                <w:szCs w:val="24"/>
              </w:rPr>
            </w:pPr>
            <w:r w:rsidRPr="00A90669">
              <w:rPr>
                <w:color w:val="000000" w:themeColor="text1"/>
                <w:sz w:val="24"/>
                <w:szCs w:val="24"/>
              </w:rPr>
              <w:t xml:space="preserve">At this point in the timeline, I became involved in the events. As 1’s therapeutic social worker I was asked to attend the emergency respite carers house due to 1 becoming distressed and emotionally heightened, following the day’s events. Over time, I had built a strong rapport with 1 and had been asked to attend by the emergency respite carer to help 1 regulate her emotions. It was not appropriate to offer this visit in the Welsh language in line with the Welsh Language Measure (2011) at this time as </w:t>
            </w:r>
            <w:proofErr w:type="gramStart"/>
            <w:r w:rsidRPr="00A90669">
              <w:rPr>
                <w:color w:val="000000" w:themeColor="text1"/>
                <w:sz w:val="24"/>
                <w:szCs w:val="24"/>
              </w:rPr>
              <w:t>all of</w:t>
            </w:r>
            <w:proofErr w:type="gramEnd"/>
            <w:r w:rsidRPr="00A90669">
              <w:rPr>
                <w:color w:val="000000" w:themeColor="text1"/>
                <w:sz w:val="24"/>
                <w:szCs w:val="24"/>
              </w:rPr>
              <w:t xml:space="preserve"> our other interactions had been in English. However, had this been the first visit I would have made an active offer or made provisions </w:t>
            </w:r>
            <w:r w:rsidRPr="00A90669">
              <w:rPr>
                <w:color w:val="000000" w:themeColor="text1"/>
                <w:sz w:val="24"/>
                <w:szCs w:val="24"/>
              </w:rPr>
              <w:lastRenderedPageBreak/>
              <w:t xml:space="preserve">for someone to conduct the visit in Welsh. Up until this point 1 was refusing to seek medical attention </w:t>
            </w:r>
            <w:proofErr w:type="gramStart"/>
            <w:r w:rsidRPr="00A90669">
              <w:rPr>
                <w:color w:val="000000" w:themeColor="text1"/>
                <w:sz w:val="24"/>
                <w:szCs w:val="24"/>
              </w:rPr>
              <w:t>in order to</w:t>
            </w:r>
            <w:proofErr w:type="gramEnd"/>
            <w:r w:rsidRPr="00A90669">
              <w:rPr>
                <w:color w:val="000000" w:themeColor="text1"/>
                <w:sz w:val="24"/>
                <w:szCs w:val="24"/>
              </w:rPr>
              <w:t xml:space="preserve"> assess any injuries that may have occurred. One of my aims during this visit was to provide reassurance and hopefully convince 1 to seek medical attention and be examined in line with the safeguarding procedures for incidents of alleged physical harm.</w:t>
            </w:r>
          </w:p>
          <w:p w14:paraId="13E98D0A" w14:textId="77777777" w:rsidR="003A075E" w:rsidRPr="00A90669" w:rsidRDefault="003A075E" w:rsidP="00C83B72">
            <w:pPr>
              <w:spacing w:line="360" w:lineRule="auto"/>
              <w:jc w:val="both"/>
              <w:rPr>
                <w:color w:val="000000" w:themeColor="text1"/>
                <w:sz w:val="24"/>
                <w:szCs w:val="24"/>
              </w:rPr>
            </w:pPr>
          </w:p>
          <w:p w14:paraId="62BDFDB1" w14:textId="77777777" w:rsidR="003A075E" w:rsidRPr="00A90669" w:rsidRDefault="003A075E" w:rsidP="00C83B72">
            <w:pPr>
              <w:spacing w:line="360" w:lineRule="auto"/>
              <w:jc w:val="both"/>
              <w:rPr>
                <w:color w:val="000000" w:themeColor="text1"/>
                <w:sz w:val="24"/>
                <w:szCs w:val="24"/>
              </w:rPr>
            </w:pPr>
            <w:r w:rsidRPr="00A90669">
              <w:rPr>
                <w:color w:val="000000" w:themeColor="text1"/>
                <w:sz w:val="24"/>
                <w:szCs w:val="24"/>
              </w:rPr>
              <w:t xml:space="preserve">Prior to 1 entering into the child protection system under a full care order in line with s31 of the Children Act (1989), she had been </w:t>
            </w:r>
            <w:proofErr w:type="gramStart"/>
            <w:r w:rsidRPr="00A90669">
              <w:rPr>
                <w:color w:val="000000" w:themeColor="text1"/>
                <w:sz w:val="24"/>
                <w:szCs w:val="24"/>
              </w:rPr>
              <w:t>witness</w:t>
            </w:r>
            <w:proofErr w:type="gramEnd"/>
            <w:r w:rsidRPr="00A90669">
              <w:rPr>
                <w:color w:val="000000" w:themeColor="text1"/>
                <w:sz w:val="24"/>
                <w:szCs w:val="24"/>
              </w:rPr>
              <w:t xml:space="preserve"> to domestic abuse involving her biological parents. Taking a trauma informed approach to my interactions with 1 had always been important from the moment I had started working with her but now it was especially important for several reasons. Firstly, it is recognised that those who experience trauma involving physical harm can often have flashbacks of events in their past, which is triggered by subsequent acts of physical harm, generating a reaction of helplessness and fear (WHO, 2022). Secondly, 1 found herself being under the care of the emergency respite carer and given that she had experienced </w:t>
            </w:r>
            <w:proofErr w:type="gramStart"/>
            <w:r w:rsidRPr="00A90669">
              <w:rPr>
                <w:color w:val="000000" w:themeColor="text1"/>
                <w:sz w:val="24"/>
                <w:szCs w:val="24"/>
              </w:rPr>
              <w:t>a number of</w:t>
            </w:r>
            <w:proofErr w:type="gramEnd"/>
            <w:r w:rsidRPr="00A90669">
              <w:rPr>
                <w:color w:val="000000" w:themeColor="text1"/>
                <w:sz w:val="24"/>
                <w:szCs w:val="24"/>
              </w:rPr>
              <w:t xml:space="preserve"> previous placement breakdowns this would likely have been contributing to a general feeling of unease. Thirdly, it was important that 1 be, in some way, examined to rule out any injuries that could be a threat to her physical wellbeing </w:t>
            </w:r>
            <w:proofErr w:type="gramStart"/>
            <w:r w:rsidRPr="00A90669">
              <w:rPr>
                <w:color w:val="000000" w:themeColor="text1"/>
                <w:sz w:val="24"/>
                <w:szCs w:val="24"/>
              </w:rPr>
              <w:t>and also</w:t>
            </w:r>
            <w:proofErr w:type="gramEnd"/>
            <w:r w:rsidRPr="00A90669">
              <w:rPr>
                <w:color w:val="000000" w:themeColor="text1"/>
                <w:sz w:val="24"/>
                <w:szCs w:val="24"/>
              </w:rPr>
              <w:t xml:space="preserve"> for evidence in the subsequent s47 enquiries. </w:t>
            </w:r>
          </w:p>
          <w:p w14:paraId="3CE7211E" w14:textId="77777777" w:rsidR="003A075E" w:rsidRPr="00A90669" w:rsidRDefault="003A075E" w:rsidP="00C83B72">
            <w:pPr>
              <w:spacing w:line="360" w:lineRule="auto"/>
              <w:jc w:val="both"/>
              <w:rPr>
                <w:color w:val="000000" w:themeColor="text1"/>
                <w:sz w:val="24"/>
                <w:szCs w:val="24"/>
              </w:rPr>
            </w:pPr>
          </w:p>
          <w:p w14:paraId="2DBA4FF6" w14:textId="6CF9F45F" w:rsidR="003A075E" w:rsidRPr="00A90669" w:rsidRDefault="003A075E" w:rsidP="00C83B72">
            <w:pPr>
              <w:spacing w:line="360" w:lineRule="auto"/>
              <w:jc w:val="both"/>
              <w:rPr>
                <w:color w:val="000000" w:themeColor="text1"/>
                <w:sz w:val="24"/>
                <w:szCs w:val="24"/>
              </w:rPr>
            </w:pPr>
            <w:r w:rsidRPr="00A90669">
              <w:rPr>
                <w:color w:val="000000" w:themeColor="text1"/>
                <w:sz w:val="24"/>
                <w:szCs w:val="24"/>
              </w:rPr>
              <w:t xml:space="preserve">A trauma informed approach recognises that past traumas have an impact on psychosocial development and the way an individual develops maladaptive coping strategies, that were once an adaptive response to an environment of trauma. It aims to deliver interactions in a manner that acknowledges the emotional vulnerability of trauma survivors and avoids repeating previous abusive dynamics, instead encouraging a co-operative and helpful relationship. A trauma informed approach counsels a set of central principles </w:t>
            </w:r>
            <w:proofErr w:type="gramStart"/>
            <w:r w:rsidRPr="00A90669">
              <w:rPr>
                <w:color w:val="000000" w:themeColor="text1"/>
                <w:sz w:val="24"/>
                <w:szCs w:val="24"/>
              </w:rPr>
              <w:t>of:</w:t>
            </w:r>
            <w:proofErr w:type="gramEnd"/>
            <w:r w:rsidRPr="00A90669">
              <w:rPr>
                <w:color w:val="000000" w:themeColor="text1"/>
                <w:sz w:val="24"/>
                <w:szCs w:val="24"/>
              </w:rPr>
              <w:t xml:space="preserve"> safety, trust, choice, collaboration, and empowerment. A trauma informed approach is therefore in line with a strengths-based approach that facilitates hearing the voice of the individual and a collaborative working relationship, helping an individual develop new strategies for dealing with crisis moments</w:t>
            </w:r>
            <w:r w:rsidR="00C83B72" w:rsidRPr="00A90669">
              <w:rPr>
                <w:color w:val="000000" w:themeColor="text1"/>
                <w:sz w:val="24"/>
                <w:szCs w:val="24"/>
              </w:rPr>
              <w:t xml:space="preserve"> (Levenson, 2017)</w:t>
            </w:r>
            <w:r w:rsidRPr="00A90669">
              <w:rPr>
                <w:color w:val="000000" w:themeColor="text1"/>
                <w:sz w:val="24"/>
                <w:szCs w:val="24"/>
              </w:rPr>
              <w:t>.</w:t>
            </w:r>
          </w:p>
          <w:p w14:paraId="7A774A2A" w14:textId="77777777" w:rsidR="003A075E" w:rsidRPr="00A90669" w:rsidRDefault="003A075E" w:rsidP="00C83B72">
            <w:pPr>
              <w:spacing w:line="360" w:lineRule="auto"/>
              <w:jc w:val="both"/>
              <w:rPr>
                <w:color w:val="000000" w:themeColor="text1"/>
                <w:sz w:val="24"/>
                <w:szCs w:val="24"/>
              </w:rPr>
            </w:pPr>
          </w:p>
          <w:p w14:paraId="5F9A4FFB" w14:textId="27A4CB66" w:rsidR="003A075E" w:rsidRPr="00A90669" w:rsidRDefault="003A075E" w:rsidP="00C83B72">
            <w:pPr>
              <w:spacing w:line="360" w:lineRule="auto"/>
              <w:jc w:val="both"/>
              <w:rPr>
                <w:color w:val="000000" w:themeColor="text1"/>
                <w:sz w:val="24"/>
                <w:szCs w:val="24"/>
              </w:rPr>
            </w:pPr>
            <w:r w:rsidRPr="00A90669">
              <w:rPr>
                <w:color w:val="000000" w:themeColor="text1"/>
                <w:sz w:val="24"/>
                <w:szCs w:val="24"/>
              </w:rPr>
              <w:t xml:space="preserve">Taking these principles into my interaction with 1 I </w:t>
            </w:r>
            <w:proofErr w:type="gramStart"/>
            <w:r w:rsidRPr="00A90669">
              <w:rPr>
                <w:color w:val="000000" w:themeColor="text1"/>
                <w:sz w:val="24"/>
                <w:szCs w:val="24"/>
              </w:rPr>
              <w:t>took into account</w:t>
            </w:r>
            <w:proofErr w:type="gramEnd"/>
            <w:r w:rsidRPr="00A90669">
              <w:rPr>
                <w:color w:val="000000" w:themeColor="text1"/>
                <w:sz w:val="24"/>
                <w:szCs w:val="24"/>
              </w:rPr>
              <w:t xml:space="preserve"> the environment that we would be having our communication in. The emergency respite carer was somebody that 1 </w:t>
            </w:r>
            <w:r w:rsidRPr="00A90669">
              <w:rPr>
                <w:color w:val="000000" w:themeColor="text1"/>
                <w:sz w:val="24"/>
                <w:szCs w:val="24"/>
              </w:rPr>
              <w:lastRenderedPageBreak/>
              <w:t>felt safe around and they had a positive trusting relationship, having previously been with them on respite care and so having the interaction in the living room with the carer present was a positive therapeutic environment. Knowing from previous interactions with 1 that she responded well to light humour, I decided to use this as a way of bringing her down from a heightened emotional state. She responded well and after reassuring 1 that she would not be returning into the care of 2 and that if she wrote a list of her things to bring to this new placement that I would bring them to her tomorrow, she started to feel more comfortable and to settle down. I then explored why 1 did not want to be medically examined for any injuries and explained that it was her choice whether to be examined or not</w:t>
            </w:r>
            <w:r w:rsidR="00C83B72" w:rsidRPr="00A90669">
              <w:rPr>
                <w:color w:val="000000" w:themeColor="text1"/>
                <w:sz w:val="24"/>
                <w:szCs w:val="24"/>
              </w:rPr>
              <w:t xml:space="preserve"> (Wales Safeguarding Procedures, 2024)</w:t>
            </w:r>
            <w:r w:rsidRPr="00A90669">
              <w:rPr>
                <w:color w:val="000000" w:themeColor="text1"/>
                <w:sz w:val="24"/>
                <w:szCs w:val="24"/>
              </w:rPr>
              <w:t>. She declined to be examined in a medical setting but did consent to being checked over for injuries by myself and the emergency respite carer. There appeared to be no tender points or markings on 1, there were however, superficial self-harming marks on 1’s arms which I was already aware of and had shared with 1’s local authority social worker through our agencies significant incident reporting system. </w:t>
            </w:r>
          </w:p>
          <w:p w14:paraId="1BC33640" w14:textId="77777777" w:rsidR="003A075E" w:rsidRPr="00A90669" w:rsidRDefault="003A075E" w:rsidP="00C83B72">
            <w:pPr>
              <w:spacing w:line="360" w:lineRule="auto"/>
              <w:jc w:val="both"/>
              <w:rPr>
                <w:color w:val="000000" w:themeColor="text1"/>
                <w:sz w:val="24"/>
                <w:szCs w:val="24"/>
              </w:rPr>
            </w:pPr>
          </w:p>
          <w:p w14:paraId="3DFB3231" w14:textId="77777777" w:rsidR="003A075E" w:rsidRPr="00A90669" w:rsidRDefault="003A075E" w:rsidP="00C83B72">
            <w:pPr>
              <w:spacing w:line="360" w:lineRule="auto"/>
              <w:jc w:val="both"/>
              <w:rPr>
                <w:color w:val="000000" w:themeColor="text1"/>
                <w:sz w:val="24"/>
                <w:szCs w:val="24"/>
              </w:rPr>
            </w:pPr>
            <w:r w:rsidRPr="00A90669">
              <w:rPr>
                <w:color w:val="000000" w:themeColor="text1"/>
                <w:sz w:val="24"/>
                <w:szCs w:val="24"/>
              </w:rPr>
              <w:t xml:space="preserve">Without prompting, 1 started to divulge details surrounding the allegation of 2 physically striking her. I recognised here that it was important not to interrupt 1 and not introduce any element of suggestibility by asking leading or closed questions. Research around the suggestibility of children during an interview acknowledges that children can </w:t>
            </w:r>
            <w:proofErr w:type="gramStart"/>
            <w:r w:rsidRPr="00A90669">
              <w:rPr>
                <w:color w:val="000000" w:themeColor="text1"/>
                <w:sz w:val="24"/>
                <w:szCs w:val="24"/>
              </w:rPr>
              <w:t>have a tendency to</w:t>
            </w:r>
            <w:proofErr w:type="gramEnd"/>
            <w:r w:rsidRPr="00A90669">
              <w:rPr>
                <w:color w:val="000000" w:themeColor="text1"/>
                <w:sz w:val="24"/>
                <w:szCs w:val="24"/>
              </w:rPr>
              <w:t xml:space="preserve"> ‘fill in the gaps’ or provide false information if certain interview techniques are used. A suggestive or leading questioning style might add in information not previously mentioned by the child before, insert negatives into the question or make it difficult for the child to disagree (</w:t>
            </w:r>
            <w:proofErr w:type="spellStart"/>
            <w:r w:rsidRPr="00A90669">
              <w:rPr>
                <w:color w:val="000000" w:themeColor="text1"/>
                <w:sz w:val="24"/>
                <w:szCs w:val="24"/>
              </w:rPr>
              <w:t>Saywitz</w:t>
            </w:r>
            <w:proofErr w:type="spellEnd"/>
            <w:r w:rsidRPr="00A90669">
              <w:rPr>
                <w:color w:val="000000" w:themeColor="text1"/>
                <w:sz w:val="24"/>
                <w:szCs w:val="24"/>
              </w:rPr>
              <w:t xml:space="preserve"> et al, 2015). A closed questioning style such as ‘did he/she hit you?’ is particularly leading and forces the child into a yes/no response, which can predispose the child to reach for an answer to a question that they may not have an answer for. In contrast an open questioning style such as ‘what did she/he do with their hands?’ is more likely to lead to a child to say ‘I don’t know’ if they do not have an answer to the question (Lamb et al., 2003). Adopting a narrative style to the interaction with open ended questions such as ‘what happened?’ avoids any preconceptions and the embedding of any misleading information into the interview. The child does more of the talking and the interviewer does more listening when engaging with this approach, whilst supporting what is being said and viewing the individual </w:t>
            </w:r>
            <w:r w:rsidRPr="00A90669">
              <w:rPr>
                <w:color w:val="000000" w:themeColor="text1"/>
                <w:sz w:val="24"/>
                <w:szCs w:val="24"/>
              </w:rPr>
              <w:lastRenderedPageBreak/>
              <w:t>as the expert of their narrative (MacDermott and Harkin-MacDermott, 2019). This approach enables the child to tap freely into their recall rather than forcing them to rely on recognition memory (Lamb, 2008). Another aspect of this that I reflected on after the event with 1, is that the accuracy of a memory for a stressful event is directly impacted in children with avoidant or anxious attachment styles (Alexander et al. 2002). </w:t>
            </w:r>
          </w:p>
          <w:p w14:paraId="106B6C9C" w14:textId="77777777" w:rsidR="003A075E" w:rsidRPr="00A90669" w:rsidRDefault="003A075E" w:rsidP="00C83B72">
            <w:pPr>
              <w:spacing w:line="360" w:lineRule="auto"/>
              <w:jc w:val="both"/>
              <w:rPr>
                <w:color w:val="000000" w:themeColor="text1"/>
                <w:sz w:val="24"/>
                <w:szCs w:val="24"/>
              </w:rPr>
            </w:pPr>
          </w:p>
          <w:p w14:paraId="68C14BC1" w14:textId="77777777" w:rsidR="003A075E" w:rsidRPr="00A90669" w:rsidRDefault="003A075E" w:rsidP="00C83B72">
            <w:pPr>
              <w:spacing w:line="360" w:lineRule="auto"/>
              <w:jc w:val="both"/>
              <w:rPr>
                <w:color w:val="000000" w:themeColor="text1"/>
                <w:sz w:val="24"/>
                <w:szCs w:val="24"/>
              </w:rPr>
            </w:pPr>
            <w:r w:rsidRPr="00A90669">
              <w:rPr>
                <w:color w:val="000000" w:themeColor="text1"/>
                <w:sz w:val="24"/>
                <w:szCs w:val="24"/>
              </w:rPr>
              <w:t xml:space="preserve">After leaving the home and getting into my car I recorded some more notes about the things 1 and I had discussed so that I could write an accurate record the following day. Good record keeping is instrumental especially in safeguarding enquiries and so I took care to write down some of the key things that 1 had said word for word, keeping in mind that the record stay as objective as possible. The following day I wrote an accurate account including date, time, </w:t>
            </w:r>
            <w:proofErr w:type="gramStart"/>
            <w:r w:rsidRPr="00A90669">
              <w:rPr>
                <w:color w:val="000000" w:themeColor="text1"/>
                <w:sz w:val="24"/>
                <w:szCs w:val="24"/>
              </w:rPr>
              <w:t>location</w:t>
            </w:r>
            <w:proofErr w:type="gramEnd"/>
            <w:r w:rsidRPr="00A90669">
              <w:rPr>
                <w:color w:val="000000" w:themeColor="text1"/>
                <w:sz w:val="24"/>
                <w:szCs w:val="24"/>
              </w:rPr>
              <w:t xml:space="preserve"> and the persons present (CoPP 6.2: Social Care Wales, 2017). The importance of producing this record was that when serious allegations like these are made it is key to have an accurate record of the child’s version of events </w:t>
            </w:r>
            <w:proofErr w:type="gramStart"/>
            <w:r w:rsidRPr="00A90669">
              <w:rPr>
                <w:color w:val="000000" w:themeColor="text1"/>
                <w:sz w:val="24"/>
                <w:szCs w:val="24"/>
              </w:rPr>
              <w:t>and also</w:t>
            </w:r>
            <w:proofErr w:type="gramEnd"/>
            <w:r w:rsidRPr="00A90669">
              <w:rPr>
                <w:color w:val="000000" w:themeColor="text1"/>
                <w:sz w:val="24"/>
                <w:szCs w:val="24"/>
              </w:rPr>
              <w:t xml:space="preserve"> an understanding of their perspective so that their thoughts, feelings and wishes are represented in any further proceedings. There were several different accounts of the event that took place shared by 1 depending on who 1 spoke to. The versions shared were similar but with small adjustments and previous experience from working with 1 highlighted that she did not always give every aspect of an event with any one professional. Therefore, this record was also important so that all members of the MDT who were involved in the strategy meetings could have a clearer overall picture of the circumstances around the case and come to an informed decision. </w:t>
            </w:r>
          </w:p>
          <w:p w14:paraId="5A840FAA" w14:textId="77777777" w:rsidR="003A075E" w:rsidRPr="00A90669" w:rsidRDefault="003A075E" w:rsidP="00C83B72">
            <w:pPr>
              <w:spacing w:line="360" w:lineRule="auto"/>
              <w:jc w:val="both"/>
              <w:rPr>
                <w:color w:val="000000" w:themeColor="text1"/>
                <w:sz w:val="24"/>
                <w:szCs w:val="24"/>
              </w:rPr>
            </w:pPr>
            <w:r w:rsidRPr="00A90669">
              <w:rPr>
                <w:color w:val="000000" w:themeColor="text1"/>
                <w:sz w:val="24"/>
                <w:szCs w:val="24"/>
              </w:rPr>
              <w:t xml:space="preserve">The local authority led the s47 enquiries into the incident, having discussions with all the relevant parties including 1, 2, members of the social work team from the fostering agency </w:t>
            </w:r>
            <w:proofErr w:type="gramStart"/>
            <w:r w:rsidRPr="00A90669">
              <w:rPr>
                <w:color w:val="000000" w:themeColor="text1"/>
                <w:sz w:val="24"/>
                <w:szCs w:val="24"/>
              </w:rPr>
              <w:t>and also</w:t>
            </w:r>
            <w:proofErr w:type="gramEnd"/>
            <w:r w:rsidRPr="00A90669">
              <w:rPr>
                <w:color w:val="000000" w:themeColor="text1"/>
                <w:sz w:val="24"/>
                <w:szCs w:val="24"/>
              </w:rPr>
              <w:t xml:space="preserve"> notifying the police of the incident. Following this, </w:t>
            </w:r>
            <w:proofErr w:type="gramStart"/>
            <w:r w:rsidRPr="00A90669">
              <w:rPr>
                <w:color w:val="000000" w:themeColor="text1"/>
                <w:sz w:val="24"/>
                <w:szCs w:val="24"/>
              </w:rPr>
              <w:t>a</w:t>
            </w:r>
            <w:proofErr w:type="gramEnd"/>
            <w:r w:rsidRPr="00A90669">
              <w:rPr>
                <w:color w:val="000000" w:themeColor="text1"/>
                <w:sz w:val="24"/>
                <w:szCs w:val="24"/>
              </w:rPr>
              <w:t xml:space="preserve"> MDT strategy meeting took place to discuss the next steps and a plan was made for the police to speak with 1 about the safeguarding incident and to assign a local authority Designated Officer for Safeguarding (DOS). Unfortunately, 1 declined to discuss the incident with the police stating a lack of trust in the police.</w:t>
            </w:r>
          </w:p>
          <w:p w14:paraId="29B7AC5B" w14:textId="77777777" w:rsidR="003A075E" w:rsidRPr="00A90669" w:rsidRDefault="003A075E" w:rsidP="00C83B72">
            <w:pPr>
              <w:spacing w:line="360" w:lineRule="auto"/>
              <w:jc w:val="both"/>
              <w:rPr>
                <w:color w:val="000000" w:themeColor="text1"/>
                <w:sz w:val="24"/>
                <w:szCs w:val="24"/>
              </w:rPr>
            </w:pPr>
          </w:p>
          <w:p w14:paraId="1759E3D2" w14:textId="77777777" w:rsidR="003A075E" w:rsidRPr="00A90669" w:rsidRDefault="003A075E" w:rsidP="00C83B72">
            <w:pPr>
              <w:spacing w:line="360" w:lineRule="auto"/>
              <w:jc w:val="both"/>
              <w:rPr>
                <w:color w:val="000000" w:themeColor="text1"/>
                <w:sz w:val="24"/>
                <w:szCs w:val="24"/>
              </w:rPr>
            </w:pPr>
            <w:r w:rsidRPr="00A90669">
              <w:rPr>
                <w:color w:val="000000" w:themeColor="text1"/>
                <w:sz w:val="24"/>
                <w:szCs w:val="24"/>
              </w:rPr>
              <w:t xml:space="preserve">A DOS is a senior manager accountable for safeguarding who works within the local authority and is responsible for co-ordinating the response to allegations of harm, made against any </w:t>
            </w:r>
            <w:r w:rsidRPr="00A90669">
              <w:rPr>
                <w:color w:val="000000" w:themeColor="text1"/>
                <w:sz w:val="24"/>
                <w:szCs w:val="24"/>
              </w:rPr>
              <w:lastRenderedPageBreak/>
              <w:t>professional or person in a position of trust who works with children. The DOS works alongside other services such as the police and social care teams where needed and ensures a fair and consistent approach for both the child and adult. The DOS is also someone who decides on when strategy meetings should be called with relevant partners and is also responsible for forming the response and notifying the individual under investigation of the outcome (Wales safeguarding procedures, 2024). In contrast to the English local authority designated officer a Welsh DOS may also be someone who has an extended role to include safeguarding adults at risk (Ann Craft Trust, 2022). In this case there were two DOS led meetings to co-ordinate the response to the allegations and 2 agreed to a voluntary interview with the police regarding the allegations.</w:t>
            </w:r>
          </w:p>
          <w:p w14:paraId="08243029" w14:textId="77777777" w:rsidR="003A075E" w:rsidRPr="00A90669" w:rsidRDefault="003A075E" w:rsidP="00C83B72">
            <w:pPr>
              <w:spacing w:line="360" w:lineRule="auto"/>
              <w:jc w:val="both"/>
              <w:rPr>
                <w:color w:val="000000" w:themeColor="text1"/>
                <w:sz w:val="24"/>
                <w:szCs w:val="24"/>
              </w:rPr>
            </w:pPr>
          </w:p>
          <w:p w14:paraId="6E85BAD0" w14:textId="77777777" w:rsidR="003A075E" w:rsidRPr="00A90669" w:rsidRDefault="003A075E" w:rsidP="00C83B72">
            <w:pPr>
              <w:spacing w:line="360" w:lineRule="auto"/>
              <w:jc w:val="both"/>
              <w:rPr>
                <w:color w:val="000000" w:themeColor="text1"/>
                <w:sz w:val="24"/>
                <w:szCs w:val="24"/>
              </w:rPr>
            </w:pPr>
            <w:r w:rsidRPr="00A90669">
              <w:rPr>
                <w:color w:val="000000" w:themeColor="text1"/>
                <w:sz w:val="24"/>
                <w:szCs w:val="24"/>
              </w:rPr>
              <w:t>Care Inspectorate Wales (CIW) is the regulator for independent fostering agencies and performs various functions which includes; monitoring and acting upon safeguarding concerns; checking that registered care providers have effective safeguarding systems and processes in place; speaking with children who use services to understand their perspectives on care and identify safeguarding concerns; taking regulatory action against providers to ensure that any deficiencies in safeguarding arrangements are rectified (CIW, 2021). As the fostering agency responsible for the care arrangements of 1, a self-reported disclosure about the safeguarding concerns for 1 was submitted to the CIW.</w:t>
            </w:r>
          </w:p>
          <w:p w14:paraId="414F32B8" w14:textId="77777777" w:rsidR="003A075E" w:rsidRPr="00A90669" w:rsidRDefault="003A075E" w:rsidP="00C83B72">
            <w:pPr>
              <w:spacing w:line="360" w:lineRule="auto"/>
              <w:jc w:val="both"/>
              <w:rPr>
                <w:color w:val="000000" w:themeColor="text1"/>
                <w:sz w:val="24"/>
                <w:szCs w:val="24"/>
              </w:rPr>
            </w:pPr>
          </w:p>
          <w:p w14:paraId="1B5CC15D" w14:textId="77777777" w:rsidR="003A075E" w:rsidRPr="00A90669" w:rsidRDefault="003A075E" w:rsidP="00C83B72">
            <w:pPr>
              <w:spacing w:line="360" w:lineRule="auto"/>
              <w:jc w:val="both"/>
              <w:rPr>
                <w:color w:val="000000" w:themeColor="text1"/>
                <w:sz w:val="24"/>
                <w:szCs w:val="24"/>
              </w:rPr>
            </w:pPr>
            <w:r w:rsidRPr="00A90669">
              <w:rPr>
                <w:color w:val="000000" w:themeColor="text1"/>
                <w:sz w:val="24"/>
                <w:szCs w:val="24"/>
              </w:rPr>
              <w:t xml:space="preserve">It is useful to further reflect on 1’s journey through the social care system to better understand 1’s response to authority figures and the power dynamics at play as they influence the way children react in these situations. As is often the case with children in the social care system, 1 was exposed to several Adverse childhood experiences (ACEs) from an early age. Apart from the previously mentioned adverse experiences at the hands of her parents, 1 disclosed to having been sexually abused along with her sister by one of her other siblings at an early age. This was investigated by the authorities at the time but were unable to substantiate the claims and was told by authorities that nothing could be done. After finding herself in care, 1 went through numerous placement breakdowns and has endured many periods of instability. Reflecting on this it is easy to see that the cumulative trauma that 1 has experienced is significant and sobering. This unfortunately is not an uncommon picture for children in care. </w:t>
            </w:r>
          </w:p>
          <w:p w14:paraId="451FCFD2" w14:textId="77777777" w:rsidR="003A075E" w:rsidRPr="00A90669" w:rsidRDefault="003A075E" w:rsidP="00C83B72">
            <w:pPr>
              <w:spacing w:line="360" w:lineRule="auto"/>
              <w:jc w:val="both"/>
              <w:rPr>
                <w:color w:val="000000" w:themeColor="text1"/>
                <w:sz w:val="24"/>
                <w:szCs w:val="24"/>
              </w:rPr>
            </w:pPr>
          </w:p>
          <w:p w14:paraId="5072D3BE" w14:textId="77777777" w:rsidR="003A075E" w:rsidRPr="00A90669" w:rsidRDefault="003A075E" w:rsidP="00C83B72">
            <w:pPr>
              <w:spacing w:line="360" w:lineRule="auto"/>
              <w:jc w:val="both"/>
              <w:rPr>
                <w:color w:val="000000" w:themeColor="text1"/>
                <w:sz w:val="24"/>
                <w:szCs w:val="24"/>
                <w:shd w:val="clear" w:color="auto" w:fill="FFFFFF"/>
              </w:rPr>
            </w:pPr>
            <w:r w:rsidRPr="00A90669">
              <w:rPr>
                <w:color w:val="000000" w:themeColor="text1"/>
                <w:sz w:val="24"/>
                <w:szCs w:val="24"/>
              </w:rPr>
              <w:t xml:space="preserve">The original 10 ACEs </w:t>
            </w:r>
            <w:proofErr w:type="gramStart"/>
            <w:r w:rsidRPr="00A90669">
              <w:rPr>
                <w:color w:val="000000" w:themeColor="text1"/>
                <w:sz w:val="24"/>
                <w:szCs w:val="24"/>
              </w:rPr>
              <w:t>are;</w:t>
            </w:r>
            <w:proofErr w:type="gramEnd"/>
            <w:r w:rsidRPr="00A90669">
              <w:rPr>
                <w:color w:val="000000" w:themeColor="text1"/>
                <w:sz w:val="24"/>
                <w:szCs w:val="24"/>
              </w:rPr>
              <w:t xml:space="preserve"> </w:t>
            </w:r>
            <w:r w:rsidRPr="00A90669">
              <w:rPr>
                <w:sz w:val="24"/>
                <w:szCs w:val="24"/>
              </w:rPr>
              <w:t>physical abuse, sexual abuse, psychological abuse, physical neglect, psychological neglect, witnessing domestic abuse, having a close family member who misused drugs or alcohol, having a close family member with mental health problems, having a close family member who served time in prison, parental separation or divorce on account of relationship breakdown.</w:t>
            </w:r>
            <w:r w:rsidRPr="00A90669">
              <w:rPr>
                <w:color w:val="000000" w:themeColor="text1"/>
                <w:sz w:val="24"/>
                <w:szCs w:val="24"/>
              </w:rPr>
              <w:t xml:space="preserve"> ACEs are understood to be a set of traumatic events or circumstances that occur before an individual reaches their 18</w:t>
            </w:r>
            <w:r w:rsidRPr="00A90669">
              <w:rPr>
                <w:color w:val="000000" w:themeColor="text1"/>
                <w:sz w:val="24"/>
                <w:szCs w:val="24"/>
                <w:vertAlign w:val="superscript"/>
              </w:rPr>
              <w:t>th</w:t>
            </w:r>
            <w:r w:rsidRPr="00A90669">
              <w:rPr>
                <w:color w:val="000000" w:themeColor="text1"/>
                <w:sz w:val="24"/>
                <w:szCs w:val="24"/>
              </w:rPr>
              <w:t xml:space="preserve"> birthday and have been evidenced to increase the risk of mental health problems, </w:t>
            </w:r>
            <w:proofErr w:type="gramStart"/>
            <w:r w:rsidRPr="00A90669">
              <w:rPr>
                <w:color w:val="000000" w:themeColor="text1"/>
                <w:sz w:val="24"/>
                <w:szCs w:val="24"/>
              </w:rPr>
              <w:t>disease</w:t>
            </w:r>
            <w:proofErr w:type="gramEnd"/>
            <w:r w:rsidRPr="00A90669">
              <w:rPr>
                <w:color w:val="000000" w:themeColor="text1"/>
                <w:sz w:val="24"/>
                <w:szCs w:val="24"/>
              </w:rPr>
              <w:t xml:space="preserve"> and overall poorer outcomes across the life course. (</w:t>
            </w:r>
            <w:proofErr w:type="spellStart"/>
            <w:r w:rsidRPr="00A90669">
              <w:rPr>
                <w:color w:val="000000" w:themeColor="text1"/>
                <w:sz w:val="24"/>
                <w:szCs w:val="24"/>
                <w:shd w:val="clear" w:color="auto" w:fill="FFFFFF"/>
              </w:rPr>
              <w:t>Assmusen</w:t>
            </w:r>
            <w:proofErr w:type="spellEnd"/>
            <w:r w:rsidRPr="00A90669">
              <w:rPr>
                <w:color w:val="000000" w:themeColor="text1"/>
                <w:sz w:val="24"/>
                <w:szCs w:val="24"/>
                <w:shd w:val="clear" w:color="auto" w:fill="FFFFFF"/>
              </w:rPr>
              <w:t xml:space="preserve"> et al., 2020). For this reason, ACEs have dominated public debate in the UK and the US, about how frontline services and individual practitioners can respond to and prevent the conditions which contribute to them. There has been a subsequent increase in investment into service provision to prevent ACEs. In Wales, the negative impact of ACEs has been recognised by policy makers, who have made it a priority to tackle them. The </w:t>
            </w:r>
            <w:r w:rsidRPr="00A90669">
              <w:rPr>
                <w:sz w:val="24"/>
                <w:szCs w:val="24"/>
              </w:rPr>
              <w:t>‘Taking Wales Forward’ (Welsh government, 2016) and ‘Prosperity for All: the national strategy’ (Welsh government, 2017)</w:t>
            </w:r>
            <w:r w:rsidRPr="00A90669">
              <w:rPr>
                <w:color w:val="000000" w:themeColor="text1"/>
                <w:sz w:val="24"/>
                <w:szCs w:val="24"/>
                <w:shd w:val="clear" w:color="auto" w:fill="FFFFFF"/>
              </w:rPr>
              <w:t xml:space="preserve"> signalled intent to focus on the prevention of ACEs and to integrate sympathetic responses and trauma informed support to those who have already experienced them. </w:t>
            </w:r>
          </w:p>
          <w:p w14:paraId="75CFBBF6" w14:textId="77777777" w:rsidR="003A075E" w:rsidRPr="00A90669" w:rsidRDefault="003A075E" w:rsidP="00C83B72">
            <w:pPr>
              <w:spacing w:line="360" w:lineRule="auto"/>
              <w:jc w:val="both"/>
              <w:rPr>
                <w:color w:val="000000" w:themeColor="text1"/>
                <w:sz w:val="24"/>
                <w:szCs w:val="24"/>
                <w:shd w:val="clear" w:color="auto" w:fill="FFFFFF"/>
              </w:rPr>
            </w:pPr>
          </w:p>
          <w:p w14:paraId="6031FA63" w14:textId="3F3F234D" w:rsidR="003A075E" w:rsidRPr="00A90669" w:rsidRDefault="003A075E" w:rsidP="00C83B72">
            <w:pPr>
              <w:spacing w:line="360" w:lineRule="auto"/>
              <w:jc w:val="both"/>
              <w:rPr>
                <w:color w:val="000000" w:themeColor="text1"/>
                <w:sz w:val="24"/>
                <w:szCs w:val="24"/>
                <w:shd w:val="clear" w:color="auto" w:fill="FFFFFF"/>
              </w:rPr>
            </w:pPr>
            <w:r w:rsidRPr="00A90669">
              <w:rPr>
                <w:color w:val="000000" w:themeColor="text1"/>
                <w:sz w:val="24"/>
                <w:szCs w:val="24"/>
                <w:shd w:val="clear" w:color="auto" w:fill="FFFFFF"/>
              </w:rPr>
              <w:t xml:space="preserve">ACEs have been found to lead an increased likelihood that an individual will develop an avoidant </w:t>
            </w:r>
            <w:r w:rsidRPr="00A90669">
              <w:rPr>
                <w:color w:val="000000" w:themeColor="text1"/>
                <w:sz w:val="24"/>
                <w:szCs w:val="24"/>
              </w:rPr>
              <w:t xml:space="preserve">or anxious attachment styles, that are adaptive in abusive environments but problematic in the formation of new relationships. (Howard et al., 2023, Waldinger et al, 2001). </w:t>
            </w:r>
            <w:r w:rsidRPr="00A90669">
              <w:rPr>
                <w:color w:val="000000" w:themeColor="text1"/>
                <w:sz w:val="24"/>
                <w:szCs w:val="24"/>
                <w:shd w:val="clear" w:color="auto" w:fill="FFFFFF"/>
              </w:rPr>
              <w:t xml:space="preserve">The impact of poor caregiving on attachment style is formed early, long </w:t>
            </w:r>
            <w:proofErr w:type="gramStart"/>
            <w:r w:rsidRPr="00A90669">
              <w:rPr>
                <w:color w:val="000000" w:themeColor="text1"/>
                <w:sz w:val="24"/>
                <w:szCs w:val="24"/>
                <w:shd w:val="clear" w:color="auto" w:fill="FFFFFF"/>
              </w:rPr>
              <w:t>lasting</w:t>
            </w:r>
            <w:proofErr w:type="gramEnd"/>
            <w:r w:rsidRPr="00A90669">
              <w:rPr>
                <w:color w:val="000000" w:themeColor="text1"/>
                <w:sz w:val="24"/>
                <w:szCs w:val="24"/>
                <w:shd w:val="clear" w:color="auto" w:fill="FFFFFF"/>
              </w:rPr>
              <w:t xml:space="preserve"> and frequently carried forward into new relationships (Howe, 2006). It has long been established that if new caregivers do not recognise or understand these deep-set issues and the child experiences difficulties within relationships, this can lead to a repeated cycle of rejection through placement moves and disrupted relationships (Henry, 1974). </w:t>
            </w:r>
            <w:r w:rsidRPr="00A90669">
              <w:rPr>
                <w:color w:val="000000" w:themeColor="text1"/>
                <w:sz w:val="24"/>
                <w:szCs w:val="24"/>
              </w:rPr>
              <w:t xml:space="preserve">As a social worker, it is also important to understand the perspective that services can be oppressive or viewed as oppressive and marginalised individuals can feel powerless and develop a mistrust of authority figures. Therefore, instead of viewing the reaction of individuals who have suffered traumas as hostility or a lack of motivation, social workers should view this as a normal protective response when the individual feels helpless, </w:t>
            </w:r>
            <w:proofErr w:type="gramStart"/>
            <w:r w:rsidRPr="00A90669">
              <w:rPr>
                <w:color w:val="000000" w:themeColor="text1"/>
                <w:sz w:val="24"/>
                <w:szCs w:val="24"/>
              </w:rPr>
              <w:t>vulnerable</w:t>
            </w:r>
            <w:proofErr w:type="gramEnd"/>
            <w:r w:rsidRPr="00A90669">
              <w:rPr>
                <w:color w:val="000000" w:themeColor="text1"/>
                <w:sz w:val="24"/>
                <w:szCs w:val="24"/>
              </w:rPr>
              <w:t xml:space="preserve"> or threatened (Levinson, 2017). Taking </w:t>
            </w:r>
            <w:proofErr w:type="gramStart"/>
            <w:r w:rsidRPr="00A90669">
              <w:rPr>
                <w:color w:val="000000" w:themeColor="text1"/>
                <w:sz w:val="24"/>
                <w:szCs w:val="24"/>
              </w:rPr>
              <w:t xml:space="preserve">this as a </w:t>
            </w:r>
            <w:r w:rsidRPr="00A90669">
              <w:rPr>
                <w:color w:val="000000" w:themeColor="text1"/>
                <w:sz w:val="24"/>
                <w:szCs w:val="24"/>
              </w:rPr>
              <w:lastRenderedPageBreak/>
              <w:t>whole, a</w:t>
            </w:r>
            <w:proofErr w:type="gramEnd"/>
            <w:r w:rsidRPr="00A90669">
              <w:rPr>
                <w:color w:val="000000" w:themeColor="text1"/>
                <w:sz w:val="24"/>
                <w:szCs w:val="24"/>
              </w:rPr>
              <w:t xml:space="preserve"> common theme of being let down and mistrust of services and caregivers runs throughout and is easy to see how 1 reacted as she did to all of the aforementioned events.   </w:t>
            </w:r>
          </w:p>
          <w:p w14:paraId="785F840C" w14:textId="77777777" w:rsidR="003A075E" w:rsidRPr="00A90669" w:rsidRDefault="003A075E" w:rsidP="00C83B72">
            <w:pPr>
              <w:spacing w:line="360" w:lineRule="auto"/>
              <w:jc w:val="both"/>
              <w:rPr>
                <w:color w:val="000000" w:themeColor="text1"/>
                <w:sz w:val="24"/>
                <w:szCs w:val="24"/>
                <w:shd w:val="clear" w:color="auto" w:fill="FFFFFF"/>
              </w:rPr>
            </w:pPr>
            <w:proofErr w:type="spellStart"/>
            <w:r w:rsidRPr="00A90669">
              <w:rPr>
                <w:color w:val="000000" w:themeColor="text1"/>
                <w:sz w:val="24"/>
                <w:szCs w:val="24"/>
                <w:shd w:val="clear" w:color="auto" w:fill="FFFFFF"/>
              </w:rPr>
              <w:t>Assmusen</w:t>
            </w:r>
            <w:proofErr w:type="spellEnd"/>
            <w:r w:rsidRPr="00A90669">
              <w:rPr>
                <w:color w:val="000000" w:themeColor="text1"/>
                <w:sz w:val="24"/>
                <w:szCs w:val="24"/>
                <w:shd w:val="clear" w:color="auto" w:fill="FFFFFF"/>
              </w:rPr>
              <w:t xml:space="preserve"> et al. (2020) review of 33 interventional styles found that, trust is the recurrent core feature of effective interventions between practitioners and those who have experienced ACEs. This is due to trust being essential for an individual feeling safe and motivated enough to share the challenging emotions associated with ACEs. </w:t>
            </w:r>
            <w:proofErr w:type="spellStart"/>
            <w:r w:rsidRPr="00A90669">
              <w:rPr>
                <w:sz w:val="24"/>
                <w:szCs w:val="24"/>
              </w:rPr>
              <w:t>Kazdin</w:t>
            </w:r>
            <w:proofErr w:type="spellEnd"/>
            <w:r w:rsidRPr="00A90669">
              <w:rPr>
                <w:sz w:val="24"/>
                <w:szCs w:val="24"/>
              </w:rPr>
              <w:t xml:space="preserve"> &amp; McWhinney (2018) highlight the challenge in gaining the trust who have a deeply embedded mistrust of other due to their experience of multiple ACEs. They suggest that high levels of practitioner skill and necessary amounts of time are needed to gain the trust of individuals and support them to stay driven to work through challenging emotions and issues. The skill of a practitioner is in part determined by prior experience and qualifications. </w:t>
            </w:r>
            <w:r w:rsidRPr="00A90669">
              <w:rPr>
                <w:color w:val="000000" w:themeColor="text1"/>
                <w:sz w:val="24"/>
                <w:szCs w:val="24"/>
                <w:shd w:val="clear" w:color="auto" w:fill="FFFFFF"/>
              </w:rPr>
              <w:t xml:space="preserve">Going forwards, I intend to take my enhanced knowledge of ACEs, attachment and trauma informed care into </w:t>
            </w:r>
            <w:proofErr w:type="gramStart"/>
            <w:r w:rsidRPr="00A90669">
              <w:rPr>
                <w:color w:val="000000" w:themeColor="text1"/>
                <w:sz w:val="24"/>
                <w:szCs w:val="24"/>
                <w:shd w:val="clear" w:color="auto" w:fill="FFFFFF"/>
              </w:rPr>
              <w:t>each and every</w:t>
            </w:r>
            <w:proofErr w:type="gramEnd"/>
            <w:r w:rsidRPr="00A90669">
              <w:rPr>
                <w:color w:val="000000" w:themeColor="text1"/>
                <w:sz w:val="24"/>
                <w:szCs w:val="24"/>
                <w:shd w:val="clear" w:color="auto" w:fill="FFFFFF"/>
              </w:rPr>
              <w:t xml:space="preserve"> interaction with an explicit aim to build the kind of trusting relationship that facilitates effective intervention and provides better outcomes. I feel that being adept at building trust is especially important, given that I will soon be a life story work approved practitioner and will be dealing with challenging emotions from a child’s past.</w:t>
            </w:r>
          </w:p>
          <w:p w14:paraId="2F4452EA" w14:textId="77777777" w:rsidR="003A075E" w:rsidRPr="00A90669" w:rsidRDefault="003A075E" w:rsidP="00C83B72">
            <w:pPr>
              <w:spacing w:line="360" w:lineRule="auto"/>
              <w:jc w:val="both"/>
              <w:rPr>
                <w:color w:val="000000" w:themeColor="text1"/>
                <w:sz w:val="24"/>
                <w:szCs w:val="24"/>
                <w:shd w:val="clear" w:color="auto" w:fill="FFFFFF"/>
              </w:rPr>
            </w:pPr>
          </w:p>
          <w:p w14:paraId="0359C9A2" w14:textId="77777777" w:rsidR="003A075E" w:rsidRPr="00A90669" w:rsidRDefault="003A075E" w:rsidP="00A90669">
            <w:pPr>
              <w:spacing w:line="360" w:lineRule="auto"/>
              <w:jc w:val="center"/>
              <w:rPr>
                <w:color w:val="000000" w:themeColor="text1"/>
                <w:sz w:val="24"/>
                <w:szCs w:val="24"/>
                <w:shd w:val="clear" w:color="auto" w:fill="FFFFFF"/>
              </w:rPr>
            </w:pPr>
            <w:r w:rsidRPr="00A90669">
              <w:rPr>
                <w:color w:val="000000" w:themeColor="text1"/>
                <w:sz w:val="24"/>
                <w:szCs w:val="24"/>
                <w:shd w:val="clear" w:color="auto" w:fill="FFFFFF"/>
              </w:rPr>
              <w:t>Word count = 3745</w:t>
            </w:r>
          </w:p>
          <w:p w14:paraId="0E7BBCC9" w14:textId="77777777" w:rsidR="00D3203C" w:rsidRPr="00A90669" w:rsidRDefault="00D3203C" w:rsidP="00C83B72">
            <w:pPr>
              <w:spacing w:line="360" w:lineRule="auto"/>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9B2F3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5E64B3" w14:textId="77777777" w:rsidR="009B2F34" w:rsidRDefault="009B2F34">
      <w:r>
        <w:separator/>
      </w:r>
    </w:p>
  </w:endnote>
  <w:endnote w:type="continuationSeparator" w:id="0">
    <w:p w14:paraId="6437D1FA" w14:textId="77777777" w:rsidR="009B2F34" w:rsidRDefault="009B2F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D03AE6" w14:textId="77777777" w:rsidR="009B2F34" w:rsidRDefault="009B2F34">
      <w:r>
        <w:separator/>
      </w:r>
    </w:p>
  </w:footnote>
  <w:footnote w:type="continuationSeparator" w:id="0">
    <w:p w14:paraId="67187419" w14:textId="77777777" w:rsidR="009B2F34" w:rsidRDefault="009B2F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75E"/>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2098"/>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2F34"/>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07F"/>
    <w:rsid w:val="00A8015F"/>
    <w:rsid w:val="00A85039"/>
    <w:rsid w:val="00A9066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5F0"/>
    <w:rsid w:val="00C57D24"/>
    <w:rsid w:val="00C604D6"/>
    <w:rsid w:val="00C63CAB"/>
    <w:rsid w:val="00C63D00"/>
    <w:rsid w:val="00C6441B"/>
    <w:rsid w:val="00C65921"/>
    <w:rsid w:val="00C7108B"/>
    <w:rsid w:val="00C75883"/>
    <w:rsid w:val="00C77FA5"/>
    <w:rsid w:val="00C8089F"/>
    <w:rsid w:val="00C835FE"/>
    <w:rsid w:val="00C836CC"/>
    <w:rsid w:val="00C83B72"/>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3690</Words>
  <Characters>21033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Michelle Skelland</cp:lastModifiedBy>
  <cp:revision>4</cp:revision>
  <cp:lastPrinted>2020-02-11T19:20:00Z</cp:lastPrinted>
  <dcterms:created xsi:type="dcterms:W3CDTF">2024-02-14T13:43:00Z</dcterms:created>
  <dcterms:modified xsi:type="dcterms:W3CDTF">2024-02-14T19:42:00Z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