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body>
    <w:p w:rsidRPr="003759C8" w:rsidR="003759C8" w:rsidP="4E15EC36" w:rsidRDefault="003759C8" w14:paraId="49FDD557" w14:textId="77777777" w14:noSpellErr="1">
      <w:pPr>
        <w:spacing w:before="240" w:after="240" w:line="360" w:lineRule="auto"/>
        <w:jc w:val="both"/>
        <w:rPr>
          <w:rFonts w:ascii="Calibri" w:hAnsi="Calibri" w:eastAsia="Calibri" w:cs="Calibri"/>
          <w:kern w:val="0"/>
          <w:sz w:val="20"/>
          <w:szCs w:val="20"/>
          <w14:ligatures w14:val="none"/>
        </w:rPr>
      </w:pPr>
      <w:r w:rsidRPr="4E15EC36" w:rsidR="003759C8">
        <w:rPr>
          <w:rFonts w:ascii="Calibri" w:hAnsi="Calibri" w:eastAsia="Calibri" w:cs="Calibri"/>
          <w:b w:val="1"/>
          <w:bCs w:val="1"/>
          <w:color w:val="000000"/>
          <w:kern w:val="0"/>
          <w:sz w:val="20"/>
          <w:szCs w:val="20"/>
          <w:lang w:val="Welsh"/>
          <w14:ligatures w14:val="none"/>
        </w:rPr>
        <w:t>Gweithredu</w:t>
      </w:r>
      <w:r w:rsidRPr="4E15EC36" w:rsidR="003759C8">
        <w:rPr>
          <w:rFonts w:ascii="Calibri" w:hAnsi="Calibri" w:eastAsia="Calibri" w:cs="Calibri"/>
          <w:b w:val="1"/>
          <w:bCs w:val="1"/>
          <w:color w:val="000000"/>
          <w:kern w:val="0"/>
          <w:sz w:val="20"/>
          <w:szCs w:val="20"/>
          <w:lang w:val="Welsh"/>
          <w14:ligatures w14:val="none"/>
        </w:rPr>
        <w:t xml:space="preserve"> </w:t>
      </w:r>
      <w:r w:rsidRPr="4E15EC36" w:rsidR="003759C8">
        <w:rPr>
          <w:rFonts w:ascii="Calibri" w:hAnsi="Calibri" w:eastAsia="Calibri" w:cs="Calibri"/>
          <w:b w:val="1"/>
          <w:bCs w:val="1"/>
          <w:color w:val="000000"/>
          <w:kern w:val="0"/>
          <w:sz w:val="20"/>
          <w:szCs w:val="20"/>
          <w:lang w:val="Welsh"/>
          <w14:ligatures w14:val="none"/>
        </w:rPr>
        <w:t>Cwricwlwm</w:t>
      </w:r>
      <w:r w:rsidRPr="4E15EC36" w:rsidR="003759C8">
        <w:rPr>
          <w:rFonts w:ascii="Calibri" w:hAnsi="Calibri" w:eastAsia="Calibri" w:cs="Calibri"/>
          <w:b w:val="1"/>
          <w:bCs w:val="1"/>
          <w:color w:val="000000"/>
          <w:kern w:val="0"/>
          <w:sz w:val="20"/>
          <w:szCs w:val="20"/>
          <w:lang w:val="Welsh"/>
          <w14:ligatures w14:val="none"/>
        </w:rPr>
        <w:t xml:space="preserve"> </w:t>
      </w:r>
      <w:r w:rsidRPr="4E15EC36" w:rsidR="003759C8">
        <w:rPr>
          <w:rFonts w:ascii="Calibri" w:hAnsi="Calibri" w:eastAsia="Calibri" w:cs="Calibri"/>
          <w:b w:val="1"/>
          <w:bCs w:val="1"/>
          <w:color w:val="000000"/>
          <w:kern w:val="0"/>
          <w:sz w:val="20"/>
          <w:szCs w:val="20"/>
          <w:lang w:val="Welsh"/>
          <w14:ligatures w14:val="none"/>
        </w:rPr>
        <w:t>Seiliedig</w:t>
      </w:r>
      <w:r w:rsidRPr="4E15EC36" w:rsidR="003759C8">
        <w:rPr>
          <w:rFonts w:ascii="Calibri" w:hAnsi="Calibri" w:eastAsia="Calibri" w:cs="Calibri"/>
          <w:b w:val="1"/>
          <w:bCs w:val="1"/>
          <w:color w:val="000000"/>
          <w:kern w:val="0"/>
          <w:sz w:val="20"/>
          <w:szCs w:val="20"/>
          <w:lang w:val="Welsh"/>
          <w14:ligatures w14:val="none"/>
        </w:rPr>
        <w:t xml:space="preserve"> </w:t>
      </w:r>
      <w:r w:rsidRPr="4E15EC36" w:rsidR="003759C8">
        <w:rPr>
          <w:rFonts w:ascii="Calibri" w:hAnsi="Calibri" w:eastAsia="Calibri" w:cs="Calibri"/>
          <w:b w:val="1"/>
          <w:bCs w:val="1"/>
          <w:color w:val="000000"/>
          <w:kern w:val="0"/>
          <w:sz w:val="20"/>
          <w:szCs w:val="20"/>
          <w:lang w:val="Welsh"/>
          <w14:ligatures w14:val="none"/>
        </w:rPr>
        <w:t>ar</w:t>
      </w:r>
      <w:r w:rsidRPr="4E15EC36" w:rsidR="003759C8">
        <w:rPr>
          <w:rFonts w:ascii="Calibri" w:hAnsi="Calibri" w:eastAsia="Calibri" w:cs="Calibri"/>
          <w:b w:val="1"/>
          <w:bCs w:val="1"/>
          <w:color w:val="000000"/>
          <w:kern w:val="0"/>
          <w:sz w:val="20"/>
          <w:szCs w:val="20"/>
          <w:lang w:val="Welsh"/>
          <w14:ligatures w14:val="none"/>
        </w:rPr>
        <w:t xml:space="preserve"> </w:t>
      </w:r>
      <w:r w:rsidRPr="4E15EC36" w:rsidR="003759C8">
        <w:rPr>
          <w:rFonts w:ascii="Calibri" w:hAnsi="Calibri" w:eastAsia="Calibri" w:cs="Calibri"/>
          <w:b w:val="1"/>
          <w:bCs w:val="1"/>
          <w:color w:val="000000"/>
          <w:kern w:val="0"/>
          <w:sz w:val="20"/>
          <w:szCs w:val="20"/>
          <w:lang w:val="Welsh"/>
          <w14:ligatures w14:val="none"/>
        </w:rPr>
        <w:t>Chwarae</w:t>
      </w:r>
      <w:r w:rsidRPr="4E15EC36" w:rsidR="003759C8">
        <w:rPr>
          <w:rFonts w:ascii="Calibri" w:hAnsi="Calibri" w:eastAsia="Calibri" w:cs="Calibri"/>
          <w:b w:val="1"/>
          <w:bCs w:val="1"/>
          <w:color w:val="000000"/>
          <w:kern w:val="0"/>
          <w:sz w:val="20"/>
          <w:szCs w:val="20"/>
          <w:lang w:val="Welsh"/>
          <w14:ligatures w14:val="none"/>
        </w:rPr>
        <w:t xml:space="preserve">: </w:t>
      </w:r>
      <w:r w:rsidRPr="4E15EC36" w:rsidR="003759C8">
        <w:rPr>
          <w:rFonts w:ascii="Calibri" w:hAnsi="Calibri" w:eastAsia="Calibri" w:cs="Calibri"/>
          <w:b w:val="1"/>
          <w:bCs w:val="1"/>
          <w:color w:val="000000"/>
          <w:kern w:val="0"/>
          <w:sz w:val="20"/>
          <w:szCs w:val="20"/>
          <w:lang w:val="Welsh"/>
          <w14:ligatures w14:val="none"/>
        </w:rPr>
        <w:t>Dadansoddiad</w:t>
      </w:r>
      <w:r w:rsidRPr="4E15EC36" w:rsidR="003759C8">
        <w:rPr>
          <w:rFonts w:ascii="Calibri" w:hAnsi="Calibri" w:eastAsia="Calibri" w:cs="Calibri"/>
          <w:b w:val="1"/>
          <w:bCs w:val="1"/>
          <w:color w:val="000000"/>
          <w:kern w:val="0"/>
          <w:sz w:val="20"/>
          <w:szCs w:val="20"/>
          <w:lang w:val="Welsh"/>
          <w14:ligatures w14:val="none"/>
        </w:rPr>
        <w:t xml:space="preserve"> Cymharol </w:t>
      </w:r>
      <w:r w:rsidRPr="4E15EC36" w:rsidR="003759C8">
        <w:rPr>
          <w:rFonts w:ascii="Calibri" w:hAnsi="Calibri" w:eastAsia="Calibri" w:cs="Calibri"/>
          <w:b w:val="1"/>
          <w:bCs w:val="1"/>
          <w:color w:val="000000"/>
          <w:kern w:val="0"/>
          <w:sz w:val="20"/>
          <w:szCs w:val="20"/>
          <w:lang w:val="Welsh"/>
          <w14:ligatures w14:val="none"/>
        </w:rPr>
        <w:t>o'r</w:t>
      </w:r>
      <w:r w:rsidRPr="4E15EC36" w:rsidR="003759C8">
        <w:rPr>
          <w:rFonts w:ascii="Calibri" w:hAnsi="Calibri" w:eastAsia="Calibri" w:cs="Calibri"/>
          <w:b w:val="1"/>
          <w:bCs w:val="1"/>
          <w:color w:val="000000"/>
          <w:kern w:val="0"/>
          <w:sz w:val="20"/>
          <w:szCs w:val="20"/>
          <w:lang w:val="Welsh"/>
          <w14:ligatures w14:val="none"/>
        </w:rPr>
        <w:t xml:space="preserve"> </w:t>
      </w:r>
      <w:r w:rsidRPr="4E15EC36" w:rsidR="003759C8">
        <w:rPr>
          <w:rFonts w:ascii="Calibri" w:hAnsi="Calibri" w:eastAsia="Calibri" w:cs="Calibri"/>
          <w:b w:val="1"/>
          <w:bCs w:val="1"/>
          <w:color w:val="000000"/>
          <w:kern w:val="0"/>
          <w:sz w:val="20"/>
          <w:szCs w:val="20"/>
          <w:lang w:val="Welsh"/>
          <w14:ligatures w14:val="none"/>
        </w:rPr>
        <w:t>Cwricwlwm</w:t>
      </w:r>
      <w:r w:rsidRPr="4E15EC36" w:rsidR="003759C8">
        <w:rPr>
          <w:rFonts w:ascii="Calibri" w:hAnsi="Calibri" w:eastAsia="Calibri" w:cs="Calibri"/>
          <w:b w:val="1"/>
          <w:bCs w:val="1"/>
          <w:color w:val="000000"/>
          <w:kern w:val="0"/>
          <w:sz w:val="20"/>
          <w:szCs w:val="20"/>
          <w:lang w:val="Welsh"/>
          <w14:ligatures w14:val="none"/>
        </w:rPr>
        <w:t xml:space="preserve"> </w:t>
      </w:r>
      <w:r w:rsidRPr="4E15EC36" w:rsidR="003759C8">
        <w:rPr>
          <w:rFonts w:ascii="Calibri" w:hAnsi="Calibri" w:eastAsia="Calibri" w:cs="Calibri"/>
          <w:b w:val="1"/>
          <w:bCs w:val="1"/>
          <w:color w:val="000000"/>
          <w:kern w:val="0"/>
          <w:sz w:val="20"/>
          <w:szCs w:val="20"/>
          <w:lang w:val="Welsh"/>
          <w14:ligatures w14:val="none"/>
        </w:rPr>
        <w:t>i</w:t>
      </w:r>
      <w:r w:rsidRPr="4E15EC36" w:rsidR="003759C8">
        <w:rPr>
          <w:rFonts w:ascii="Calibri" w:hAnsi="Calibri" w:eastAsia="Calibri" w:cs="Calibri"/>
          <w:b w:val="1"/>
          <w:bCs w:val="1"/>
          <w:color w:val="000000"/>
          <w:kern w:val="0"/>
          <w:sz w:val="20"/>
          <w:szCs w:val="20"/>
          <w:lang w:val="Welsh"/>
          <w14:ligatures w14:val="none"/>
        </w:rPr>
        <w:t xml:space="preserve"> </w:t>
      </w:r>
      <w:r w:rsidRPr="4E15EC36" w:rsidR="003759C8">
        <w:rPr>
          <w:rFonts w:ascii="Calibri" w:hAnsi="Calibri" w:eastAsia="Calibri" w:cs="Calibri"/>
          <w:b w:val="1"/>
          <w:bCs w:val="1"/>
          <w:color w:val="000000"/>
          <w:kern w:val="0"/>
          <w:sz w:val="20"/>
          <w:szCs w:val="20"/>
          <w:lang w:val="Welsh"/>
          <w14:ligatures w14:val="none"/>
        </w:rPr>
        <w:t>Gymru</w:t>
      </w:r>
      <w:r w:rsidRPr="4E15EC36" w:rsidR="003759C8">
        <w:rPr>
          <w:rFonts w:ascii="Calibri" w:hAnsi="Calibri" w:eastAsia="Calibri" w:cs="Calibri"/>
          <w:b w:val="1"/>
          <w:bCs w:val="1"/>
          <w:color w:val="000000"/>
          <w:kern w:val="0"/>
          <w:sz w:val="20"/>
          <w:szCs w:val="20"/>
          <w:lang w:val="Welsh"/>
          <w14:ligatures w14:val="none"/>
        </w:rPr>
        <w:t xml:space="preserve"> a Dull </w:t>
      </w:r>
      <w:r w:rsidRPr="4E15EC36" w:rsidR="003759C8">
        <w:rPr>
          <w:rFonts w:ascii="Calibri" w:hAnsi="Calibri" w:eastAsia="Calibri" w:cs="Calibri"/>
          <w:b w:val="1"/>
          <w:bCs w:val="1"/>
          <w:color w:val="000000"/>
          <w:kern w:val="0"/>
          <w:sz w:val="20"/>
          <w:szCs w:val="20"/>
          <w:lang w:val="Welsh"/>
          <w14:ligatures w14:val="none"/>
        </w:rPr>
        <w:t>Reggio</w:t>
      </w:r>
      <w:r w:rsidRPr="4E15EC36" w:rsidR="003759C8">
        <w:rPr>
          <w:rFonts w:ascii="Calibri" w:hAnsi="Calibri" w:eastAsia="Calibri" w:cs="Calibri"/>
          <w:b w:val="1"/>
          <w:bCs w:val="1"/>
          <w:color w:val="000000"/>
          <w:kern w:val="0"/>
          <w:sz w:val="20"/>
          <w:szCs w:val="20"/>
          <w:lang w:val="Welsh"/>
          <w14:ligatures w14:val="none"/>
        </w:rPr>
        <w:t xml:space="preserve"> </w:t>
      </w:r>
      <w:r w:rsidRPr="4E15EC36" w:rsidR="003759C8">
        <w:rPr>
          <w:rFonts w:ascii="Calibri" w:hAnsi="Calibri" w:eastAsia="Calibri" w:cs="Calibri"/>
          <w:b w:val="1"/>
          <w:bCs w:val="1"/>
          <w:color w:val="000000"/>
          <w:kern w:val="0"/>
          <w:sz w:val="20"/>
          <w:szCs w:val="20"/>
          <w:lang w:val="Welsh"/>
          <w14:ligatures w14:val="none"/>
        </w:rPr>
        <w:t>Emilia</w:t>
      </w:r>
    </w:p>
    <w:p w:rsidRPr="003759C8" w:rsidR="003759C8" w:rsidP="37EA5372" w:rsidRDefault="003759C8" w14:paraId="6AF5A577" w14:textId="08F7B8C2">
      <w:pPr>
        <w:spacing w:before="240" w:after="240" w:line="360" w:lineRule="auto"/>
        <w:jc w:val="both"/>
        <w:rPr>
          <w:rFonts w:ascii="Calibri" w:hAnsi="Calibri" w:eastAsia="Calibri" w:cs="Calibri"/>
          <w:color w:val="000000" w:themeColor="text1" w:themeTint="FF" w:themeShade="FF"/>
          <w:sz w:val="20"/>
          <w:szCs w:val="20"/>
        </w:rPr>
      </w:pPr>
      <w:r w:rsidRPr="37EA5372" w:rsidR="34B21339">
        <w:rPr>
          <w:rFonts w:ascii="Calibri" w:hAnsi="Calibri" w:eastAsia="Calibri" w:cs="Calibri"/>
          <w:color w:val="000000" w:themeColor="text1" w:themeTint="FF" w:themeShade="FF"/>
          <w:sz w:val="20"/>
          <w:szCs w:val="20"/>
        </w:rPr>
        <w:t>Wrth ailystyried natur y cwricwlwm a’i rôl o fewn addysg plentyndod cynnar, mae’n hanfodol cydnabod mai addysg a chwricwlwm yw’r sylfeini y mae cymdeithasau’n eu defnyddio i siapio dysgu, trosglwyddo gwerthoedd, a chreu’r dinasyddion y maent yn eu dychmygu. Mae Priestley a Biesta (2021) yn disgrifio’r cwricwlwm fel fframwaith a adeiladwyd yn gymdeithasol sy’n adlewyrchu dewisiadau gwleidyddol, diwylliannol a moesol am yr hyn sy’n cael ei ystyried yn werth ei wybod. O fewn addysg blynyddoedd cynnar, mae’r cwricwlwm yn ymestyn y tu hwnt i gynnwys rhagnodedig; mae’n cwmpasu credoau am sut mae plant yn dysgu, sut y dylid eu cefnogi, a pha fath o ddinasyddion y gallant ddod yn y dyfodol.</w:t>
      </w:r>
    </w:p>
    <w:p w:rsidRPr="003759C8" w:rsidR="003759C8" w:rsidP="37EA5372" w:rsidRDefault="003759C8" w14:paraId="01BB53A7" w14:textId="462BBFE6">
      <w:pPr>
        <w:pStyle w:val="Normal"/>
        <w:spacing w:before="240" w:after="240" w:line="360" w:lineRule="auto"/>
        <w:jc w:val="both"/>
      </w:pPr>
      <w:r w:rsidRPr="37EA5372" w:rsidR="34B21339">
        <w:rPr>
          <w:rFonts w:ascii="Calibri" w:hAnsi="Calibri" w:eastAsia="Calibri" w:cs="Calibri"/>
          <w:color w:val="000000" w:themeColor="text1" w:themeTint="FF" w:themeShade="FF"/>
          <w:sz w:val="20"/>
          <w:szCs w:val="20"/>
        </w:rPr>
        <w:t>Yn y cyd-destun hwn, mae cwricwlwm sy’n seiliedig ar chwarae yn gosod chwarae fel cyfrwng canolog dysgu, wedi’i lywio gan ddamcaniaethau adeiladol a chymdeithasol-ddiwylliannol sy’n pwysleisio asiantaeth, cydweithredu, ac ymholi profiadol. Trwy chwarae, mae plant yn archwilio syniadau, yn profi rhagdybiaethau, ac yn mynegi eu dealltwriaeth mewn dulliau corfforol, dychmygus ac ieithyddol (Wood, 2020). Mae’r dull hwn o ddysgu yn gofyn am gwricwlwm sy’n parchu chwilfrydedd ac ymreolaeth plant, ond sydd hefyd yn darparu cymorth medrus ac ymatebol gan oedolion.</w:t>
      </w:r>
    </w:p>
    <w:p w:rsidRPr="003759C8" w:rsidR="003759C8" w:rsidP="37EA5372" w:rsidRDefault="003759C8" w14:paraId="719C088D" w14:textId="741E2C98">
      <w:pPr>
        <w:pStyle w:val="Normal"/>
        <w:spacing w:before="240" w:after="240" w:line="360" w:lineRule="auto"/>
        <w:jc w:val="both"/>
      </w:pPr>
      <w:r w:rsidRPr="37EA5372" w:rsidR="34B21339">
        <w:rPr>
          <w:rFonts w:ascii="Calibri" w:hAnsi="Calibri" w:eastAsia="Calibri" w:cs="Calibri"/>
          <w:color w:val="000000" w:themeColor="text1" w:themeTint="FF" w:themeShade="FF"/>
          <w:sz w:val="20"/>
          <w:szCs w:val="20"/>
        </w:rPr>
        <w:t xml:space="preserve">Mae Cwricwlwm Cymru a dull </w:t>
      </w:r>
      <w:r w:rsidRPr="37EA5372" w:rsidR="34B21339">
        <w:rPr>
          <w:rFonts w:ascii="Calibri" w:hAnsi="Calibri" w:eastAsia="Calibri" w:cs="Calibri"/>
          <w:color w:val="000000" w:themeColor="text1" w:themeTint="FF" w:themeShade="FF"/>
          <w:sz w:val="20"/>
          <w:szCs w:val="20"/>
        </w:rPr>
        <w:t>Reggio</w:t>
      </w:r>
      <w:r w:rsidRPr="37EA5372" w:rsidR="34B21339">
        <w:rPr>
          <w:rFonts w:ascii="Calibri" w:hAnsi="Calibri" w:eastAsia="Calibri" w:cs="Calibri"/>
          <w:color w:val="000000" w:themeColor="text1" w:themeTint="FF" w:themeShade="FF"/>
          <w:sz w:val="20"/>
          <w:szCs w:val="20"/>
        </w:rPr>
        <w:t xml:space="preserve"> </w:t>
      </w:r>
      <w:r w:rsidRPr="37EA5372" w:rsidR="34B21339">
        <w:rPr>
          <w:rFonts w:ascii="Calibri" w:hAnsi="Calibri" w:eastAsia="Calibri" w:cs="Calibri"/>
          <w:color w:val="000000" w:themeColor="text1" w:themeTint="FF" w:themeShade="FF"/>
          <w:sz w:val="20"/>
          <w:szCs w:val="20"/>
        </w:rPr>
        <w:t>Emilia</w:t>
      </w:r>
      <w:r w:rsidRPr="37EA5372" w:rsidR="34B21339">
        <w:rPr>
          <w:rFonts w:ascii="Calibri" w:hAnsi="Calibri" w:eastAsia="Calibri" w:cs="Calibri"/>
          <w:color w:val="000000" w:themeColor="text1" w:themeTint="FF" w:themeShade="FF"/>
          <w:sz w:val="20"/>
          <w:szCs w:val="20"/>
        </w:rPr>
        <w:t xml:space="preserve"> ill dau yn enghreifftiau nodedig o addysgeg sy’n seiliedig ar chwarae sy’n rhoi’r plentyn wrth ganol y broses ddysgu. Serch hynny, er eu bod yn rhannu egwyddorion athronyddol cyffredin megis parch at blant fel dysgwyr gweithredol a’r pwyslais ar amgylchedd dysgu cyfoethog, maent yn wahanol o ran eu cyd-destunau diwylliannol, eu strwythurau sefydliadol, a’u dulliau gweithredu. Mae Cwricwlwm </w:t>
      </w:r>
      <w:r w:rsidRPr="37EA5372" w:rsidR="5F2F1582">
        <w:rPr>
          <w:rFonts w:ascii="Calibri" w:hAnsi="Calibri" w:eastAsia="Calibri" w:cs="Calibri"/>
          <w:color w:val="000000" w:themeColor="text1" w:themeTint="FF" w:themeShade="FF"/>
          <w:sz w:val="20"/>
          <w:szCs w:val="20"/>
        </w:rPr>
        <w:t>Cymru yn cynnig fframwaith cenedlaethol hyblyg sy’n seiliedig ar ddatblygiad holistaidd, tra bod Reggio Emilia yn gweithredu fel athroniaeth gymunedol, wedi’i siapio gan egwyddorion democrataidd ac esthetig.</w:t>
      </w:r>
    </w:p>
    <w:p w:rsidRPr="003759C8" w:rsidR="003759C8" w:rsidP="37EA5372" w:rsidRDefault="003759C8" w14:paraId="10197B13" w14:textId="29DE3F3C">
      <w:pPr>
        <w:pStyle w:val="Normal"/>
        <w:spacing w:before="240" w:after="240" w:line="360" w:lineRule="auto"/>
        <w:jc w:val="both"/>
      </w:pPr>
      <w:r w:rsidRPr="37EA5372" w:rsidR="5F2F1582">
        <w:rPr>
          <w:rFonts w:ascii="Calibri" w:hAnsi="Calibri" w:eastAsia="Calibri" w:cs="Calibri"/>
          <w:color w:val="000000" w:themeColor="text1" w:themeTint="FF" w:themeShade="FF"/>
          <w:sz w:val="20"/>
          <w:szCs w:val="20"/>
        </w:rPr>
        <w:t>Mae Cwricwlwm Cymru yn adeiladu ar y Cyfnod Sylfaen a gyflwynwyd yn 2008, a wnaeth symud ffocws addysg gynnar oddi wrth addysgu ffurfiol, seiliedig ar bwnc, i ddysgu gweithredol a phrofiadol i blant tair i saith oed. Mae Siraj-Blatchford a Manni (2018) yn nodi mai’r newid hwn oedd un o’r newidiadau mwyaf sylweddol ym maes addysg gynnar, gan symud oddi wrth baratoad ar gyfer cyrhaeddiad ysgol tuag at ddysgu sy’n ddatblygiadol ac yn llawn chwarae. Mae Cwricwlwm Cymru (2022) yn ymestyn yr athroniaeth hon drwy chwe Maes Dysgu a Phrofiad a phedwar diben trawsfwaol, gyda’r nod o feithrin dysgwyr uchelgeisiol, creadigol, moesegol a hyderus (Taylor a Hallet, 2024). O fewn y blynyddoedd cynnar, mae’r canllawiau’n pwysleisio bod dysgu’n digwydd trwy chwarae, perthnasoedd ac archwilio, gyda chefnogaeth oedolion sy’n arsylwi, yn sgaffaldio ac yn ymestyn syniadau plant (Dubiel, 2016). Yn hytrach na chanolbwyntio ar ganlyniadau mesuradwy, mae’r cwricwlwm yn gwerthfawrogi asesu ffurfiannol, gan roi pwyslais ar arsylwi naratif a barn broffesiynol.</w:t>
      </w:r>
    </w:p>
    <w:p w:rsidRPr="003759C8" w:rsidR="003759C8" w:rsidP="37EA5372" w:rsidRDefault="003759C8" w14:paraId="49F48610" w14:textId="0E6EB8A9">
      <w:pPr>
        <w:pStyle w:val="Normal"/>
        <w:spacing w:before="240" w:after="240" w:line="360" w:lineRule="auto"/>
        <w:jc w:val="both"/>
      </w:pPr>
      <w:r w:rsidRPr="37EA5372" w:rsidR="5F2F1582">
        <w:rPr>
          <w:rFonts w:ascii="Calibri" w:hAnsi="Calibri" w:eastAsia="Calibri" w:cs="Calibri"/>
          <w:color w:val="000000" w:themeColor="text1" w:themeTint="FF" w:themeShade="FF"/>
          <w:sz w:val="20"/>
          <w:szCs w:val="20"/>
        </w:rPr>
        <w:t>Mae dull Reggio Emilia yn seiliedig ar egwyddorion dyneiddiol sy’n ystyried plant fel unigolion cymwys, chwilfrydig a llawn potensial. Mae Edwards, Gandini a Forman (2012) yn egluro bod addysgeg Reggio Emilia yn canolbwyntio ar gyd-adeiladu gwybodaeth rhwng plant, oedolion a’r gymuned, gan wneud addysg yn broses berthnasol ac ystyrlon. Mae’r dull yn seiliedig ar bum egwyddor allweddol: yr amgylchedd fel “trydydd athro”, dogfennaeth fel offeryn myfyriol, cwricwlwm sy’n dod i’r amlwg, dysgu cydweithredol, ac athrawon fel ymchwilwyr. Mae ystafelloedd dosbarth wedi’u cynllunio’n fwriadol fel gofodau esthetig sy’n annog ymholi trwy ddeunyddiau penagored, goleuo naturiol ac arddangosfeydd sy’n adlewyrchu meddwl plant (Gandini a Goldhaber, 2022). Trwy ddogfennaeth, mae athrawon yn dal a myfyrio ar brosesau dysgu plant, gan greu deialog ddehongliol rhwng dysgwr ac addysgwr (Rinaldi, 2006).</w:t>
      </w:r>
    </w:p>
    <w:p w:rsidRPr="003759C8" w:rsidR="003759C8" w:rsidP="37EA5372" w:rsidRDefault="003759C8" w14:paraId="0A194471" w14:textId="6F1E5C2F">
      <w:pPr>
        <w:pStyle w:val="Normal"/>
        <w:spacing w:before="240" w:after="240" w:line="360" w:lineRule="auto"/>
        <w:jc w:val="both"/>
      </w:pPr>
      <w:r w:rsidRPr="37EA5372" w:rsidR="5F2F1582">
        <w:rPr>
          <w:rFonts w:ascii="Calibri" w:hAnsi="Calibri" w:eastAsia="Calibri" w:cs="Calibri"/>
          <w:color w:val="000000" w:themeColor="text1" w:themeTint="FF" w:themeShade="FF"/>
          <w:sz w:val="20"/>
          <w:szCs w:val="20"/>
        </w:rPr>
        <w:t xml:space="preserve">Er bod Cwricwlwm Cymru a </w:t>
      </w:r>
      <w:r w:rsidRPr="37EA5372" w:rsidR="5F2F1582">
        <w:rPr>
          <w:rFonts w:ascii="Calibri" w:hAnsi="Calibri" w:eastAsia="Calibri" w:cs="Calibri"/>
          <w:color w:val="000000" w:themeColor="text1" w:themeTint="FF" w:themeShade="FF"/>
          <w:sz w:val="20"/>
          <w:szCs w:val="20"/>
        </w:rPr>
        <w:t>Reggio</w:t>
      </w:r>
      <w:r w:rsidRPr="37EA5372" w:rsidR="5F2F1582">
        <w:rPr>
          <w:rFonts w:ascii="Calibri" w:hAnsi="Calibri" w:eastAsia="Calibri" w:cs="Calibri"/>
          <w:color w:val="000000" w:themeColor="text1" w:themeTint="FF" w:themeShade="FF"/>
          <w:sz w:val="20"/>
          <w:szCs w:val="20"/>
        </w:rPr>
        <w:t xml:space="preserve"> </w:t>
      </w:r>
      <w:r w:rsidRPr="37EA5372" w:rsidR="5F2F1582">
        <w:rPr>
          <w:rFonts w:ascii="Calibri" w:hAnsi="Calibri" w:eastAsia="Calibri" w:cs="Calibri"/>
          <w:color w:val="000000" w:themeColor="text1" w:themeTint="FF" w:themeShade="FF"/>
          <w:sz w:val="20"/>
          <w:szCs w:val="20"/>
        </w:rPr>
        <w:t>Emilia</w:t>
      </w:r>
      <w:r w:rsidRPr="37EA5372" w:rsidR="5F2F1582">
        <w:rPr>
          <w:rFonts w:ascii="Calibri" w:hAnsi="Calibri" w:eastAsia="Calibri" w:cs="Calibri"/>
          <w:color w:val="000000" w:themeColor="text1" w:themeTint="FF" w:themeShade="FF"/>
          <w:sz w:val="20"/>
          <w:szCs w:val="20"/>
        </w:rPr>
        <w:t xml:space="preserve"> ill </w:t>
      </w:r>
      <w:r w:rsidRPr="37EA5372" w:rsidR="5F2F1582">
        <w:rPr>
          <w:rFonts w:ascii="Calibri" w:hAnsi="Calibri" w:eastAsia="Calibri" w:cs="Calibri"/>
          <w:color w:val="000000" w:themeColor="text1" w:themeTint="FF" w:themeShade="FF"/>
          <w:sz w:val="20"/>
          <w:szCs w:val="20"/>
        </w:rPr>
        <w:t>dau’n</w:t>
      </w:r>
      <w:r w:rsidRPr="37EA5372" w:rsidR="5F2F1582">
        <w:rPr>
          <w:rFonts w:ascii="Calibri" w:hAnsi="Calibri" w:eastAsia="Calibri" w:cs="Calibri"/>
          <w:color w:val="000000" w:themeColor="text1" w:themeTint="FF" w:themeShade="FF"/>
          <w:sz w:val="20"/>
          <w:szCs w:val="20"/>
        </w:rPr>
        <w:t xml:space="preserve"> seiliedig ar egwyddorion adeiladol ac yn gweld dysgu fel broses weithredol, mae’r ffordd y cânt eu gweithredu yn wahanol oherwydd eu cyd-destunau sefydliadol. Mae Cwricwlwm Cymru yn model strwythuredig cenedlaethol sy’n ceisio cydbwyso ymreolaeth ag atebolrwydd, gan sicrhau </w:t>
      </w:r>
      <w:r w:rsidRPr="37EA5372" w:rsidR="5F2F1582">
        <w:rPr>
          <w:rFonts w:ascii="Calibri" w:hAnsi="Calibri" w:eastAsia="Calibri" w:cs="Calibri"/>
          <w:color w:val="000000" w:themeColor="text1" w:themeTint="FF" w:themeShade="FF"/>
          <w:sz w:val="20"/>
          <w:szCs w:val="20"/>
        </w:rPr>
        <w:t>cydlyniant</w:t>
      </w:r>
      <w:r w:rsidRPr="37EA5372" w:rsidR="5F2F1582">
        <w:rPr>
          <w:rFonts w:ascii="Calibri" w:hAnsi="Calibri" w:eastAsia="Calibri" w:cs="Calibri"/>
          <w:color w:val="000000" w:themeColor="text1" w:themeTint="FF" w:themeShade="FF"/>
          <w:sz w:val="20"/>
          <w:szCs w:val="20"/>
        </w:rPr>
        <w:t xml:space="preserve"> ond hefyd yn cyfyngu ar ryddid gweithredu. Yn wahanol, mae </w:t>
      </w:r>
      <w:r w:rsidRPr="37EA5372" w:rsidR="5F2F1582">
        <w:rPr>
          <w:rFonts w:ascii="Calibri" w:hAnsi="Calibri" w:eastAsia="Calibri" w:cs="Calibri"/>
          <w:color w:val="000000" w:themeColor="text1" w:themeTint="FF" w:themeShade="FF"/>
          <w:sz w:val="20"/>
          <w:szCs w:val="20"/>
        </w:rPr>
        <w:t>Reggio</w:t>
      </w:r>
      <w:r w:rsidRPr="37EA5372" w:rsidR="5F2F1582">
        <w:rPr>
          <w:rFonts w:ascii="Calibri" w:hAnsi="Calibri" w:eastAsia="Calibri" w:cs="Calibri"/>
          <w:color w:val="000000" w:themeColor="text1" w:themeTint="FF" w:themeShade="FF"/>
          <w:sz w:val="20"/>
          <w:szCs w:val="20"/>
        </w:rPr>
        <w:t xml:space="preserve"> </w:t>
      </w:r>
      <w:r w:rsidRPr="37EA5372" w:rsidR="5F2F1582">
        <w:rPr>
          <w:rFonts w:ascii="Calibri" w:hAnsi="Calibri" w:eastAsia="Calibri" w:cs="Calibri"/>
          <w:color w:val="000000" w:themeColor="text1" w:themeTint="FF" w:themeShade="FF"/>
          <w:sz w:val="20"/>
          <w:szCs w:val="20"/>
        </w:rPr>
        <w:t>Emilia</w:t>
      </w:r>
      <w:r w:rsidRPr="37EA5372" w:rsidR="5F2F1582">
        <w:rPr>
          <w:rFonts w:ascii="Calibri" w:hAnsi="Calibri" w:eastAsia="Calibri" w:cs="Calibri"/>
          <w:color w:val="000000" w:themeColor="text1" w:themeTint="FF" w:themeShade="FF"/>
          <w:sz w:val="20"/>
          <w:szCs w:val="20"/>
        </w:rPr>
        <w:t xml:space="preserve"> yn system leol, wedi’i llywodraethu gan egwyddorion democrataidd, lle mae penderfyniadau’n cael eu gwneud gan gymunedau addysgol unigol (Edwards </w:t>
      </w:r>
      <w:r w:rsidRPr="37EA5372" w:rsidR="5F2F1582">
        <w:rPr>
          <w:rFonts w:ascii="Calibri" w:hAnsi="Calibri" w:eastAsia="Calibri" w:cs="Calibri"/>
          <w:color w:val="000000" w:themeColor="text1" w:themeTint="FF" w:themeShade="FF"/>
          <w:sz w:val="20"/>
          <w:szCs w:val="20"/>
        </w:rPr>
        <w:t>et</w:t>
      </w:r>
      <w:r w:rsidRPr="37EA5372" w:rsidR="5F2F1582">
        <w:rPr>
          <w:rFonts w:ascii="Calibri" w:hAnsi="Calibri" w:eastAsia="Calibri" w:cs="Calibri"/>
          <w:color w:val="000000" w:themeColor="text1" w:themeTint="FF" w:themeShade="FF"/>
          <w:sz w:val="20"/>
          <w:szCs w:val="20"/>
        </w:rPr>
        <w:t xml:space="preserve"> </w:t>
      </w:r>
      <w:r w:rsidRPr="37EA5372" w:rsidR="5F2F1582">
        <w:rPr>
          <w:rFonts w:ascii="Calibri" w:hAnsi="Calibri" w:eastAsia="Calibri" w:cs="Calibri"/>
          <w:color w:val="000000" w:themeColor="text1" w:themeTint="FF" w:themeShade="FF"/>
          <w:sz w:val="20"/>
          <w:szCs w:val="20"/>
        </w:rPr>
        <w:t>al</w:t>
      </w:r>
      <w:r w:rsidRPr="37EA5372" w:rsidR="5F2F1582">
        <w:rPr>
          <w:rFonts w:ascii="Calibri" w:hAnsi="Calibri" w:eastAsia="Calibri" w:cs="Calibri"/>
          <w:color w:val="000000" w:themeColor="text1" w:themeTint="FF" w:themeShade="FF"/>
          <w:sz w:val="20"/>
          <w:szCs w:val="20"/>
        </w:rPr>
        <w:t xml:space="preserve">., 2012). O ganlyniad, mae athrawon yng Nghymru yn dehongli canllawiau cenedlaethol o fewn fframweithiau sefydliadol penodol, tra bod athrawon </w:t>
      </w:r>
      <w:r w:rsidRPr="37EA5372" w:rsidR="5F2F1582">
        <w:rPr>
          <w:rFonts w:ascii="Calibri" w:hAnsi="Calibri" w:eastAsia="Calibri" w:cs="Calibri"/>
          <w:color w:val="000000" w:themeColor="text1" w:themeTint="FF" w:themeShade="FF"/>
          <w:sz w:val="20"/>
          <w:szCs w:val="20"/>
        </w:rPr>
        <w:t>Reggio</w:t>
      </w:r>
      <w:r w:rsidRPr="37EA5372" w:rsidR="5F2F1582">
        <w:rPr>
          <w:rFonts w:ascii="Calibri" w:hAnsi="Calibri" w:eastAsia="Calibri" w:cs="Calibri"/>
          <w:color w:val="000000" w:themeColor="text1" w:themeTint="FF" w:themeShade="FF"/>
          <w:sz w:val="20"/>
          <w:szCs w:val="20"/>
        </w:rPr>
        <w:t xml:space="preserve"> yn cyd-adeiladu eu cwricwlwm trwy fyfyrio a deialog barhaus.</w:t>
      </w:r>
    </w:p>
    <w:p w:rsidRPr="003759C8" w:rsidR="003759C8" w:rsidP="37EA5372" w:rsidRDefault="003759C8" w14:paraId="3408E378" w14:textId="1E45B144">
      <w:pPr>
        <w:pStyle w:val="Normal"/>
        <w:spacing w:before="240" w:after="240" w:line="360" w:lineRule="auto"/>
        <w:jc w:val="both"/>
      </w:pPr>
      <w:r w:rsidRPr="37EA5372" w:rsidR="34B21339">
        <w:rPr>
          <w:rFonts w:ascii="Calibri" w:hAnsi="Calibri" w:eastAsia="Calibri" w:cs="Calibri"/>
          <w:color w:val="000000" w:themeColor="text1" w:themeTint="FF" w:themeShade="FF"/>
          <w:sz w:val="20"/>
          <w:szCs w:val="20"/>
        </w:rPr>
        <w:t xml:space="preserve">Mae Cwricwlwm Cymru yn hyrwyddo asesu ffurfiannol ac </w:t>
      </w:r>
      <w:r w:rsidRPr="37EA5372" w:rsidR="34B21339">
        <w:rPr>
          <w:rFonts w:ascii="Calibri" w:hAnsi="Calibri" w:eastAsia="Calibri" w:cs="Calibri"/>
          <w:color w:val="000000" w:themeColor="text1" w:themeTint="FF" w:themeShade="FF"/>
          <w:sz w:val="20"/>
          <w:szCs w:val="20"/>
        </w:rPr>
        <w:t>arsylwadol</w:t>
      </w:r>
      <w:r w:rsidRPr="37EA5372" w:rsidR="34B21339">
        <w:rPr>
          <w:rFonts w:ascii="Calibri" w:hAnsi="Calibri" w:eastAsia="Calibri" w:cs="Calibri"/>
          <w:color w:val="000000" w:themeColor="text1" w:themeTint="FF" w:themeShade="FF"/>
          <w:sz w:val="20"/>
          <w:szCs w:val="20"/>
        </w:rPr>
        <w:t xml:space="preserve">, ond mae’r angen i ddangos canlyniadau mesuradwy yn parhau’n gryf. Mae </w:t>
      </w:r>
      <w:r w:rsidRPr="37EA5372" w:rsidR="34B21339">
        <w:rPr>
          <w:rFonts w:ascii="Calibri" w:hAnsi="Calibri" w:eastAsia="Calibri" w:cs="Calibri"/>
          <w:color w:val="000000" w:themeColor="text1" w:themeTint="FF" w:themeShade="FF"/>
          <w:sz w:val="20"/>
          <w:szCs w:val="20"/>
        </w:rPr>
        <w:t>Dubiel</w:t>
      </w:r>
      <w:r w:rsidRPr="37EA5372" w:rsidR="34B21339">
        <w:rPr>
          <w:rFonts w:ascii="Calibri" w:hAnsi="Calibri" w:eastAsia="Calibri" w:cs="Calibri"/>
          <w:color w:val="000000" w:themeColor="text1" w:themeTint="FF" w:themeShade="FF"/>
          <w:sz w:val="20"/>
          <w:szCs w:val="20"/>
        </w:rPr>
        <w:t xml:space="preserve"> (2016) yn rhybuddio y gall pwysau o’r fath droi chwarae yn fodd i gynhyrchu tystiolaeth yn hytrach nag fel cyfryngwr dysgu dilys. Yn </w:t>
      </w:r>
      <w:r w:rsidRPr="37EA5372" w:rsidR="34B21339">
        <w:rPr>
          <w:rFonts w:ascii="Calibri" w:hAnsi="Calibri" w:eastAsia="Calibri" w:cs="Calibri"/>
          <w:color w:val="000000" w:themeColor="text1" w:themeTint="FF" w:themeShade="FF"/>
          <w:sz w:val="20"/>
          <w:szCs w:val="20"/>
        </w:rPr>
        <w:t>Reggio</w:t>
      </w:r>
      <w:r w:rsidRPr="37EA5372" w:rsidR="34B21339">
        <w:rPr>
          <w:rFonts w:ascii="Calibri" w:hAnsi="Calibri" w:eastAsia="Calibri" w:cs="Calibri"/>
          <w:color w:val="000000" w:themeColor="text1" w:themeTint="FF" w:themeShade="FF"/>
          <w:sz w:val="20"/>
          <w:szCs w:val="20"/>
        </w:rPr>
        <w:t xml:space="preserve"> </w:t>
      </w:r>
      <w:r w:rsidRPr="37EA5372" w:rsidR="34B21339">
        <w:rPr>
          <w:rFonts w:ascii="Calibri" w:hAnsi="Calibri" w:eastAsia="Calibri" w:cs="Calibri"/>
          <w:color w:val="000000" w:themeColor="text1" w:themeTint="FF" w:themeShade="FF"/>
          <w:sz w:val="20"/>
          <w:szCs w:val="20"/>
        </w:rPr>
        <w:t>Emilia</w:t>
      </w:r>
      <w:r w:rsidRPr="37EA5372" w:rsidR="34B21339">
        <w:rPr>
          <w:rFonts w:ascii="Calibri" w:hAnsi="Calibri" w:eastAsia="Calibri" w:cs="Calibri"/>
          <w:color w:val="000000" w:themeColor="text1" w:themeTint="FF" w:themeShade="FF"/>
          <w:sz w:val="20"/>
          <w:szCs w:val="20"/>
        </w:rPr>
        <w:t>, fodd bynnag, mae dogfennaeth yn canolbwyntio ar ystyr ac ansawdd dysgu yn hytrach na’i fesur (</w:t>
      </w:r>
      <w:r w:rsidRPr="37EA5372" w:rsidR="34B21339">
        <w:rPr>
          <w:rFonts w:ascii="Calibri" w:hAnsi="Calibri" w:eastAsia="Calibri" w:cs="Calibri"/>
          <w:color w:val="000000" w:themeColor="text1" w:themeTint="FF" w:themeShade="FF"/>
          <w:sz w:val="20"/>
          <w:szCs w:val="20"/>
        </w:rPr>
        <w:t>Gandini</w:t>
      </w:r>
      <w:r w:rsidRPr="37EA5372" w:rsidR="34B21339">
        <w:rPr>
          <w:rFonts w:ascii="Calibri" w:hAnsi="Calibri" w:eastAsia="Calibri" w:cs="Calibri"/>
          <w:color w:val="000000" w:themeColor="text1" w:themeTint="FF" w:themeShade="FF"/>
          <w:sz w:val="20"/>
          <w:szCs w:val="20"/>
        </w:rPr>
        <w:t xml:space="preserve"> a </w:t>
      </w:r>
      <w:r w:rsidRPr="37EA5372" w:rsidR="34B21339">
        <w:rPr>
          <w:rFonts w:ascii="Calibri" w:hAnsi="Calibri" w:eastAsia="Calibri" w:cs="Calibri"/>
          <w:color w:val="000000" w:themeColor="text1" w:themeTint="FF" w:themeShade="FF"/>
          <w:sz w:val="20"/>
          <w:szCs w:val="20"/>
        </w:rPr>
        <w:t>Goldhaber</w:t>
      </w:r>
      <w:r w:rsidRPr="37EA5372" w:rsidR="34B21339">
        <w:rPr>
          <w:rFonts w:ascii="Calibri" w:hAnsi="Calibri" w:eastAsia="Calibri" w:cs="Calibri"/>
          <w:color w:val="000000" w:themeColor="text1" w:themeTint="FF" w:themeShade="FF"/>
          <w:sz w:val="20"/>
          <w:szCs w:val="20"/>
        </w:rPr>
        <w:t xml:space="preserve">, 2022). Mae’r gwahaniaeth hwn yn adlewyrchu agweddau gwahanol tuag at atebolrwydd: yng Nghymru, mae’n systemig ac wedi’i ymgorffori mewn arolygu cenedlaethol; yn </w:t>
      </w:r>
      <w:r w:rsidRPr="37EA5372" w:rsidR="34B21339">
        <w:rPr>
          <w:rFonts w:ascii="Calibri" w:hAnsi="Calibri" w:eastAsia="Calibri" w:cs="Calibri"/>
          <w:color w:val="000000" w:themeColor="text1" w:themeTint="FF" w:themeShade="FF"/>
          <w:sz w:val="20"/>
          <w:szCs w:val="20"/>
        </w:rPr>
        <w:t>Reggio</w:t>
      </w:r>
      <w:r w:rsidRPr="37EA5372" w:rsidR="34B21339">
        <w:rPr>
          <w:rFonts w:ascii="Calibri" w:hAnsi="Calibri" w:eastAsia="Calibri" w:cs="Calibri"/>
          <w:color w:val="000000" w:themeColor="text1" w:themeTint="FF" w:themeShade="FF"/>
          <w:sz w:val="20"/>
          <w:szCs w:val="20"/>
        </w:rPr>
        <w:t>, mae’n berthynol ac yn foesegol, wedi’i wreiddio mewn ymddiriedaeth rhwng plant, rhieni ac athrawon.</w:t>
      </w:r>
    </w:p>
    <w:p w:rsidRPr="003759C8" w:rsidR="003759C8" w:rsidP="37EA5372" w:rsidRDefault="003759C8" w14:paraId="52F6D240" w14:textId="56B7E255">
      <w:pPr>
        <w:pStyle w:val="Normal"/>
        <w:spacing w:before="240" w:after="240" w:line="360" w:lineRule="auto"/>
        <w:jc w:val="both"/>
      </w:pPr>
      <w:r w:rsidRPr="37EA5372" w:rsidR="34B21339">
        <w:rPr>
          <w:rFonts w:ascii="Calibri" w:hAnsi="Calibri" w:eastAsia="Calibri" w:cs="Calibri"/>
          <w:color w:val="000000" w:themeColor="text1" w:themeTint="FF" w:themeShade="FF"/>
          <w:sz w:val="20"/>
          <w:szCs w:val="20"/>
        </w:rPr>
        <w:t xml:space="preserve">Mae </w:t>
      </w:r>
      <w:r w:rsidRPr="37EA5372" w:rsidR="34B21339">
        <w:rPr>
          <w:rFonts w:ascii="Calibri" w:hAnsi="Calibri" w:eastAsia="Calibri" w:cs="Calibri"/>
          <w:color w:val="000000" w:themeColor="text1" w:themeTint="FF" w:themeShade="FF"/>
          <w:sz w:val="20"/>
          <w:szCs w:val="20"/>
        </w:rPr>
        <w:t>Reggio</w:t>
      </w:r>
      <w:r w:rsidRPr="37EA5372" w:rsidR="34B21339">
        <w:rPr>
          <w:rFonts w:ascii="Calibri" w:hAnsi="Calibri" w:eastAsia="Calibri" w:cs="Calibri"/>
          <w:color w:val="000000" w:themeColor="text1" w:themeTint="FF" w:themeShade="FF"/>
          <w:sz w:val="20"/>
          <w:szCs w:val="20"/>
        </w:rPr>
        <w:t xml:space="preserve"> </w:t>
      </w:r>
      <w:r w:rsidRPr="37EA5372" w:rsidR="34B21339">
        <w:rPr>
          <w:rFonts w:ascii="Calibri" w:hAnsi="Calibri" w:eastAsia="Calibri" w:cs="Calibri"/>
          <w:color w:val="000000" w:themeColor="text1" w:themeTint="FF" w:themeShade="FF"/>
          <w:sz w:val="20"/>
          <w:szCs w:val="20"/>
        </w:rPr>
        <w:t>Emilia</w:t>
      </w:r>
      <w:r w:rsidRPr="37EA5372" w:rsidR="34B21339">
        <w:rPr>
          <w:rFonts w:ascii="Calibri" w:hAnsi="Calibri" w:eastAsia="Calibri" w:cs="Calibri"/>
          <w:color w:val="000000" w:themeColor="text1" w:themeTint="FF" w:themeShade="FF"/>
          <w:sz w:val="20"/>
          <w:szCs w:val="20"/>
        </w:rPr>
        <w:t xml:space="preserve"> yn trin rhieni fel cyd-adeiladwyr cwricwlwm ac aelodau gweithredol o lywodraeth leol, gan adlewyrchu ethos cymunedol a democrataidd (</w:t>
      </w:r>
      <w:r w:rsidRPr="37EA5372" w:rsidR="34B21339">
        <w:rPr>
          <w:rFonts w:ascii="Calibri" w:hAnsi="Calibri" w:eastAsia="Calibri" w:cs="Calibri"/>
          <w:color w:val="000000" w:themeColor="text1" w:themeTint="FF" w:themeShade="FF"/>
          <w:sz w:val="20"/>
          <w:szCs w:val="20"/>
        </w:rPr>
        <w:t>Rinaldi</w:t>
      </w:r>
      <w:r w:rsidRPr="37EA5372" w:rsidR="34B21339">
        <w:rPr>
          <w:rFonts w:ascii="Calibri" w:hAnsi="Calibri" w:eastAsia="Calibri" w:cs="Calibri"/>
          <w:color w:val="000000" w:themeColor="text1" w:themeTint="FF" w:themeShade="FF"/>
          <w:sz w:val="20"/>
          <w:szCs w:val="20"/>
        </w:rPr>
        <w:t xml:space="preserve">, 2006). Mae Cwricwlwm Cymru, er ei fod yn annog ymgysylltu rhieni, yn gweithredu o fewn strwythurau mwy hierarchaidd lle mae penderfyniadau’n cael eu llywio gan arbenigwyr proffesiynol. Yn yr un modd, er bod y ddau gwricwlwm yn pwysleisio’r amgylchedd fel elfen ganolog, mae’r buddsoddiad materol a diwylliannol sydd wedi gwneud gofodau </w:t>
      </w:r>
      <w:r w:rsidRPr="37EA5372" w:rsidR="34B21339">
        <w:rPr>
          <w:rFonts w:ascii="Calibri" w:hAnsi="Calibri" w:eastAsia="Calibri" w:cs="Calibri"/>
          <w:color w:val="000000" w:themeColor="text1" w:themeTint="FF" w:themeShade="FF"/>
          <w:sz w:val="20"/>
          <w:szCs w:val="20"/>
        </w:rPr>
        <w:t>Reggio</w:t>
      </w:r>
      <w:r w:rsidRPr="37EA5372" w:rsidR="34B21339">
        <w:rPr>
          <w:rFonts w:ascii="Calibri" w:hAnsi="Calibri" w:eastAsia="Calibri" w:cs="Calibri"/>
          <w:color w:val="000000" w:themeColor="text1" w:themeTint="FF" w:themeShade="FF"/>
          <w:sz w:val="20"/>
          <w:szCs w:val="20"/>
        </w:rPr>
        <w:t xml:space="preserve"> mor esthetig ac ysgogol yn anodd ei efelychu mewn system addysgol genedlaethol sy’n gweithredu dan gyfyngiadau cyllidebol.</w:t>
      </w:r>
    </w:p>
    <w:p w:rsidRPr="003759C8" w:rsidR="003759C8" w:rsidP="37EA5372" w:rsidRDefault="003759C8" w14:paraId="7CB0BE09" w14:textId="17CE6420">
      <w:pPr>
        <w:pStyle w:val="Normal"/>
        <w:spacing w:before="240" w:after="240" w:line="360" w:lineRule="auto"/>
        <w:jc w:val="both"/>
        <w:rPr>
          <w:rFonts w:ascii="Calibri" w:hAnsi="Calibri" w:eastAsia="Calibri" w:cs="Calibri"/>
          <w:color w:val="000000" w:themeColor="text1" w:themeTint="FF" w:themeShade="FF"/>
          <w:sz w:val="20"/>
          <w:szCs w:val="20"/>
        </w:rPr>
      </w:pPr>
      <w:r w:rsidRPr="37EA5372" w:rsidR="63C074B9">
        <w:rPr>
          <w:rFonts w:ascii="Calibri" w:hAnsi="Calibri" w:eastAsia="Calibri" w:cs="Calibri"/>
          <w:color w:val="000000" w:themeColor="text1" w:themeTint="FF" w:themeShade="FF"/>
          <w:sz w:val="20"/>
          <w:szCs w:val="20"/>
        </w:rPr>
        <w:t>Mae gweithredu cwricwlwm sy’n seiliedig ar chwarae yng Nghymru yn wynebu sawl her sylfaenol. Mae’r angen i gyfieithu chwarae i dystiolaeth asesadwy yn un o’r prif rwystrau. Mae arsylwi chwarae plant yn gofyn am ddehongliad sensitif ac amser myfyriol, ond mae llwyth gwaith trwm ac atebolrwydd yn cyfyngu ar y gallu hwn. Mae Canning (2018) yn dadlau bod dal cyfoeth chwarae’n gofyn am sgiliau dadansoddol a damcaniaethol uwch, nid dim ond cofnodi gweithgareddau. Pan fydd amser yn gyfyngedig, mae’r perygl yw bod chwarae’n cael ei leihau i weithgarwch “arwynebol”, gan golli ei botensial addysgegol (Dubiel, 2016). Mae problemau adnoddau hefyd yn sylweddol: mae Saracho (2020) yn tynnu sylw at bwysigrwydd cymarebau oedolyn-plentyn priodol, amser estynedig ar gyfer chwarae di-dor ac amgylcheddau ag adnoddau digonol i gynnal ymholi creadigol. Mewn llawer o leoliadau Cymreig, yn enwedig rhai economaidd difreintiedig, nid yw’r amodau hyn bob amser yn bodoli, gan arwain at weithredu anghyson o egwyddorion chwarae.</w:t>
      </w:r>
    </w:p>
    <w:p w:rsidRPr="003759C8" w:rsidR="003759C8" w:rsidP="37EA5372" w:rsidRDefault="003759C8" w14:paraId="4837043B" w14:textId="31C0FA8F">
      <w:pPr>
        <w:pStyle w:val="Normal"/>
        <w:spacing w:before="240" w:after="240" w:line="360" w:lineRule="auto"/>
        <w:jc w:val="both"/>
      </w:pPr>
      <w:r w:rsidRPr="37EA5372" w:rsidR="63C074B9">
        <w:rPr>
          <w:rFonts w:ascii="Calibri" w:hAnsi="Calibri" w:eastAsia="Calibri" w:cs="Calibri"/>
          <w:color w:val="000000" w:themeColor="text1" w:themeTint="FF" w:themeShade="FF"/>
          <w:sz w:val="20"/>
          <w:szCs w:val="20"/>
        </w:rPr>
        <w:t>Yn ogystal, mae pwysau arolygu a disgwyliadau cenedlaethol yn gallu tanseilio athroniaeth y cwricwlwm. Er bod Cwricwlwm Cymru’n ceisio symud oddi wrth addysg sy’n canolbwyntio ar ganlyniadau, mae systemau atebolrwydd yn dal i ffafrio tystiolaeth ddata dros dystiolaeth broffesiynol. Mae Siraj-Blatchford a Manni (2018) yn nodi bod addysgwyr blynyddoedd cynnar yn aml yn profi tensiwn rhwng dull datblygiadol ac atebolrwydd systemig, gan arwain at berthynas gymhleth rhwng athroniaeth a realiti.</w:t>
      </w:r>
    </w:p>
    <w:p w:rsidRPr="003759C8" w:rsidR="003759C8" w:rsidP="37EA5372" w:rsidRDefault="003759C8" w14:paraId="23B9B4EA" w14:textId="23BB43C0">
      <w:pPr>
        <w:pStyle w:val="Normal"/>
        <w:spacing w:before="240" w:after="240" w:line="360" w:lineRule="auto"/>
        <w:jc w:val="both"/>
      </w:pPr>
      <w:r w:rsidRPr="37EA5372" w:rsidR="63C074B9">
        <w:rPr>
          <w:rFonts w:ascii="Calibri" w:hAnsi="Calibri" w:eastAsia="Calibri" w:cs="Calibri"/>
          <w:color w:val="000000" w:themeColor="text1" w:themeTint="FF" w:themeShade="FF"/>
          <w:sz w:val="20"/>
          <w:szCs w:val="20"/>
        </w:rPr>
        <w:t>Serch yr heriau hyn, mae potensial Reggio Emilia yn parhau’n fawr. Nid yw’r gwerth yn gorwedd mewn efelychu uniongyrchol, ond mewn addasu egwyddorion allweddol i gyd-destun Cymru. Fel y mae Wood (2020) yn nodi, gall mabwysiadu agweddau fel dogfennaeth fyfyriol, ymholi seiliedig ar brosiectau, ac estheteg yr amgylchedd ddyfnhau dealltwriaeth ac ymgysylltiad plant heb golli cyd-destun lleol. Mae Canning (2018) yn dadlau nad yw Reggio yn fodel i’w efelychu ond lens i ailystyried addysgeg fel ffordd o weld dysgu fel cyd-adeiladu gwybodaeth ac ystyr.</w:t>
      </w:r>
    </w:p>
    <w:p w:rsidRPr="003759C8" w:rsidR="003759C8" w:rsidP="37EA5372" w:rsidRDefault="003759C8" w14:paraId="3B66973F" w14:textId="5A4CF6E3">
      <w:pPr>
        <w:pStyle w:val="Normal"/>
        <w:spacing w:before="240" w:after="240" w:line="360" w:lineRule="auto"/>
        <w:jc w:val="both"/>
      </w:pPr>
      <w:r w:rsidRPr="37EA5372" w:rsidR="63C074B9">
        <w:rPr>
          <w:rFonts w:ascii="Calibri" w:hAnsi="Calibri" w:eastAsia="Calibri" w:cs="Calibri"/>
          <w:color w:val="000000" w:themeColor="text1" w:themeTint="FF" w:themeShade="FF"/>
          <w:sz w:val="20"/>
          <w:szCs w:val="20"/>
        </w:rPr>
        <w:t>Yn y pen draw, mae gweithredu llwyddiannus ar unrhyw gwricwlwm sy’n seiliedig ar chwarae’n dibynnu ar gyfuniad o amodau strwythurol, diwylliannol a phroffesiynol. Mae angen aliniad polisi cydlynol sy’n ymddiried mewn barn broffesiynol ac yn cydnabod gwerth chwarae fel dysgu dwfn. Mae angen datblygiad proffesiynol parhaus sy’n meithrin myfyrio, damcaniaethu a chydweithio, ynghyd ag adnoddau, amser ac amgylcheddau sy’n cefnogi ymholi, a system asesu sy’n parchu cymhlethdod dysgu plant.</w:t>
      </w:r>
    </w:p>
    <w:p w:rsidRPr="003759C8" w:rsidR="003759C8" w:rsidP="37EA5372" w:rsidRDefault="003759C8" w14:paraId="50068C7A" w14:textId="6F573D4C">
      <w:pPr>
        <w:pStyle w:val="Normal"/>
        <w:spacing w:before="240" w:after="240" w:line="360" w:lineRule="auto"/>
        <w:jc w:val="both"/>
      </w:pPr>
      <w:r w:rsidRPr="37EA5372" w:rsidR="34B21339">
        <w:rPr>
          <w:rFonts w:ascii="Calibri" w:hAnsi="Calibri" w:eastAsia="Calibri" w:cs="Calibri"/>
          <w:color w:val="000000" w:themeColor="text1" w:themeTint="FF" w:themeShade="FF"/>
          <w:sz w:val="20"/>
          <w:szCs w:val="20"/>
        </w:rPr>
        <w:t xml:space="preserve">Pan fydd yr elfennau hyn yn cydgyfeirio, gall addysg seiliedig ar chwarae wireddu ei haddewid o feithrin dysgwyr dychmygus, galluog ac </w:t>
      </w:r>
      <w:r w:rsidRPr="37EA5372" w:rsidR="34B21339">
        <w:rPr>
          <w:rFonts w:ascii="Calibri" w:hAnsi="Calibri" w:eastAsia="Calibri" w:cs="Calibri"/>
          <w:color w:val="000000" w:themeColor="text1" w:themeTint="FF" w:themeShade="FF"/>
          <w:sz w:val="20"/>
          <w:szCs w:val="20"/>
        </w:rPr>
        <w:t>empathig</w:t>
      </w:r>
      <w:r w:rsidRPr="37EA5372" w:rsidR="34B21339">
        <w:rPr>
          <w:rFonts w:ascii="Calibri" w:hAnsi="Calibri" w:eastAsia="Calibri" w:cs="Calibri"/>
          <w:color w:val="000000" w:themeColor="text1" w:themeTint="FF" w:themeShade="FF"/>
          <w:sz w:val="20"/>
          <w:szCs w:val="20"/>
        </w:rPr>
        <w:t xml:space="preserve">. Fel y mae Taylor a </w:t>
      </w:r>
      <w:r w:rsidRPr="37EA5372" w:rsidR="34B21339">
        <w:rPr>
          <w:rFonts w:ascii="Calibri" w:hAnsi="Calibri" w:eastAsia="Calibri" w:cs="Calibri"/>
          <w:color w:val="000000" w:themeColor="text1" w:themeTint="FF" w:themeShade="FF"/>
          <w:sz w:val="20"/>
          <w:szCs w:val="20"/>
        </w:rPr>
        <w:t>Hallet</w:t>
      </w:r>
      <w:r w:rsidRPr="37EA5372" w:rsidR="34B21339">
        <w:rPr>
          <w:rFonts w:ascii="Calibri" w:hAnsi="Calibri" w:eastAsia="Calibri" w:cs="Calibri"/>
          <w:color w:val="000000" w:themeColor="text1" w:themeTint="FF" w:themeShade="FF"/>
          <w:sz w:val="20"/>
          <w:szCs w:val="20"/>
        </w:rPr>
        <w:t xml:space="preserve"> (2024) yn awgrymu, dim ond pan fydd polisi, arweinyddiaeth ac ymarfer yn symud gyda’i gilydd y gall Cwricwlwm Cymru gyflawni ei botensial trawsnewidiol. Mae </w:t>
      </w:r>
      <w:r w:rsidRPr="37EA5372" w:rsidR="34B21339">
        <w:rPr>
          <w:rFonts w:ascii="Calibri" w:hAnsi="Calibri" w:eastAsia="Calibri" w:cs="Calibri"/>
          <w:color w:val="000000" w:themeColor="text1" w:themeTint="FF" w:themeShade="FF"/>
          <w:sz w:val="20"/>
          <w:szCs w:val="20"/>
        </w:rPr>
        <w:t>Reggio</w:t>
      </w:r>
      <w:r w:rsidRPr="37EA5372" w:rsidR="34B21339">
        <w:rPr>
          <w:rFonts w:ascii="Calibri" w:hAnsi="Calibri" w:eastAsia="Calibri" w:cs="Calibri"/>
          <w:color w:val="000000" w:themeColor="text1" w:themeTint="FF" w:themeShade="FF"/>
          <w:sz w:val="20"/>
          <w:szCs w:val="20"/>
        </w:rPr>
        <w:t xml:space="preserve"> </w:t>
      </w:r>
      <w:r w:rsidRPr="37EA5372" w:rsidR="34B21339">
        <w:rPr>
          <w:rFonts w:ascii="Calibri" w:hAnsi="Calibri" w:eastAsia="Calibri" w:cs="Calibri"/>
          <w:color w:val="000000" w:themeColor="text1" w:themeTint="FF" w:themeShade="FF"/>
          <w:sz w:val="20"/>
          <w:szCs w:val="20"/>
        </w:rPr>
        <w:t>Emilia</w:t>
      </w:r>
      <w:r w:rsidRPr="37EA5372" w:rsidR="34B21339">
        <w:rPr>
          <w:rFonts w:ascii="Calibri" w:hAnsi="Calibri" w:eastAsia="Calibri" w:cs="Calibri"/>
          <w:color w:val="000000" w:themeColor="text1" w:themeTint="FF" w:themeShade="FF"/>
          <w:sz w:val="20"/>
          <w:szCs w:val="20"/>
        </w:rPr>
        <w:t xml:space="preserve"> yn dangos beth sy’n bosibl pan fo dysgu, estheteg ac ymddiriedaeth yn cydblethu; mae Cymru’n dangos sut y gellir gwireddu’r delfrydau hynny o fewn system genedlaethol. Mae’r her, felly, nid yn unig i chwarae’n dda, ond i ymddiried yn y chwarae fel hanfod dysgu.</w:t>
      </w:r>
    </w:p>
    <w:p w:rsidRPr="003759C8" w:rsidR="003759C8" w:rsidP="4E15EC36" w:rsidRDefault="003759C8" w14:paraId="77C93DA4" w14:textId="326E0EDB">
      <w:pPr>
        <w:spacing w:before="240" w:after="240" w:line="360" w:lineRule="auto"/>
        <w:rPr>
          <w:rFonts w:ascii="Calibri" w:hAnsi="Calibri" w:eastAsia="Calibri" w:cs="Calibri"/>
          <w:sz w:val="20"/>
          <w:szCs w:val="20"/>
        </w:rPr>
      </w:pPr>
      <w:r w:rsidRPr="4E15EC36">
        <w:rPr>
          <w:rFonts w:ascii="Calibri" w:hAnsi="Calibri" w:eastAsia="Calibri" w:cs="Calibri"/>
          <w:sz w:val="20"/>
          <w:szCs w:val="20"/>
        </w:rPr>
        <w:br w:type="page"/>
      </w:r>
    </w:p>
    <w:p w:rsidRPr="003759C8" w:rsidR="003759C8" w:rsidP="4E15EC36" w:rsidRDefault="003759C8" w14:paraId="2864D94C" w14:textId="77777777" w14:noSpellErr="1">
      <w:pPr>
        <w:pStyle w:val="Normal"/>
        <w:spacing w:before="240" w:after="240" w:line="360" w:lineRule="auto"/>
        <w:jc w:val="both"/>
        <w:rPr>
          <w:rFonts w:ascii="Calibri" w:hAnsi="Calibri" w:eastAsia="Calibri" w:cs="Calibri"/>
          <w:kern w:val="0"/>
          <w:sz w:val="20"/>
          <w:szCs w:val="20"/>
          <w14:ligatures w14:val="none"/>
        </w:rPr>
      </w:pPr>
      <w:r w:rsidRPr="4E15EC36" w:rsidR="003759C8">
        <w:rPr>
          <w:rFonts w:ascii="Calibri" w:hAnsi="Calibri" w:eastAsia="Calibri" w:cs="Calibri"/>
          <w:color w:val="000000"/>
          <w:kern w:val="0"/>
          <w:sz w:val="20"/>
          <w:szCs w:val="20"/>
          <w:lang w:val="Welsh"/>
          <w14:ligatures w14:val="none"/>
        </w:rPr>
        <w:t>RHAN 2</w:t>
      </w:r>
    </w:p>
    <w:p w:rsidR="4A411956" w:rsidP="37EA5372" w:rsidRDefault="4A411956" w14:paraId="6588FB8E" w14:textId="16165F61">
      <w:pPr>
        <w:pStyle w:val="Normal"/>
        <w:spacing w:before="240" w:after="240" w:line="360" w:lineRule="auto"/>
        <w:jc w:val="both"/>
        <w:rPr>
          <w:rFonts w:ascii="Calibri" w:hAnsi="Calibri" w:eastAsia="Calibri" w:cs="Calibri"/>
          <w:color w:val="000000" w:themeColor="text1" w:themeTint="FF" w:themeShade="FF"/>
          <w:sz w:val="20"/>
          <w:szCs w:val="20"/>
        </w:rPr>
      </w:pPr>
      <w:r w:rsidRPr="37EA5372" w:rsidR="4A411956">
        <w:rPr>
          <w:rFonts w:ascii="Calibri" w:hAnsi="Calibri" w:eastAsia="Calibri" w:cs="Calibri"/>
          <w:color w:val="000000" w:themeColor="text1" w:themeTint="FF" w:themeShade="FF"/>
          <w:sz w:val="20"/>
          <w:szCs w:val="20"/>
        </w:rPr>
        <w:t>Mae’r cysyniad o’r Plentyn Unigryw wedi dod yn gonglfaen i bolisi ac arfer addysg gynnar yng Nghymru ac ar draws y Deyrnas Unedig. Mae’n seiliedig ar yr egwyddor fod pob plentyn yn ddysgwr cymwys, gweithredol ac unigryw o’i enedigaeth, gyda’i nodweddion, ei ddiddordebau a’i lwybrau dysgu penodol (Dalton, 2018). Yn ymarferol, mae hyn yn galw am addysgeg sy’n canolbwyntio ar blant fel unigolion, nid fel rhan o norm unffurf. Mewn cyd-destun cwricwlwm sy’n seiliedig ar chwarae, mae’r egwyddor hon yn cael ei roi ar waith trwy ddulliau asesu sy’n ceisio dal ac adlewyrchu’r unigoliaeth honno, gan osgoi lleihau dysgu plentyn i dicio blychau oedran neu gyrraedd cerrig milltir penodol. Fodd bynnag, mae asesu’n parhau’n hanfodol ar gyfer cynllunio, monitro a chefnogi cynnydd, gan ofyn am gydbwysedd rhwng hyblygrwydd ac atebolrwydd.</w:t>
      </w:r>
    </w:p>
    <w:p w:rsidR="4A411956" w:rsidP="37EA5372" w:rsidRDefault="4A411956" w14:paraId="33D09930" w14:textId="257D9D91">
      <w:pPr>
        <w:pStyle w:val="Normal"/>
        <w:spacing w:before="240" w:after="240" w:line="360" w:lineRule="auto"/>
        <w:jc w:val="both"/>
      </w:pPr>
      <w:r w:rsidRPr="37EA5372" w:rsidR="4A411956">
        <w:rPr>
          <w:rFonts w:ascii="Calibri" w:hAnsi="Calibri" w:eastAsia="Calibri" w:cs="Calibri"/>
          <w:color w:val="000000" w:themeColor="text1" w:themeTint="FF" w:themeShade="FF"/>
          <w:sz w:val="20"/>
          <w:szCs w:val="20"/>
        </w:rPr>
        <w:t>Mae’r traethawd hwn yn archwilio sut mae cydnabyddiaeth o’r Plentyn Unigryw yn cyfuno ag egwyddorion cwricwlwm sy’n seiliedig ar chwarae, gan ganolbwyntio ar ddau ddull asesu cyferbyniol: portffolios stori ddysgu a modelau carreg filltir datblygiadol. Trwy gymharu’r dulliau hyn, trafodir i ba raddau maent yn cynnal egwyddorion unigoliaeth, yn enwedig ar gyfer anghenion dysgu ychwanegol (ADY), niwroamrywiaeth a thegwch. Yn olaf, ystyriir yr heriau ymarferol o weithredu systemau asesu cynhwysol o fewn fframweithiau polisi megis Cwricwlwm Cymru a’r EYFS.</w:t>
      </w:r>
    </w:p>
    <w:p w:rsidR="4A411956" w:rsidP="37EA5372" w:rsidRDefault="4A411956" w14:paraId="1D13F050" w14:textId="43B6F302">
      <w:pPr>
        <w:pStyle w:val="Normal"/>
        <w:spacing w:before="240" w:after="240" w:line="360" w:lineRule="auto"/>
        <w:jc w:val="both"/>
      </w:pPr>
      <w:r w:rsidRPr="37EA5372" w:rsidR="4A411956">
        <w:rPr>
          <w:rFonts w:ascii="Calibri" w:hAnsi="Calibri" w:eastAsia="Calibri" w:cs="Calibri"/>
          <w:color w:val="000000" w:themeColor="text1" w:themeTint="FF" w:themeShade="FF"/>
          <w:sz w:val="20"/>
          <w:szCs w:val="20"/>
        </w:rPr>
        <w:t>Mae’r Plentyn Unigryw yn tynnu sylw at y ffaith bod datblygiad plant yn digwydd ar wahanol gyfraddau ac mewn gwahanol ffyrdd, wedi’u siapio gan eu tueddiadau personol, eu profiadau blaenorol a’u cyd-destunau cymdeithasol (</w:t>
      </w:r>
      <w:r w:rsidRPr="37EA5372" w:rsidR="4A411956">
        <w:rPr>
          <w:rFonts w:ascii="Calibri" w:hAnsi="Calibri" w:eastAsia="Calibri" w:cs="Calibri"/>
          <w:color w:val="000000" w:themeColor="text1" w:themeTint="FF" w:themeShade="FF"/>
          <w:sz w:val="20"/>
          <w:szCs w:val="20"/>
        </w:rPr>
        <w:t>Wills</w:t>
      </w:r>
      <w:r w:rsidRPr="37EA5372" w:rsidR="4A411956">
        <w:rPr>
          <w:rFonts w:ascii="Calibri" w:hAnsi="Calibri" w:eastAsia="Calibri" w:cs="Calibri"/>
          <w:color w:val="000000" w:themeColor="text1" w:themeTint="FF" w:themeShade="FF"/>
          <w:sz w:val="20"/>
          <w:szCs w:val="20"/>
        </w:rPr>
        <w:t>, 2025). Mewn addysg seiliedig ar chwarae, mae plant yn cael eu cydnabod fel crefftwyr gweithredol eu dysgu eu hunain (Wood, 2020). Mae’r oedolyn yn gweithredu fel arsylwr a chyd-adeiladwr gwybodaeth, gan ymateb i’r hyn y mae’r plentyn yn ei ddangos drwy chwarae. Felly, mae asesu’n rhaid bod wedi’i wreiddio yn y rhyngweithio hwn—yn ffurfiannol, parhaus ac ystyrlon yn hytrach nag yn fframwaith statig.</w:t>
      </w:r>
    </w:p>
    <w:p w:rsidR="4D9DE451" w:rsidP="37EA5372" w:rsidRDefault="4D9DE451" w14:paraId="618430A0" w14:textId="00CE7207">
      <w:pPr>
        <w:pStyle w:val="Normal"/>
        <w:spacing w:before="240" w:after="240" w:line="360" w:lineRule="auto"/>
        <w:jc w:val="both"/>
        <w:rPr>
          <w:rFonts w:ascii="Calibri" w:hAnsi="Calibri" w:eastAsia="Calibri" w:cs="Calibri"/>
          <w:color w:val="000000" w:themeColor="text1" w:themeTint="FF" w:themeShade="FF"/>
          <w:sz w:val="20"/>
          <w:szCs w:val="20"/>
        </w:rPr>
      </w:pPr>
      <w:r w:rsidRPr="37EA5372" w:rsidR="4D9DE451">
        <w:rPr>
          <w:rFonts w:ascii="Calibri" w:hAnsi="Calibri" w:eastAsia="Calibri" w:cs="Calibri"/>
          <w:color w:val="000000" w:themeColor="text1" w:themeTint="FF" w:themeShade="FF"/>
          <w:sz w:val="20"/>
          <w:szCs w:val="20"/>
        </w:rPr>
        <w:t>Un dull sy’n cyd-fynd â’r egwyddor o’r Plentyn Unigryw yw’r portffolio stori ddysgu. Mae’r dull hwn yn canolbwyntio ar ddogfennu profiadau dysgu plentyn drwy chwarae, gan gynnwys lluniau, darluniau, sgyrsiau, ac arteffactau a gasglwyd dros amser (</w:t>
      </w:r>
      <w:r w:rsidRPr="37EA5372" w:rsidR="4D9DE451">
        <w:rPr>
          <w:rFonts w:ascii="Calibri" w:hAnsi="Calibri" w:eastAsia="Calibri" w:cs="Calibri"/>
          <w:color w:val="000000" w:themeColor="text1" w:themeTint="FF" w:themeShade="FF"/>
          <w:sz w:val="20"/>
          <w:szCs w:val="20"/>
        </w:rPr>
        <w:t>Saracho</w:t>
      </w:r>
      <w:r w:rsidRPr="37EA5372" w:rsidR="4D9DE451">
        <w:rPr>
          <w:rFonts w:ascii="Calibri" w:hAnsi="Calibri" w:eastAsia="Calibri" w:cs="Calibri"/>
          <w:color w:val="000000" w:themeColor="text1" w:themeTint="FF" w:themeShade="FF"/>
          <w:sz w:val="20"/>
          <w:szCs w:val="20"/>
        </w:rPr>
        <w:t>, 2020). Trwy lunio straeon naratif o’r dysgu hwn, mae’r ymarferydd yn cydweithio â’r plentyn i adnabod diddordebau, sgiliau a llwybrau unigol. Nid yw’r plentyn felly yn destun asesu, ond yn bartner yn y broses</w:t>
      </w:r>
      <w:r w:rsidRPr="37EA5372" w:rsidR="1029E52F">
        <w:rPr>
          <w:rFonts w:ascii="Calibri" w:hAnsi="Calibri" w:eastAsia="Calibri" w:cs="Calibri"/>
          <w:color w:val="000000" w:themeColor="text1" w:themeTint="FF" w:themeShade="FF"/>
          <w:sz w:val="20"/>
          <w:szCs w:val="20"/>
        </w:rPr>
        <w:t xml:space="preserve"> </w:t>
      </w:r>
      <w:r w:rsidRPr="37EA5372" w:rsidR="4D9DE451">
        <w:rPr>
          <w:rFonts w:ascii="Calibri" w:hAnsi="Calibri" w:eastAsia="Calibri" w:cs="Calibri"/>
          <w:color w:val="000000" w:themeColor="text1" w:themeTint="FF" w:themeShade="FF"/>
          <w:sz w:val="20"/>
          <w:szCs w:val="20"/>
        </w:rPr>
        <w:t>yn trafod, yn myfyrio ac yn gweld ei gynnydd yn cael ei wneud yn weladwy.</w:t>
      </w:r>
    </w:p>
    <w:p w:rsidR="4D9DE451" w:rsidP="37EA5372" w:rsidRDefault="4D9DE451" w14:paraId="09FE5C9B" w14:textId="16753921">
      <w:pPr>
        <w:pStyle w:val="Normal"/>
        <w:spacing w:before="240" w:after="240" w:line="360" w:lineRule="auto"/>
        <w:jc w:val="both"/>
      </w:pPr>
      <w:r w:rsidRPr="37EA5372" w:rsidR="4D9DE451">
        <w:rPr>
          <w:rFonts w:ascii="Calibri" w:hAnsi="Calibri" w:eastAsia="Calibri" w:cs="Calibri"/>
          <w:color w:val="000000" w:themeColor="text1" w:themeTint="FF" w:themeShade="FF"/>
          <w:sz w:val="20"/>
          <w:szCs w:val="20"/>
        </w:rPr>
        <w:t xml:space="preserve">Mae’r dull hwn yn arbennig o addas ar gyfer cefnogi plant ag anghenion dysgu ychwanegol neu rai sy’n </w:t>
      </w:r>
      <w:r w:rsidRPr="37EA5372" w:rsidR="4D9DE451">
        <w:rPr>
          <w:rFonts w:ascii="Calibri" w:hAnsi="Calibri" w:eastAsia="Calibri" w:cs="Calibri"/>
          <w:color w:val="000000" w:themeColor="text1" w:themeTint="FF" w:themeShade="FF"/>
          <w:sz w:val="20"/>
          <w:szCs w:val="20"/>
        </w:rPr>
        <w:t>niwroamrywiol</w:t>
      </w:r>
      <w:r w:rsidRPr="37EA5372" w:rsidR="4D9DE451">
        <w:rPr>
          <w:rFonts w:ascii="Calibri" w:hAnsi="Calibri" w:eastAsia="Calibri" w:cs="Calibri"/>
          <w:color w:val="000000" w:themeColor="text1" w:themeTint="FF" w:themeShade="FF"/>
          <w:sz w:val="20"/>
          <w:szCs w:val="20"/>
        </w:rPr>
        <w:t xml:space="preserve">, gan ei fod yn caniatáu ar gyfer dulliau cyfathrebu a mynegiant amrywiol. Yn hytrach na mesur plentyn yn erbyn normau datblygiadol, mae’r portffolio’n cofnodi sut mae’r plentyn yn dysgu yn ei ffordd ei hun. Fel y mae </w:t>
      </w:r>
      <w:r w:rsidRPr="37EA5372" w:rsidR="4D9DE451">
        <w:rPr>
          <w:rFonts w:ascii="Calibri" w:hAnsi="Calibri" w:eastAsia="Calibri" w:cs="Calibri"/>
          <w:color w:val="000000" w:themeColor="text1" w:themeTint="FF" w:themeShade="FF"/>
          <w:sz w:val="20"/>
          <w:szCs w:val="20"/>
        </w:rPr>
        <w:t>Dubiel</w:t>
      </w:r>
      <w:r w:rsidRPr="37EA5372" w:rsidR="4D9DE451">
        <w:rPr>
          <w:rFonts w:ascii="Calibri" w:hAnsi="Calibri" w:eastAsia="Calibri" w:cs="Calibri"/>
          <w:color w:val="000000" w:themeColor="text1" w:themeTint="FF" w:themeShade="FF"/>
          <w:sz w:val="20"/>
          <w:szCs w:val="20"/>
        </w:rPr>
        <w:t xml:space="preserve"> (2016) yn nodi, mae hyn yn cynrychioli symudiad oddi wrth asesu sy’n seiliedig ar ddiffyg tuag at un sy’n seiliedig ar botensial</w:t>
      </w:r>
      <w:r w:rsidRPr="37EA5372" w:rsidR="3900751F">
        <w:rPr>
          <w:rFonts w:ascii="Calibri" w:hAnsi="Calibri" w:eastAsia="Calibri" w:cs="Calibri"/>
          <w:color w:val="000000" w:themeColor="text1" w:themeTint="FF" w:themeShade="FF"/>
          <w:sz w:val="20"/>
          <w:szCs w:val="20"/>
        </w:rPr>
        <w:t xml:space="preserve"> </w:t>
      </w:r>
      <w:r w:rsidRPr="37EA5372" w:rsidR="4D9DE451">
        <w:rPr>
          <w:rFonts w:ascii="Calibri" w:hAnsi="Calibri" w:eastAsia="Calibri" w:cs="Calibri"/>
          <w:color w:val="000000" w:themeColor="text1" w:themeTint="FF" w:themeShade="FF"/>
          <w:sz w:val="20"/>
          <w:szCs w:val="20"/>
        </w:rPr>
        <w:t>gan weld cryfderau a chreadigrwydd plant fel man cychwyn ar gyfer cynllunio.</w:t>
      </w:r>
    </w:p>
    <w:p w:rsidR="4D9DE451" w:rsidP="37EA5372" w:rsidRDefault="4D9DE451" w14:paraId="6D02066D" w14:textId="55EF808F">
      <w:pPr>
        <w:pStyle w:val="Normal"/>
        <w:spacing w:before="240" w:after="240" w:line="360" w:lineRule="auto"/>
        <w:jc w:val="both"/>
      </w:pPr>
      <w:r w:rsidRPr="37EA5372" w:rsidR="4D9DE451">
        <w:rPr>
          <w:rFonts w:ascii="Calibri" w:hAnsi="Calibri" w:eastAsia="Calibri" w:cs="Calibri"/>
          <w:color w:val="000000" w:themeColor="text1" w:themeTint="FF" w:themeShade="FF"/>
          <w:sz w:val="20"/>
          <w:szCs w:val="20"/>
        </w:rPr>
        <w:t>Yn ogystal, mae portffolios yn hyrwyddo deialog rhwng ymarferwyr, rhieni a’r plant eu hunain. Mae rhieni’n gallu gweld datblygiad eu plentyn mewn ffordd weledol ac ystyrlon, yn hytrach nag fel cyfres o farciau neu ganrannau. Yn nhermau addysgeg, mae’r dull hwn yn cyd-fynd yn agos â’r egwyddorion Reggio Emilia a’r Cwricwlwm i Gymru (2022), lle mae dysgu’n cael ei weld fel proses gydweithredol, fyfyriol ac wedi’i gwreiddio mewn profiad byw.</w:t>
      </w:r>
    </w:p>
    <w:p w:rsidR="4D9DE451" w:rsidP="37EA5372" w:rsidRDefault="4D9DE451" w14:paraId="4C1CBC3F" w14:textId="19662C09">
      <w:pPr>
        <w:pStyle w:val="Normal"/>
        <w:spacing w:before="240" w:after="240" w:line="360" w:lineRule="auto"/>
        <w:jc w:val="both"/>
      </w:pPr>
      <w:r w:rsidRPr="37EA5372" w:rsidR="4D9DE451">
        <w:rPr>
          <w:rFonts w:ascii="Calibri" w:hAnsi="Calibri" w:eastAsia="Calibri" w:cs="Calibri"/>
          <w:color w:val="000000" w:themeColor="text1" w:themeTint="FF" w:themeShade="FF"/>
          <w:sz w:val="20"/>
          <w:szCs w:val="20"/>
        </w:rPr>
        <w:t>Fodd bynnag, mae’r dull naratif hwn yn meddu ar gyfyngiadau ymarferol. Mae’n gofyn am amser sylweddol i arsylwi, dogfennu, myfyrio a chyfathrebu â rhieni. Mae’r broses hon yn dibynnu ar farn broffesiynol ymarferwyr, ac felly gall ansawdd a chysondeb y portffolios amrywio’n sylweddol rhwng lleoliadau (</w:t>
      </w:r>
      <w:r w:rsidRPr="37EA5372" w:rsidR="4D9DE451">
        <w:rPr>
          <w:rFonts w:ascii="Calibri" w:hAnsi="Calibri" w:eastAsia="Calibri" w:cs="Calibri"/>
          <w:color w:val="000000" w:themeColor="text1" w:themeTint="FF" w:themeShade="FF"/>
          <w:sz w:val="20"/>
          <w:szCs w:val="20"/>
        </w:rPr>
        <w:t>Canning</w:t>
      </w:r>
      <w:r w:rsidRPr="37EA5372" w:rsidR="4D9DE451">
        <w:rPr>
          <w:rFonts w:ascii="Calibri" w:hAnsi="Calibri" w:eastAsia="Calibri" w:cs="Calibri"/>
          <w:color w:val="000000" w:themeColor="text1" w:themeTint="FF" w:themeShade="FF"/>
          <w:sz w:val="20"/>
          <w:szCs w:val="20"/>
        </w:rPr>
        <w:t>, 2018). Mewn systemau lle mae pwysau atebolrwydd yn gryf, mae’r dull hwn hefyd yn agored i gael ei gyfethol gan resymau gweinyddol</w:t>
      </w:r>
      <w:r w:rsidRPr="37EA5372" w:rsidR="1371166E">
        <w:rPr>
          <w:rFonts w:ascii="Calibri" w:hAnsi="Calibri" w:eastAsia="Calibri" w:cs="Calibri"/>
          <w:color w:val="000000" w:themeColor="text1" w:themeTint="FF" w:themeShade="FF"/>
          <w:sz w:val="20"/>
          <w:szCs w:val="20"/>
        </w:rPr>
        <w:t xml:space="preserve"> </w:t>
      </w:r>
      <w:r w:rsidRPr="37EA5372" w:rsidR="4D9DE451">
        <w:rPr>
          <w:rFonts w:ascii="Calibri" w:hAnsi="Calibri" w:eastAsia="Calibri" w:cs="Calibri"/>
          <w:color w:val="000000" w:themeColor="text1" w:themeTint="FF" w:themeShade="FF"/>
          <w:sz w:val="20"/>
          <w:szCs w:val="20"/>
        </w:rPr>
        <w:t>ee, portffolios a gynhyrchir ar gyfer arolygiadau yn hytrach na dysgu. Pan fo hynny’n digwydd, gall y dull golli ei ystyr myfyriol ac unigolyddol.</w:t>
      </w:r>
    </w:p>
    <w:p w:rsidR="4D9DE451" w:rsidP="37EA5372" w:rsidRDefault="4D9DE451" w14:paraId="3938DE2F" w14:textId="5C24C983">
      <w:pPr>
        <w:pStyle w:val="Normal"/>
        <w:spacing w:before="240" w:after="240" w:line="360" w:lineRule="auto"/>
        <w:jc w:val="both"/>
      </w:pPr>
      <w:r w:rsidRPr="37EA5372" w:rsidR="4D9DE451">
        <w:rPr>
          <w:rFonts w:ascii="Calibri" w:hAnsi="Calibri" w:eastAsia="Calibri" w:cs="Calibri"/>
          <w:color w:val="000000" w:themeColor="text1" w:themeTint="FF" w:themeShade="FF"/>
          <w:sz w:val="20"/>
          <w:szCs w:val="20"/>
        </w:rPr>
        <w:t>Yn wahanol i’r dull portffolio, mae modelau cerrig milltir datblygiadol</w:t>
      </w:r>
      <w:r w:rsidRPr="37EA5372" w:rsidR="5B08F1C3">
        <w:rPr>
          <w:rFonts w:ascii="Calibri" w:hAnsi="Calibri" w:eastAsia="Calibri" w:cs="Calibri"/>
          <w:color w:val="000000" w:themeColor="text1" w:themeTint="FF" w:themeShade="FF"/>
          <w:sz w:val="20"/>
          <w:szCs w:val="20"/>
        </w:rPr>
        <w:t xml:space="preserve"> </w:t>
      </w:r>
      <w:r w:rsidRPr="37EA5372" w:rsidR="4D9DE451">
        <w:rPr>
          <w:rFonts w:ascii="Calibri" w:hAnsi="Calibri" w:eastAsia="Calibri" w:cs="Calibri"/>
          <w:color w:val="000000" w:themeColor="text1" w:themeTint="FF" w:themeShade="FF"/>
          <w:sz w:val="20"/>
          <w:szCs w:val="20"/>
        </w:rPr>
        <w:t>sy’n disgrifio dysgu disgwyliedig fesul oedran</w:t>
      </w:r>
      <w:r w:rsidRPr="37EA5372" w:rsidR="512F8C0F">
        <w:rPr>
          <w:rFonts w:ascii="Calibri" w:hAnsi="Calibri" w:eastAsia="Calibri" w:cs="Calibri"/>
          <w:color w:val="000000" w:themeColor="text1" w:themeTint="FF" w:themeShade="FF"/>
          <w:sz w:val="20"/>
          <w:szCs w:val="20"/>
        </w:rPr>
        <w:t xml:space="preserve"> </w:t>
      </w:r>
      <w:r w:rsidRPr="37EA5372" w:rsidR="4D9DE451">
        <w:rPr>
          <w:rFonts w:ascii="Calibri" w:hAnsi="Calibri" w:eastAsia="Calibri" w:cs="Calibri"/>
          <w:color w:val="000000" w:themeColor="text1" w:themeTint="FF" w:themeShade="FF"/>
          <w:sz w:val="20"/>
          <w:szCs w:val="20"/>
        </w:rPr>
        <w:t>yn cynnig dull safonol o asesu. Maent wedi’u hymgorffori mewn sawl fframwaith blynyddoedd cynnar ac yn cynnig iaith gyffredin ar gyfer trafod cynnydd, monitro grwpiau a chynllunio ymyriadau (</w:t>
      </w:r>
      <w:r w:rsidRPr="37EA5372" w:rsidR="4D9DE451">
        <w:rPr>
          <w:rFonts w:ascii="Calibri" w:hAnsi="Calibri" w:eastAsia="Calibri" w:cs="Calibri"/>
          <w:color w:val="000000" w:themeColor="text1" w:themeTint="FF" w:themeShade="FF"/>
          <w:sz w:val="20"/>
          <w:szCs w:val="20"/>
        </w:rPr>
        <w:t>Canning</w:t>
      </w:r>
      <w:r w:rsidRPr="37EA5372" w:rsidR="4D9DE451">
        <w:rPr>
          <w:rFonts w:ascii="Calibri" w:hAnsi="Calibri" w:eastAsia="Calibri" w:cs="Calibri"/>
          <w:color w:val="000000" w:themeColor="text1" w:themeTint="FF" w:themeShade="FF"/>
          <w:sz w:val="20"/>
          <w:szCs w:val="20"/>
        </w:rPr>
        <w:t>, 2018). Mae hyn yn darparu eglurder systemig ac yn helpu i sicrhau nad yw plant yn cael eu hanwybyddu pan fo oedi datblygiadol amlwg.</w:t>
      </w:r>
    </w:p>
    <w:p w:rsidR="4D9DE451" w:rsidP="37EA5372" w:rsidRDefault="4D9DE451" w14:paraId="4D2712CF" w14:textId="767243D7">
      <w:pPr>
        <w:pStyle w:val="Normal"/>
        <w:spacing w:before="240" w:after="240" w:line="360" w:lineRule="auto"/>
        <w:jc w:val="both"/>
      </w:pPr>
      <w:r w:rsidRPr="37EA5372" w:rsidR="4D9DE451">
        <w:rPr>
          <w:rFonts w:ascii="Calibri" w:hAnsi="Calibri" w:eastAsia="Calibri" w:cs="Calibri"/>
          <w:color w:val="000000" w:themeColor="text1" w:themeTint="FF" w:themeShade="FF"/>
          <w:sz w:val="20"/>
          <w:szCs w:val="20"/>
        </w:rPr>
        <w:t>Fodd bynnag, fel y mae Wills (2025) yn dadlau, mae’r dull hwn yn seiliedig ar ragdybiaethau normadol am ddatblygiad “nodweddiadol”. Mae plant sy’n gwyro o’r llwybr disgwyliedig yn aml yn cael eu gweld fel rhai “y tu ôl”, yn hytrach nag yn wahanol yn unig. Mae hyn yn peri risg o patholeiddio gwahaniaethau naturiol a diwylliannol, ac o danseilio hunaniaeth y plentyn fel dysgwr cymwys.</w:t>
      </w:r>
    </w:p>
    <w:p w:rsidR="4D9DE451" w:rsidP="37EA5372" w:rsidRDefault="4D9DE451" w14:paraId="1D1508A6" w14:textId="74D85FB4">
      <w:pPr>
        <w:pStyle w:val="Normal"/>
        <w:spacing w:before="240" w:after="240" w:line="360" w:lineRule="auto"/>
        <w:jc w:val="both"/>
      </w:pPr>
      <w:r w:rsidRPr="37EA5372" w:rsidR="4D9DE451">
        <w:rPr>
          <w:rFonts w:ascii="Calibri" w:hAnsi="Calibri" w:eastAsia="Calibri" w:cs="Calibri"/>
          <w:color w:val="000000" w:themeColor="text1" w:themeTint="FF" w:themeShade="FF"/>
          <w:sz w:val="20"/>
          <w:szCs w:val="20"/>
        </w:rPr>
        <w:t>Mae ymchwil diweddar gan Parsons et al. (2021) ar blant ar y sbectrwm awtistiaeth yn dangos sut mae dulliau asesu safonol yn aml yn methu â dal cryfderau cymdeithasol ac emosiynol plant, gan anwybyddu eu ffyrdd unigryw o ymgysylltu a dysgu. Yn yr un modd, mae Bee-Booth (2020) yn dangos sut mae gweithgareddau chwarae a ddefnyddir ar gyfer asesu mewn dosbarthiadau Derbyn yn aml yn cael eu llywio gan ganlyniadau oedran penodol, gan leihau dychymyg a mynegiant plentyn. Felly, gall modelau cerrig milltir arwain at ddulliau “ticio blwch” sy’n seiliedig ar ddata yn hytrach na dealltwriaeth.</w:t>
      </w:r>
    </w:p>
    <w:p w:rsidR="4D9DE451" w:rsidP="37EA5372" w:rsidRDefault="4D9DE451" w14:paraId="67441E08" w14:textId="68D7FF03">
      <w:pPr>
        <w:pStyle w:val="Normal"/>
        <w:spacing w:before="240" w:after="240" w:line="360" w:lineRule="auto"/>
        <w:jc w:val="both"/>
      </w:pPr>
      <w:r w:rsidRPr="37EA5372" w:rsidR="4D9DE451">
        <w:rPr>
          <w:rFonts w:ascii="Calibri" w:hAnsi="Calibri" w:eastAsia="Calibri" w:cs="Calibri"/>
          <w:color w:val="000000" w:themeColor="text1" w:themeTint="FF" w:themeShade="FF"/>
          <w:sz w:val="20"/>
          <w:szCs w:val="20"/>
        </w:rPr>
        <w:t>Yn ogystal, mae asesu cyfnod oedran fel arfer yn seiliedig ar arsylwadau byr, gan fethu â dal trywydd datblygiadol plentyn dros amser. Gall hyn greu darlun anodd o’r plentyn, gan roi mwy o bwys ar allu medrus na phrosesau fel gwydnwch, chwilfrydedd neu gydweithio</w:t>
      </w:r>
      <w:r w:rsidRPr="37EA5372" w:rsidR="50AEDAC5">
        <w:rPr>
          <w:rFonts w:ascii="Calibri" w:hAnsi="Calibri" w:eastAsia="Calibri" w:cs="Calibri"/>
          <w:color w:val="000000" w:themeColor="text1" w:themeTint="FF" w:themeShade="FF"/>
          <w:sz w:val="20"/>
          <w:szCs w:val="20"/>
        </w:rPr>
        <w:t xml:space="preserve"> </w:t>
      </w:r>
      <w:r w:rsidRPr="37EA5372" w:rsidR="4D9DE451">
        <w:rPr>
          <w:rFonts w:ascii="Calibri" w:hAnsi="Calibri" w:eastAsia="Calibri" w:cs="Calibri"/>
          <w:color w:val="000000" w:themeColor="text1" w:themeTint="FF" w:themeShade="FF"/>
          <w:sz w:val="20"/>
          <w:szCs w:val="20"/>
        </w:rPr>
        <w:t>elfennau sy’n greiddiol i ddysgu seiliedig ar chwarae (Wood, 2020).</w:t>
      </w:r>
    </w:p>
    <w:p w:rsidR="4D9DE451" w:rsidP="37EA5372" w:rsidRDefault="4D9DE451" w14:paraId="4295EE3A" w14:textId="2B2EE8B9">
      <w:pPr>
        <w:pStyle w:val="Normal"/>
        <w:spacing w:before="240" w:after="240" w:line="360" w:lineRule="auto"/>
        <w:jc w:val="both"/>
        <w:rPr>
          <w:rFonts w:ascii="Calibri" w:hAnsi="Calibri" w:eastAsia="Calibri" w:cs="Calibri"/>
          <w:color w:val="000000" w:themeColor="text1" w:themeTint="FF" w:themeShade="FF"/>
          <w:sz w:val="20"/>
          <w:szCs w:val="20"/>
        </w:rPr>
      </w:pPr>
      <w:r w:rsidRPr="37EA5372" w:rsidR="4D9DE451">
        <w:rPr>
          <w:rFonts w:ascii="Calibri" w:hAnsi="Calibri" w:eastAsia="Calibri" w:cs="Calibri"/>
          <w:color w:val="000000" w:themeColor="text1" w:themeTint="FF" w:themeShade="FF"/>
          <w:sz w:val="20"/>
          <w:szCs w:val="20"/>
        </w:rPr>
        <w:t>Wrth werthuso’r ddau ddull, mae’n ymddangos bod portffolios stori ddysgu yn cynnal y Plentyn Unigryw yn fwy effeithiol, gan adlewyrchu natur unigol dysgu plant ac yn rhoi lle i lais y plentyn. Fodd bynnag, mae eu heffeithiolrwydd yn dibynnu ar ansawdd ymarferwyr, eu gallu myfyriol, ac adnoddau amser. Mae modelau carreg filltir, er eu bod yn cynnig eglurder ac atebolrwydd, yn dueddol o leihau unigoliaeth a chreu naratif diffyg ynghylch plant nad ydynt yn ffitio i batrymau normadol.</w:t>
      </w:r>
    </w:p>
    <w:p w:rsidR="4D9DE451" w:rsidP="37EA5372" w:rsidRDefault="4D9DE451" w14:paraId="2778885F" w14:textId="39ABAAEC">
      <w:pPr>
        <w:pStyle w:val="Normal"/>
        <w:spacing w:before="240" w:after="240" w:line="360" w:lineRule="auto"/>
        <w:jc w:val="both"/>
      </w:pPr>
      <w:r w:rsidRPr="37EA5372" w:rsidR="4D9DE451">
        <w:rPr>
          <w:rFonts w:ascii="Calibri" w:hAnsi="Calibri" w:eastAsia="Calibri" w:cs="Calibri"/>
          <w:color w:val="000000" w:themeColor="text1" w:themeTint="FF" w:themeShade="FF"/>
          <w:sz w:val="20"/>
          <w:szCs w:val="20"/>
        </w:rPr>
        <w:t>Mae’r ateb mwyaf cynaliadwy, felly, yn debygol o fod mewn dull hybrid</w:t>
      </w:r>
      <w:r w:rsidRPr="37EA5372" w:rsidR="680FB420">
        <w:rPr>
          <w:rFonts w:ascii="Calibri" w:hAnsi="Calibri" w:eastAsia="Calibri" w:cs="Calibri"/>
          <w:color w:val="000000" w:themeColor="text1" w:themeTint="FF" w:themeShade="FF"/>
          <w:sz w:val="20"/>
          <w:szCs w:val="20"/>
        </w:rPr>
        <w:t xml:space="preserve"> </w:t>
      </w:r>
      <w:r w:rsidRPr="37EA5372" w:rsidR="4D9DE451">
        <w:rPr>
          <w:rFonts w:ascii="Calibri" w:hAnsi="Calibri" w:eastAsia="Calibri" w:cs="Calibri"/>
          <w:color w:val="000000" w:themeColor="text1" w:themeTint="FF" w:themeShade="FF"/>
          <w:sz w:val="20"/>
          <w:szCs w:val="20"/>
        </w:rPr>
        <w:t xml:space="preserve">sef cyfuno portffolios naratif cyfoethog â datganiadau dilyniant eang, a ddefnyddir fel canllawiau hyblyg yn hytrach na meincnodau anhyblyg. Byddai hyn yn caniatáu i ymarferwyr ddal dysgu unigol wrth gynnal rhywfaint o </w:t>
      </w:r>
      <w:r w:rsidRPr="37EA5372" w:rsidR="4D9DE451">
        <w:rPr>
          <w:rFonts w:ascii="Calibri" w:hAnsi="Calibri" w:eastAsia="Calibri" w:cs="Calibri"/>
          <w:color w:val="000000" w:themeColor="text1" w:themeTint="FF" w:themeShade="FF"/>
          <w:sz w:val="20"/>
          <w:szCs w:val="20"/>
        </w:rPr>
        <w:t>gydlyniant</w:t>
      </w:r>
      <w:r w:rsidRPr="37EA5372" w:rsidR="4D9DE451">
        <w:rPr>
          <w:rFonts w:ascii="Calibri" w:hAnsi="Calibri" w:eastAsia="Calibri" w:cs="Calibri"/>
          <w:color w:val="000000" w:themeColor="text1" w:themeTint="FF" w:themeShade="FF"/>
          <w:sz w:val="20"/>
          <w:szCs w:val="20"/>
        </w:rPr>
        <w:t xml:space="preserve"> ac atebolrwydd ar draws systemau. Mae’r dull hwn hefyd yn cyd-fynd â dyheadau Cwricwlwm Cymru (2022) o greu systemau asesu ffurfiannol, hyblyg ac ymatebol i anghenion unigol.</w:t>
      </w:r>
    </w:p>
    <w:p w:rsidR="4D9DE451" w:rsidP="37EA5372" w:rsidRDefault="4D9DE451" w14:paraId="01F93544" w14:textId="666414B7">
      <w:pPr>
        <w:pStyle w:val="Normal"/>
        <w:spacing w:before="240" w:after="240" w:line="360" w:lineRule="auto"/>
        <w:jc w:val="both"/>
      </w:pPr>
      <w:r w:rsidRPr="37EA5372" w:rsidR="4D9DE451">
        <w:rPr>
          <w:rFonts w:ascii="Calibri" w:hAnsi="Calibri" w:eastAsia="Calibri" w:cs="Calibri"/>
          <w:color w:val="000000" w:themeColor="text1" w:themeTint="FF" w:themeShade="FF"/>
          <w:sz w:val="20"/>
          <w:szCs w:val="20"/>
        </w:rPr>
        <w:t xml:space="preserve">Mae cysylltiad agos rhwng asesu a chynhwysiant. Mae plant ag ADY neu rai sy’n </w:t>
      </w:r>
      <w:r w:rsidRPr="37EA5372" w:rsidR="4D9DE451">
        <w:rPr>
          <w:rFonts w:ascii="Calibri" w:hAnsi="Calibri" w:eastAsia="Calibri" w:cs="Calibri"/>
          <w:color w:val="000000" w:themeColor="text1" w:themeTint="FF" w:themeShade="FF"/>
          <w:sz w:val="20"/>
          <w:szCs w:val="20"/>
        </w:rPr>
        <w:t>niwroamrywiol</w:t>
      </w:r>
      <w:r w:rsidRPr="37EA5372" w:rsidR="4D9DE451">
        <w:rPr>
          <w:rFonts w:ascii="Calibri" w:hAnsi="Calibri" w:eastAsia="Calibri" w:cs="Calibri"/>
          <w:color w:val="000000" w:themeColor="text1" w:themeTint="FF" w:themeShade="FF"/>
          <w:sz w:val="20"/>
          <w:szCs w:val="20"/>
        </w:rPr>
        <w:t xml:space="preserve"> yn aml yn profi olrhain datblygiadol safonol fel profiad o ddiffyg neu fethiant, gan nad yw eu dulliau dysgu’n cyd-fynd â’r disgwyliadau oedran (Parsons </w:t>
      </w:r>
      <w:r w:rsidRPr="37EA5372" w:rsidR="4D9DE451">
        <w:rPr>
          <w:rFonts w:ascii="Calibri" w:hAnsi="Calibri" w:eastAsia="Calibri" w:cs="Calibri"/>
          <w:color w:val="000000" w:themeColor="text1" w:themeTint="FF" w:themeShade="FF"/>
          <w:sz w:val="20"/>
          <w:szCs w:val="20"/>
        </w:rPr>
        <w:t>et</w:t>
      </w:r>
      <w:r w:rsidRPr="37EA5372" w:rsidR="4D9DE451">
        <w:rPr>
          <w:rFonts w:ascii="Calibri" w:hAnsi="Calibri" w:eastAsia="Calibri" w:cs="Calibri"/>
          <w:color w:val="000000" w:themeColor="text1" w:themeTint="FF" w:themeShade="FF"/>
          <w:sz w:val="20"/>
          <w:szCs w:val="20"/>
        </w:rPr>
        <w:t xml:space="preserve"> </w:t>
      </w:r>
      <w:r w:rsidRPr="37EA5372" w:rsidR="4D9DE451">
        <w:rPr>
          <w:rFonts w:ascii="Calibri" w:hAnsi="Calibri" w:eastAsia="Calibri" w:cs="Calibri"/>
          <w:color w:val="000000" w:themeColor="text1" w:themeTint="FF" w:themeShade="FF"/>
          <w:sz w:val="20"/>
          <w:szCs w:val="20"/>
        </w:rPr>
        <w:t>al</w:t>
      </w:r>
      <w:r w:rsidRPr="37EA5372" w:rsidR="4D9DE451">
        <w:rPr>
          <w:rFonts w:ascii="Calibri" w:hAnsi="Calibri" w:eastAsia="Calibri" w:cs="Calibri"/>
          <w:color w:val="000000" w:themeColor="text1" w:themeTint="FF" w:themeShade="FF"/>
          <w:sz w:val="20"/>
          <w:szCs w:val="20"/>
        </w:rPr>
        <w:t>., 2021). Mae dull naratif yn well am ddal eu cryfderau amgen</w:t>
      </w:r>
      <w:r w:rsidRPr="37EA5372" w:rsidR="53EFB521">
        <w:rPr>
          <w:rFonts w:ascii="Calibri" w:hAnsi="Calibri" w:eastAsia="Calibri" w:cs="Calibri"/>
          <w:color w:val="000000" w:themeColor="text1" w:themeTint="FF" w:themeShade="FF"/>
          <w:sz w:val="20"/>
          <w:szCs w:val="20"/>
        </w:rPr>
        <w:t xml:space="preserve"> </w:t>
      </w:r>
      <w:r w:rsidRPr="37EA5372" w:rsidR="4D9DE451">
        <w:rPr>
          <w:rFonts w:ascii="Calibri" w:hAnsi="Calibri" w:eastAsia="Calibri" w:cs="Calibri"/>
          <w:color w:val="000000" w:themeColor="text1" w:themeTint="FF" w:themeShade="FF"/>
          <w:sz w:val="20"/>
          <w:szCs w:val="20"/>
        </w:rPr>
        <w:t xml:space="preserve">boed hynny’n greadigrwydd, cof gweledol cryf neu sgiliau echddygol cynnil. Ond, fel y mae </w:t>
      </w:r>
      <w:r w:rsidRPr="37EA5372" w:rsidR="4D9DE451">
        <w:rPr>
          <w:rFonts w:ascii="Calibri" w:hAnsi="Calibri" w:eastAsia="Calibri" w:cs="Calibri"/>
          <w:color w:val="000000" w:themeColor="text1" w:themeTint="FF" w:themeShade="FF"/>
          <w:sz w:val="20"/>
          <w:szCs w:val="20"/>
        </w:rPr>
        <w:t>Dubiel</w:t>
      </w:r>
      <w:r w:rsidRPr="37EA5372" w:rsidR="4D9DE451">
        <w:rPr>
          <w:rFonts w:ascii="Calibri" w:hAnsi="Calibri" w:eastAsia="Calibri" w:cs="Calibri"/>
          <w:color w:val="000000" w:themeColor="text1" w:themeTint="FF" w:themeShade="FF"/>
          <w:sz w:val="20"/>
          <w:szCs w:val="20"/>
        </w:rPr>
        <w:t xml:space="preserve"> (2016) yn nodi, heb gydnabyddiaeth systemig o werth y dulliau hyn, gall dysgu’r plant hyn barhau i gael ei anwybyddu neu ei gamddehongli.</w:t>
      </w:r>
    </w:p>
    <w:p w:rsidR="4D9DE451" w:rsidP="37EA5372" w:rsidRDefault="4D9DE451" w14:paraId="169B7549" w14:textId="1BB58671">
      <w:pPr>
        <w:pStyle w:val="Normal"/>
        <w:spacing w:before="240" w:after="240" w:line="360" w:lineRule="auto"/>
        <w:jc w:val="both"/>
      </w:pPr>
      <w:r w:rsidRPr="37EA5372" w:rsidR="4D9DE451">
        <w:rPr>
          <w:rFonts w:ascii="Calibri" w:hAnsi="Calibri" w:eastAsia="Calibri" w:cs="Calibri"/>
          <w:color w:val="000000" w:themeColor="text1" w:themeTint="FF" w:themeShade="FF"/>
          <w:sz w:val="20"/>
          <w:szCs w:val="20"/>
        </w:rPr>
        <w:t>Mae tegwch hefyd yn fater allweddol. Mewn lleoliadau amrywiol o ran cymdeithasol ac ieithyddol, gall dulliau asesu sy’n dibynnu ar gyfathrebu geiriol neu ar berfformiad ffurfiol anffafrio plant o gefndiroedd penodol. Mae Saracho (2020) yn awgrymu bod asesu chwarae’n cynnig llwybr mwy teg oherwydd ei fod yn dal dysgu mewn amrywiaeth o ffurfiau, gan gynnwys iaith y corff, creadigrwydd ac ymateb emosiynol. Felly, mae asesu naratif wedi’i ymgorffori mewn chwarae nid yn unig yn fwy dynol, ond hefyd yn fwy cynhwysol.</w:t>
      </w:r>
    </w:p>
    <w:p w:rsidR="4D9DE451" w:rsidP="37EA5372" w:rsidRDefault="4D9DE451" w14:paraId="5ACDC071" w14:textId="51C554FD">
      <w:pPr>
        <w:pStyle w:val="Normal"/>
        <w:spacing w:before="240" w:after="240" w:line="360" w:lineRule="auto"/>
        <w:jc w:val="both"/>
        <w:rPr>
          <w:rFonts w:ascii="Calibri" w:hAnsi="Calibri" w:eastAsia="Calibri" w:cs="Calibri"/>
          <w:color w:val="000000" w:themeColor="text1" w:themeTint="FF" w:themeShade="FF"/>
          <w:sz w:val="20"/>
          <w:szCs w:val="20"/>
        </w:rPr>
      </w:pPr>
      <w:r w:rsidRPr="37EA5372" w:rsidR="4D9DE451">
        <w:rPr>
          <w:rFonts w:ascii="Calibri" w:hAnsi="Calibri" w:eastAsia="Calibri" w:cs="Calibri"/>
          <w:color w:val="000000" w:themeColor="text1" w:themeTint="FF" w:themeShade="FF"/>
          <w:sz w:val="20"/>
          <w:szCs w:val="20"/>
        </w:rPr>
        <w:t xml:space="preserve">Er bod egwyddorion y Plentyn Unigryw wedi’u hymgorffori mewn polisïau megis yr EYFS a Cwricwlwm Cymru, mae bwlch amlwg rhwng bwriad ac ymarfer. Mae </w:t>
      </w:r>
      <w:r w:rsidRPr="37EA5372" w:rsidR="4D9DE451">
        <w:rPr>
          <w:rFonts w:ascii="Calibri" w:hAnsi="Calibri" w:eastAsia="Calibri" w:cs="Calibri"/>
          <w:color w:val="000000" w:themeColor="text1" w:themeTint="FF" w:themeShade="FF"/>
          <w:sz w:val="20"/>
          <w:szCs w:val="20"/>
        </w:rPr>
        <w:t>Wills</w:t>
      </w:r>
      <w:r w:rsidRPr="37EA5372" w:rsidR="4D9DE451">
        <w:rPr>
          <w:rFonts w:ascii="Calibri" w:hAnsi="Calibri" w:eastAsia="Calibri" w:cs="Calibri"/>
          <w:color w:val="000000" w:themeColor="text1" w:themeTint="FF" w:themeShade="FF"/>
          <w:sz w:val="20"/>
          <w:szCs w:val="20"/>
        </w:rPr>
        <w:t xml:space="preserve"> (2025) yn tynnu sylw at y ffaith fod llawer o leoliadau’n defnyddio iaith sy’n canolbwyntio ar y plentyn, ond yn dal i weithredu ar sail disgwyliadau “</w:t>
      </w:r>
      <w:r w:rsidRPr="37EA5372" w:rsidR="4D9DE451">
        <w:rPr>
          <w:rFonts w:ascii="Calibri" w:hAnsi="Calibri" w:eastAsia="Calibri" w:cs="Calibri"/>
          <w:color w:val="000000" w:themeColor="text1" w:themeTint="FF" w:themeShade="FF"/>
          <w:sz w:val="20"/>
          <w:szCs w:val="20"/>
        </w:rPr>
        <w:t>homogeneiddiedig</w:t>
      </w:r>
      <w:r w:rsidRPr="37EA5372" w:rsidR="4D9DE451">
        <w:rPr>
          <w:rFonts w:ascii="Calibri" w:hAnsi="Calibri" w:eastAsia="Calibri" w:cs="Calibri"/>
          <w:color w:val="000000" w:themeColor="text1" w:themeTint="FF" w:themeShade="FF"/>
          <w:sz w:val="20"/>
          <w:szCs w:val="20"/>
        </w:rPr>
        <w:t>” o blant. Mae hyn yn aml yn deillio o bwysau allanol – arolygon, targedau ac atebolrwydd cyllidol – sy’n gwneud i ymarferwyr roi tystiolaeth dros ddealltwriaeth.</w:t>
      </w:r>
    </w:p>
    <w:p w:rsidR="36CDFC82" w:rsidP="37EA5372" w:rsidRDefault="36CDFC82" w14:paraId="555D1039" w14:textId="13A3FF64">
      <w:pPr>
        <w:pStyle w:val="Normal"/>
        <w:spacing w:before="240" w:after="240" w:line="360" w:lineRule="auto"/>
        <w:jc w:val="both"/>
        <w:rPr>
          <w:rFonts w:ascii="Calibri" w:hAnsi="Calibri" w:eastAsia="Calibri" w:cs="Calibri"/>
          <w:color w:val="000000" w:themeColor="text1" w:themeTint="FF" w:themeShade="FF"/>
          <w:sz w:val="20"/>
          <w:szCs w:val="20"/>
        </w:rPr>
      </w:pPr>
      <w:r w:rsidRPr="37EA5372" w:rsidR="36CDFC82">
        <w:rPr>
          <w:rFonts w:ascii="Calibri" w:hAnsi="Calibri" w:eastAsia="Calibri" w:cs="Calibri"/>
          <w:color w:val="000000" w:themeColor="text1" w:themeTint="FF" w:themeShade="FF"/>
          <w:sz w:val="20"/>
          <w:szCs w:val="20"/>
        </w:rPr>
        <w:t>Mae’r newid angenrheidiol yn gofyn am arweinyddiaeth fyfyriol a diwylliant proffesiynol sy’n gwerthfawrogi dysgu seiliedig ar chwarae. Fel y mae Wood (2020) yn dadlau, dim ond pan fydd ymarferwyr yn cael amser, hyfforddiant ac ymddiriedaeth i arsylwi ac ymgysylltu’n ddwfn â phlant y gall asesu ddod yn wirioneddol ffurfiannol. Mae’n hanfodol fod datblygiad proffesiynol parhaus yn canolbwyntio ar sgiliau dogfennu, arsylwi a dehongli, yn ogystal ag ar ddealltwriaeth o ADY a niwroamrywiaeth.</w:t>
      </w:r>
    </w:p>
    <w:p w:rsidR="36CDFC82" w:rsidP="37EA5372" w:rsidRDefault="36CDFC82" w14:paraId="01205D98" w14:textId="212835C2">
      <w:pPr>
        <w:pStyle w:val="Normal"/>
        <w:spacing w:before="240" w:after="240" w:line="360" w:lineRule="auto"/>
        <w:jc w:val="both"/>
      </w:pPr>
      <w:r w:rsidRPr="37EA5372" w:rsidR="36CDFC82">
        <w:rPr>
          <w:rFonts w:ascii="Calibri" w:hAnsi="Calibri" w:eastAsia="Calibri" w:cs="Calibri"/>
          <w:color w:val="000000" w:themeColor="text1" w:themeTint="FF" w:themeShade="FF"/>
          <w:sz w:val="20"/>
          <w:szCs w:val="20"/>
        </w:rPr>
        <w:t>Mewn cwricwlwm sy’n seiliedig ar chwarae, ni all asesu fod yn weithgaredd allanol nac yn broses o gymharu; mae’n rhan annatod o’r broses ddysgu ei hun. Mae portffolios stori ddysgu yn cynnig ffordd effeithiol o adlewyrchu’r unigoliaeth honno, gan roi llais i’r plentyn a dal datblygiad holistaidd. Er mwyn sicrhau tegwch a chydlyniant ar lefel system, gall model hybrid sy’n cyfuno dulliau naratif gyda datganiadau dilyniant eang fod yn fwy cynaliadwy.</w:t>
      </w:r>
    </w:p>
    <w:p w:rsidR="36CDFC82" w:rsidP="37EA5372" w:rsidRDefault="36CDFC82" w14:paraId="4D9A7082" w14:textId="09E90ABA">
      <w:pPr>
        <w:pStyle w:val="Normal"/>
        <w:spacing w:before="240" w:after="240" w:line="360" w:lineRule="auto"/>
        <w:jc w:val="both"/>
      </w:pPr>
      <w:r w:rsidRPr="37EA5372" w:rsidR="36CDFC82">
        <w:rPr>
          <w:rFonts w:ascii="Calibri" w:hAnsi="Calibri" w:eastAsia="Calibri" w:cs="Calibri"/>
          <w:color w:val="000000" w:themeColor="text1" w:themeTint="FF" w:themeShade="FF"/>
          <w:sz w:val="20"/>
          <w:szCs w:val="20"/>
        </w:rPr>
        <w:t>Yn y pen draw, mae asesu o fewn cwricwlwm sy’n seiliedig ar chwarae yn weithred foesegol o gydnabod bod pob plentyn yn unigryw, yn gymwys ac yn haeddu cael ei ddeall ar ei delerau ei hun. Dim ond pan fydd systemau’n cefnogi’r weledigaeth hon trwy amser, adnoddau ac ymddiriedaeth broffesiynol y gall addysg gynnar wireddu ei photensial i greu dysgwyr hyderus, creadigol a chynhwysol.</w:t>
      </w:r>
    </w:p>
    <w:p w:rsidRPr="003759C8" w:rsidR="003759C8" w:rsidP="4E15EC36" w:rsidRDefault="003759C8" w14:noSpellErr="1" w14:paraId="3A96C4C1" w14:textId="4FBF3FF0">
      <w:pPr>
        <w:spacing w:before="240" w:after="240" w:line="360" w:lineRule="auto"/>
        <w:jc w:val="both"/>
        <w:rPr>
          <w:rFonts w:ascii="Calibri" w:hAnsi="Calibri" w:eastAsia="Calibri" w:cs="Calibri"/>
          <w:color w:val="000000" w:themeColor="text1" w:themeTint="FF" w:themeShade="FF"/>
          <w:sz w:val="20"/>
          <w:szCs w:val="20"/>
        </w:rPr>
      </w:pPr>
    </w:p>
    <w:p w:rsidRPr="003759C8" w:rsidR="003759C8" w:rsidP="4E15EC36" w:rsidRDefault="003759C8" w14:paraId="03A6AAEC" w14:textId="70A5F190">
      <w:pPr>
        <w:spacing w:before="240" w:after="240" w:line="360" w:lineRule="auto"/>
        <w:rPr>
          <w:rFonts w:ascii="Calibri" w:hAnsi="Calibri" w:eastAsia="Calibri" w:cs="Calibri"/>
          <w:sz w:val="20"/>
          <w:szCs w:val="20"/>
        </w:rPr>
      </w:pPr>
      <w:r w:rsidRPr="4E15EC36">
        <w:rPr>
          <w:rFonts w:ascii="Calibri" w:hAnsi="Calibri" w:eastAsia="Calibri" w:cs="Calibri"/>
          <w:sz w:val="20"/>
          <w:szCs w:val="20"/>
        </w:rPr>
        <w:br w:type="page"/>
      </w:r>
    </w:p>
    <w:p w:rsidRPr="003759C8" w:rsidR="003759C8" w:rsidP="4E15EC36" w:rsidRDefault="003759C8" w14:paraId="75B2CC60" w14:textId="77777777" w14:noSpellErr="1">
      <w:pPr>
        <w:pStyle w:val="Normal"/>
        <w:spacing w:before="240" w:after="240" w:line="360" w:lineRule="auto"/>
        <w:jc w:val="both"/>
        <w:rPr>
          <w:rFonts w:ascii="Calibri" w:hAnsi="Calibri" w:eastAsia="Calibri" w:cs="Calibri"/>
          <w:kern w:val="0"/>
          <w:sz w:val="20"/>
          <w:szCs w:val="20"/>
          <w14:ligatures w14:val="none"/>
        </w:rPr>
      </w:pPr>
      <w:r w:rsidRPr="4E15EC36" w:rsidR="003759C8">
        <w:rPr>
          <w:rFonts w:ascii="Calibri" w:hAnsi="Calibri" w:eastAsia="Calibri" w:cs="Calibri"/>
          <w:color w:val="000000"/>
          <w:kern w:val="0"/>
          <w:sz w:val="20"/>
          <w:szCs w:val="20"/>
          <w:lang w:val="Welsh"/>
          <w14:ligatures w14:val="none"/>
        </w:rPr>
        <w:t>RHAN 3</w:t>
      </w:r>
    </w:p>
    <w:p w:rsidR="4F039E63" w:rsidP="37EA5372" w:rsidRDefault="4F039E63" w14:paraId="06CD8E1E" w14:textId="67A65864">
      <w:pPr>
        <w:pStyle w:val="Normal"/>
        <w:spacing w:before="240" w:after="240" w:line="360" w:lineRule="auto"/>
        <w:jc w:val="both"/>
        <w:rPr>
          <w:rFonts w:ascii="Calibri" w:hAnsi="Calibri" w:eastAsia="Calibri" w:cs="Calibri"/>
          <w:color w:val="000000" w:themeColor="text1" w:themeTint="FF" w:themeShade="FF"/>
          <w:sz w:val="20"/>
          <w:szCs w:val="20"/>
          <w:u w:val="single"/>
        </w:rPr>
      </w:pPr>
      <w:r w:rsidRPr="37EA5372" w:rsidR="4F039E63">
        <w:rPr>
          <w:rFonts w:ascii="Calibri" w:hAnsi="Calibri" w:eastAsia="Calibri" w:cs="Calibri"/>
          <w:color w:val="000000" w:themeColor="text1" w:themeTint="FF" w:themeShade="FF"/>
          <w:sz w:val="20"/>
          <w:szCs w:val="20"/>
          <w:u w:val="single"/>
        </w:rPr>
        <w:t>Ail-ddychmygu Chwarae i Bob Plentyn: Gweithredu Cwricwlwm Seiliedig ar Chwarae ar gyfer Dysgwyr ag Anghenion Dysgu Ychwanegol</w:t>
      </w:r>
    </w:p>
    <w:p w:rsidR="41137E19" w:rsidP="37EA5372" w:rsidRDefault="41137E19" w14:paraId="1659684F" w14:textId="70BA09C3">
      <w:pPr>
        <w:pStyle w:val="Normal"/>
        <w:spacing w:before="240" w:after="240" w:line="360" w:lineRule="auto"/>
        <w:jc w:val="both"/>
        <w:rPr>
          <w:rFonts w:ascii="Calibri" w:hAnsi="Calibri" w:eastAsia="Calibri" w:cs="Calibri"/>
          <w:b w:val="0"/>
          <w:bCs w:val="0"/>
          <w:color w:val="000000" w:themeColor="text1" w:themeTint="FF" w:themeShade="FF"/>
          <w:sz w:val="20"/>
          <w:szCs w:val="20"/>
        </w:rPr>
      </w:pPr>
      <w:r w:rsidRPr="37EA5372" w:rsidR="41137E19">
        <w:rPr>
          <w:rFonts w:ascii="Calibri" w:hAnsi="Calibri" w:eastAsia="Calibri" w:cs="Calibri"/>
          <w:b w:val="0"/>
          <w:bCs w:val="0"/>
          <w:color w:val="000000" w:themeColor="text1" w:themeTint="FF" w:themeShade="FF"/>
          <w:sz w:val="20"/>
          <w:szCs w:val="20"/>
        </w:rPr>
        <w:t>Prin iawn y mae newid o fewn addysg blynyddoedd cynnar yn digwydd heb wrthdaro na chymhlethdod. Mae’r alwad o fewn Cwricwlwm Cymru am gwricwlwm seiliedig ar chwarae yn cynrychioli newid pedagogaidd ac ideolegol yn ein dealltwriaeth o ddysgu, cynhwysiant ac allu pob plentyn. Er bod chwarae’n cael ei ddathlu’n gyson fel cyfrwng pwerus ar gyfer datblygiad holistaidd, mae’r her o’i weithredu’n arbennig ar gyfer plant ag Anghenion Dysgu Ychwanegol (ADY) yn gymhleth, wedi’i lywio gan ddiwylliant sefydliadol, hyder proffesiynol a phwysau systemig (Wood, 2019; Harris, 2023).</w:t>
      </w:r>
    </w:p>
    <w:p w:rsidR="41137E19" w:rsidP="37EA5372" w:rsidRDefault="41137E19" w14:paraId="5FB92A74" w14:textId="3F4C616E">
      <w:pPr>
        <w:pStyle w:val="Normal"/>
        <w:spacing w:before="240" w:after="240" w:line="360" w:lineRule="auto"/>
        <w:jc w:val="both"/>
        <w:rPr>
          <w:rFonts w:ascii="Calibri" w:hAnsi="Calibri" w:eastAsia="Calibri" w:cs="Calibri"/>
          <w:b w:val="1"/>
          <w:bCs w:val="1"/>
          <w:color w:val="000000" w:themeColor="text1" w:themeTint="FF" w:themeShade="FF"/>
          <w:sz w:val="20"/>
          <w:szCs w:val="20"/>
        </w:rPr>
      </w:pPr>
      <w:r w:rsidRPr="37EA5372" w:rsidR="41137E19">
        <w:rPr>
          <w:rFonts w:ascii="Calibri" w:hAnsi="Calibri" w:eastAsia="Calibri" w:cs="Calibri"/>
          <w:b w:val="1"/>
          <w:bCs w:val="1"/>
          <w:color w:val="000000" w:themeColor="text1" w:themeTint="FF" w:themeShade="FF"/>
          <w:sz w:val="20"/>
          <w:szCs w:val="20"/>
        </w:rPr>
        <w:t>Yr Achos dros Chwarae: Sylfaen ar gyfer Cynhwysiant</w:t>
      </w:r>
    </w:p>
    <w:p w:rsidR="41137E19" w:rsidP="37EA5372" w:rsidRDefault="41137E19" w14:paraId="3E426471" w14:textId="5570FC77">
      <w:pPr>
        <w:pStyle w:val="Normal"/>
        <w:spacing w:before="240" w:after="240" w:line="360" w:lineRule="auto"/>
        <w:jc w:val="both"/>
        <w:rPr>
          <w:rFonts w:ascii="Calibri" w:hAnsi="Calibri" w:eastAsia="Calibri" w:cs="Calibri"/>
          <w:b w:val="0"/>
          <w:bCs w:val="0"/>
          <w:color w:val="000000" w:themeColor="text1" w:themeTint="FF" w:themeShade="FF"/>
          <w:sz w:val="20"/>
          <w:szCs w:val="20"/>
        </w:rPr>
      </w:pPr>
      <w:r w:rsidRPr="37EA5372" w:rsidR="41137E19">
        <w:rPr>
          <w:rFonts w:ascii="Calibri" w:hAnsi="Calibri" w:eastAsia="Calibri" w:cs="Calibri"/>
          <w:b w:val="0"/>
          <w:bCs w:val="0"/>
          <w:color w:val="000000" w:themeColor="text1" w:themeTint="FF" w:themeShade="FF"/>
          <w:sz w:val="20"/>
          <w:szCs w:val="20"/>
        </w:rPr>
        <w:t>Mae chwarae’n hyrwyddo datblygiad gwybyddol, cymdeithasol, emosiynol a chorfforol, gan alluogi plant i archwilio syniadau, perthnasoedd ac emosiynau mewn ffordd integredig (Ebbeck, Yim &amp; Lee, 2013). I ddysgwyr ag ADY, mae’n fwy na gweithgaredd pleserus; mae’n gyfrwng hanfodol ar gyfer cyfathrebu, hunanreoleiddio ac ymgysylltu cymdeithasol.</w:t>
      </w:r>
    </w:p>
    <w:p w:rsidR="41137E19" w:rsidP="37EA5372" w:rsidRDefault="41137E19" w14:paraId="5279F2D9" w14:textId="7275030F">
      <w:pPr>
        <w:pStyle w:val="Normal"/>
        <w:spacing w:before="240" w:after="240" w:line="360" w:lineRule="auto"/>
        <w:jc w:val="both"/>
        <w:rPr>
          <w:rFonts w:ascii="Calibri" w:hAnsi="Calibri" w:eastAsia="Calibri" w:cs="Calibri"/>
          <w:b w:val="0"/>
          <w:bCs w:val="0"/>
          <w:color w:val="000000" w:themeColor="text1" w:themeTint="FF" w:themeShade="FF"/>
          <w:sz w:val="20"/>
          <w:szCs w:val="20"/>
        </w:rPr>
      </w:pPr>
      <w:r w:rsidRPr="37EA5372" w:rsidR="41137E19">
        <w:rPr>
          <w:rFonts w:ascii="Calibri" w:hAnsi="Calibri" w:eastAsia="Calibri" w:cs="Calibri"/>
          <w:b w:val="0"/>
          <w:bCs w:val="0"/>
          <w:color w:val="000000" w:themeColor="text1" w:themeTint="FF" w:themeShade="FF"/>
          <w:sz w:val="20"/>
          <w:szCs w:val="20"/>
        </w:rPr>
        <w:t>Yn unol â Chwricwlwm Cymru, sy’n pwysleisio dysgu sy’n gynhwysol ac ymatebol, gall dull seiliedig ar chwarae ddarparu’r hyblygrwydd i ddiwallu amrywiaeth o anghenion (Thomas &amp; Lewis, 2016). I blant ag anawsterau lleferydd ac iaith, gall gweithgareddau synhwyraidd gynnig dull mynegiannol; i’r rhai ag anawsterau cyfathrebu cymdeithasol, gall chwarae dychmygus ddarparu gofod diogel i ymarfer rhyngweithio. Fodd bynnag, mae manteision hyn yn dibynnu ar sgil ac ymwybyddiaeth ymarferwyr i arsylwi, dehongli ac ymestyn chwarae plant gyda bwriad a phroffesiynoldeb. Fel y nododd Fleer (2021), nid presenoldeb chwarae sy’n creu dysgu, ond y fframio pedagogol gan oedolion.</w:t>
      </w:r>
    </w:p>
    <w:p w:rsidR="4F039E63" w:rsidP="37EA5372" w:rsidRDefault="4F039E63" w14:paraId="243CC4DC" w14:textId="19DB6B17">
      <w:pPr>
        <w:pStyle w:val="Normal"/>
        <w:spacing w:before="240" w:after="240" w:line="360" w:lineRule="auto"/>
        <w:jc w:val="both"/>
        <w:rPr>
          <w:rFonts w:ascii="Calibri" w:hAnsi="Calibri" w:eastAsia="Calibri" w:cs="Calibri"/>
          <w:b w:val="1"/>
          <w:bCs w:val="1"/>
          <w:color w:val="000000" w:themeColor="text1" w:themeTint="FF" w:themeShade="FF"/>
          <w:sz w:val="20"/>
          <w:szCs w:val="20"/>
        </w:rPr>
      </w:pPr>
      <w:r w:rsidRPr="37EA5372" w:rsidR="4F039E63">
        <w:rPr>
          <w:rFonts w:ascii="Calibri" w:hAnsi="Calibri" w:eastAsia="Calibri" w:cs="Calibri"/>
          <w:b w:val="1"/>
          <w:bCs w:val="1"/>
          <w:color w:val="000000" w:themeColor="text1" w:themeTint="FF" w:themeShade="FF"/>
          <w:sz w:val="20"/>
          <w:szCs w:val="20"/>
        </w:rPr>
        <w:t>Pan fo Delfrydau’n Cwrdd â Realiti</w:t>
      </w:r>
    </w:p>
    <w:p w:rsidR="4F039E63" w:rsidP="37EA5372" w:rsidRDefault="4F039E63" w14:paraId="3B85A7DD" w14:textId="33D84ED4">
      <w:pPr>
        <w:pStyle w:val="Normal"/>
        <w:spacing w:before="240" w:after="240" w:line="360" w:lineRule="auto"/>
        <w:jc w:val="both"/>
      </w:pPr>
      <w:r w:rsidRPr="37EA5372" w:rsidR="4F039E63">
        <w:rPr>
          <w:rFonts w:ascii="Calibri" w:hAnsi="Calibri" w:eastAsia="Calibri" w:cs="Calibri"/>
          <w:color w:val="000000" w:themeColor="text1" w:themeTint="FF" w:themeShade="FF"/>
          <w:sz w:val="20"/>
          <w:szCs w:val="20"/>
        </w:rPr>
        <w:t xml:space="preserve">Er bod Cwricwlwm Cymru yn eiriol dros ymreolaeth ac archwiliad, mae’r diwylliant ehangach o atebolrwydd yn aml yn symud ymarfer tuag at </w:t>
      </w:r>
      <w:r w:rsidRPr="37EA5372" w:rsidR="4F039E63">
        <w:rPr>
          <w:rFonts w:ascii="Calibri" w:hAnsi="Calibri" w:eastAsia="Calibri" w:cs="Calibri"/>
          <w:color w:val="000000" w:themeColor="text1" w:themeTint="FF" w:themeShade="FF"/>
          <w:sz w:val="20"/>
          <w:szCs w:val="20"/>
        </w:rPr>
        <w:t>fesuradwyedd</w:t>
      </w:r>
      <w:r w:rsidRPr="37EA5372" w:rsidR="4F039E63">
        <w:rPr>
          <w:rFonts w:ascii="Calibri" w:hAnsi="Calibri" w:eastAsia="Calibri" w:cs="Calibri"/>
          <w:color w:val="000000" w:themeColor="text1" w:themeTint="FF" w:themeShade="FF"/>
          <w:sz w:val="20"/>
          <w:szCs w:val="20"/>
        </w:rPr>
        <w:t>. Mae disgwyl i ymarferwyr gynhyrchu tystiolaeth o gynnydd, hyd yn oed pan all y dystiolaeth honno gyfyngu ar natur wirioneddol y dysgu. Fel y trafodir gan Parker a Smith (2022), gall y tensiwn hwn arwain at fabwysiadu arwynebol o egwyddorion chwarae</w:t>
      </w:r>
      <w:r w:rsidRPr="37EA5372" w:rsidR="08AF60AB">
        <w:rPr>
          <w:rFonts w:ascii="Calibri" w:hAnsi="Calibri" w:eastAsia="Calibri" w:cs="Calibri"/>
          <w:color w:val="000000" w:themeColor="text1" w:themeTint="FF" w:themeShade="FF"/>
          <w:sz w:val="20"/>
          <w:szCs w:val="20"/>
        </w:rPr>
        <w:t xml:space="preserve"> </w:t>
      </w:r>
      <w:r w:rsidRPr="37EA5372" w:rsidR="4F039E63">
        <w:rPr>
          <w:rFonts w:ascii="Calibri" w:hAnsi="Calibri" w:eastAsia="Calibri" w:cs="Calibri"/>
          <w:color w:val="000000" w:themeColor="text1" w:themeTint="FF" w:themeShade="FF"/>
          <w:sz w:val="20"/>
          <w:szCs w:val="20"/>
        </w:rPr>
        <w:t>lle defnyddir iaith “dan arweiniad plentyn” ond mae’r meddylfryd yn aros yn un oedolyn</w:t>
      </w:r>
      <w:r w:rsidRPr="37EA5372" w:rsidR="4F039E63">
        <w:rPr>
          <w:rFonts w:ascii="Calibri" w:hAnsi="Calibri" w:eastAsia="Calibri" w:cs="Calibri"/>
          <w:color w:val="000000" w:themeColor="text1" w:themeTint="FF" w:themeShade="FF"/>
          <w:sz w:val="20"/>
          <w:szCs w:val="20"/>
        </w:rPr>
        <w:t>-</w:t>
      </w:r>
      <w:r w:rsidRPr="37EA5372" w:rsidR="4F039E63">
        <w:rPr>
          <w:rFonts w:ascii="Calibri" w:hAnsi="Calibri" w:eastAsia="Calibri" w:cs="Calibri"/>
          <w:color w:val="000000" w:themeColor="text1" w:themeTint="FF" w:themeShade="FF"/>
          <w:sz w:val="20"/>
          <w:szCs w:val="20"/>
        </w:rPr>
        <w:t>ganolog ac wedi’i yrru gan ganlyniadau.</w:t>
      </w:r>
    </w:p>
    <w:p w:rsidR="4F039E63" w:rsidP="37EA5372" w:rsidRDefault="4F039E63" w14:paraId="6AAA2940" w14:textId="68167FFB">
      <w:pPr>
        <w:pStyle w:val="Normal"/>
        <w:spacing w:before="240" w:after="240" w:line="360" w:lineRule="auto"/>
        <w:jc w:val="both"/>
      </w:pPr>
      <w:r w:rsidRPr="37EA5372" w:rsidR="4F039E63">
        <w:rPr>
          <w:rFonts w:ascii="Calibri" w:hAnsi="Calibri" w:eastAsia="Calibri" w:cs="Calibri"/>
          <w:color w:val="000000" w:themeColor="text1" w:themeTint="FF" w:themeShade="FF"/>
          <w:sz w:val="20"/>
          <w:szCs w:val="20"/>
        </w:rPr>
        <w:t xml:space="preserve">I blant ag ADY, gall hyn arwain at eithrio. Gall dull chwarae sydd heb fwriad clir fod yn ormodol, </w:t>
      </w:r>
      <w:r w:rsidRPr="37EA5372" w:rsidR="4F039E63">
        <w:rPr>
          <w:rFonts w:ascii="Calibri" w:hAnsi="Calibri" w:eastAsia="Calibri" w:cs="Calibri"/>
          <w:color w:val="000000" w:themeColor="text1" w:themeTint="FF" w:themeShade="FF"/>
          <w:sz w:val="20"/>
          <w:szCs w:val="20"/>
        </w:rPr>
        <w:t>annisgybledig</w:t>
      </w:r>
      <w:r w:rsidRPr="37EA5372" w:rsidR="4F039E63">
        <w:rPr>
          <w:rFonts w:ascii="Calibri" w:hAnsi="Calibri" w:eastAsia="Calibri" w:cs="Calibri"/>
          <w:color w:val="000000" w:themeColor="text1" w:themeTint="FF" w:themeShade="FF"/>
          <w:sz w:val="20"/>
          <w:szCs w:val="20"/>
        </w:rPr>
        <w:t xml:space="preserve"> neu hyd yn oed yn anhwylus i’r rhai sydd angen strwythur ychwanegol, cymorth synhwyraidd neu strategaethau cyfathrebu penodol. Yn absenoldeb cynllunio bwriadol a hyfforddiant addas, mae chwarae’n beryglus o droi’n weithgaredd anhrefnus neu’n broses sy’n cael ei arwain yn llwyr gan oedolion. Felly, mae cynhwysiant gwirioneddol yn gofyn nid yn unig am fynediad ond am gyfranogiad teg</w:t>
      </w:r>
      <w:r w:rsidRPr="37EA5372" w:rsidR="052DC42A">
        <w:rPr>
          <w:rFonts w:ascii="Calibri" w:hAnsi="Calibri" w:eastAsia="Calibri" w:cs="Calibri"/>
          <w:color w:val="000000" w:themeColor="text1" w:themeTint="FF" w:themeShade="FF"/>
          <w:sz w:val="20"/>
          <w:szCs w:val="20"/>
        </w:rPr>
        <w:t xml:space="preserve"> </w:t>
      </w:r>
      <w:r w:rsidRPr="37EA5372" w:rsidR="4F039E63">
        <w:rPr>
          <w:rFonts w:ascii="Calibri" w:hAnsi="Calibri" w:eastAsia="Calibri" w:cs="Calibri"/>
          <w:color w:val="000000" w:themeColor="text1" w:themeTint="FF" w:themeShade="FF"/>
          <w:sz w:val="20"/>
          <w:szCs w:val="20"/>
        </w:rPr>
        <w:t>lle mae llais, dull ac amserlen pob plentyn yn cael eu gwerthfawrogi (</w:t>
      </w:r>
      <w:r w:rsidRPr="37EA5372" w:rsidR="4F039E63">
        <w:rPr>
          <w:rFonts w:ascii="Calibri" w:hAnsi="Calibri" w:eastAsia="Calibri" w:cs="Calibri"/>
          <w:color w:val="000000" w:themeColor="text1" w:themeTint="FF" w:themeShade="FF"/>
          <w:sz w:val="20"/>
          <w:szCs w:val="20"/>
        </w:rPr>
        <w:t>Siraj-Blatchford</w:t>
      </w:r>
      <w:r w:rsidRPr="37EA5372" w:rsidR="4F039E63">
        <w:rPr>
          <w:rFonts w:ascii="Calibri" w:hAnsi="Calibri" w:eastAsia="Calibri" w:cs="Calibri"/>
          <w:color w:val="000000" w:themeColor="text1" w:themeTint="FF" w:themeShade="FF"/>
          <w:sz w:val="20"/>
          <w:szCs w:val="20"/>
        </w:rPr>
        <w:t xml:space="preserve"> </w:t>
      </w:r>
      <w:r w:rsidRPr="37EA5372" w:rsidR="4F039E63">
        <w:rPr>
          <w:rFonts w:ascii="Calibri" w:hAnsi="Calibri" w:eastAsia="Calibri" w:cs="Calibri"/>
          <w:color w:val="000000" w:themeColor="text1" w:themeTint="FF" w:themeShade="FF"/>
          <w:sz w:val="20"/>
          <w:szCs w:val="20"/>
        </w:rPr>
        <w:t>et</w:t>
      </w:r>
      <w:r w:rsidRPr="37EA5372" w:rsidR="4F039E63">
        <w:rPr>
          <w:rFonts w:ascii="Calibri" w:hAnsi="Calibri" w:eastAsia="Calibri" w:cs="Calibri"/>
          <w:color w:val="000000" w:themeColor="text1" w:themeTint="FF" w:themeShade="FF"/>
          <w:sz w:val="20"/>
          <w:szCs w:val="20"/>
        </w:rPr>
        <w:t xml:space="preserve"> </w:t>
      </w:r>
      <w:r w:rsidRPr="37EA5372" w:rsidR="4F039E63">
        <w:rPr>
          <w:rFonts w:ascii="Calibri" w:hAnsi="Calibri" w:eastAsia="Calibri" w:cs="Calibri"/>
          <w:color w:val="000000" w:themeColor="text1" w:themeTint="FF" w:themeShade="FF"/>
          <w:sz w:val="20"/>
          <w:szCs w:val="20"/>
        </w:rPr>
        <w:t>al</w:t>
      </w:r>
      <w:r w:rsidRPr="37EA5372" w:rsidR="4F039E63">
        <w:rPr>
          <w:rFonts w:ascii="Calibri" w:hAnsi="Calibri" w:eastAsia="Calibri" w:cs="Calibri"/>
          <w:color w:val="000000" w:themeColor="text1" w:themeTint="FF" w:themeShade="FF"/>
          <w:sz w:val="20"/>
          <w:szCs w:val="20"/>
        </w:rPr>
        <w:t>., 2007).</w:t>
      </w:r>
    </w:p>
    <w:p w:rsidR="4F039E63" w:rsidP="37EA5372" w:rsidRDefault="4F039E63" w14:paraId="21FAE232" w14:textId="383AE4BD">
      <w:pPr>
        <w:pStyle w:val="Normal"/>
        <w:spacing w:before="240" w:after="240" w:line="360" w:lineRule="auto"/>
        <w:jc w:val="both"/>
        <w:rPr>
          <w:rFonts w:ascii="Calibri" w:hAnsi="Calibri" w:eastAsia="Calibri" w:cs="Calibri"/>
          <w:b w:val="1"/>
          <w:bCs w:val="1"/>
          <w:color w:val="000000" w:themeColor="text1" w:themeTint="FF" w:themeShade="FF"/>
          <w:sz w:val="20"/>
          <w:szCs w:val="20"/>
        </w:rPr>
      </w:pPr>
      <w:r w:rsidRPr="37EA5372" w:rsidR="4F039E63">
        <w:rPr>
          <w:rFonts w:ascii="Calibri" w:hAnsi="Calibri" w:eastAsia="Calibri" w:cs="Calibri"/>
          <w:b w:val="1"/>
          <w:bCs w:val="1"/>
          <w:color w:val="000000" w:themeColor="text1" w:themeTint="FF" w:themeShade="FF"/>
          <w:sz w:val="20"/>
          <w:szCs w:val="20"/>
        </w:rPr>
        <w:t>Gwybodaeth Broffesiynol ac Ymarfer Myfyriol</w:t>
      </w:r>
    </w:p>
    <w:p w:rsidR="4F039E63" w:rsidP="37EA5372" w:rsidRDefault="4F039E63" w14:paraId="05193E2D" w14:textId="5C632DD9">
      <w:pPr>
        <w:pStyle w:val="Normal"/>
        <w:spacing w:before="240" w:after="240" w:line="360" w:lineRule="auto"/>
        <w:jc w:val="both"/>
      </w:pPr>
      <w:r w:rsidRPr="37EA5372" w:rsidR="4F039E63">
        <w:rPr>
          <w:rFonts w:ascii="Calibri" w:hAnsi="Calibri" w:eastAsia="Calibri" w:cs="Calibri"/>
          <w:color w:val="000000" w:themeColor="text1" w:themeTint="FF" w:themeShade="FF"/>
          <w:sz w:val="20"/>
          <w:szCs w:val="20"/>
        </w:rPr>
        <w:t>Er mwyn gweithredu cwricwlwm cynhwysol a seiliedig ar chwarae, mae angen gweithlu sy’n hyderus ac yn fyfyriol. Eto i gyd, mae llawer o ymarferwyr yn adrodd diffyg parodrwydd i addasu chwarae ar gyfer plant ag ADY (Guldberg, 2021). Mae’r newid o fodel addysgu traddodiadol i un cyd-adeiladol a hwylusol yn newid hunaniaeth broffesiynol yn sylweddol. Rhaid i athrawon ddysgu goddef ansicrwydd ac adnabod dysgu o fewn llif anrhagweladwy chwarae (Wainwright et al., 2019).</w:t>
      </w:r>
    </w:p>
    <w:p w:rsidR="4F039E63" w:rsidP="37EA5372" w:rsidRDefault="4F039E63" w14:paraId="28C1850B" w14:textId="631F9072">
      <w:pPr>
        <w:pStyle w:val="Normal"/>
        <w:spacing w:before="240" w:after="240" w:line="360" w:lineRule="auto"/>
        <w:jc w:val="both"/>
      </w:pPr>
      <w:r w:rsidRPr="37EA5372" w:rsidR="4F039E63">
        <w:rPr>
          <w:rFonts w:ascii="Calibri" w:hAnsi="Calibri" w:eastAsia="Calibri" w:cs="Calibri"/>
          <w:color w:val="000000" w:themeColor="text1" w:themeTint="FF" w:themeShade="FF"/>
          <w:sz w:val="20"/>
          <w:szCs w:val="20"/>
        </w:rPr>
        <w:t>Ni ellir cyfyngu datblygiad proffesiynol i hyfforddiant byr. Mae ymchwil gan Waters (2016) ac astudiaethau diweddarach gan Payler a Jones (2021) yn tynnu sylw at bwysigrwydd myfyrio cydweithredol, hyfforddiant ar y cyd ac ymholiad proffesiynol i feithrin hyder pedagogaidd. Rhaid darparu amser strwythuredig i drafod arsylwadau, dehongli anghenion unigol a chynllunio ffyrdd o ymestyn dysgu heb danseilio ymreolaeth. Heb y cyfleoedd hyn, mae risg y bydd ymarferwyr yn dychwelyd at ffurfiau dysgu mwy mesuradwy, gan danseilio egwyddorion cynhwysol Cwricwlwm Cymru (Llywodraeth Cymru, 2022).</w:t>
      </w:r>
    </w:p>
    <w:p w:rsidR="4F039E63" w:rsidP="37EA5372" w:rsidRDefault="4F039E63" w14:paraId="245CC18D" w14:textId="6E036D3E">
      <w:pPr>
        <w:pStyle w:val="Normal"/>
        <w:spacing w:before="240" w:after="240" w:line="360" w:lineRule="auto"/>
        <w:jc w:val="both"/>
        <w:rPr>
          <w:rFonts w:ascii="Calibri" w:hAnsi="Calibri" w:eastAsia="Calibri" w:cs="Calibri"/>
          <w:b w:val="1"/>
          <w:bCs w:val="1"/>
          <w:color w:val="000000" w:themeColor="text1" w:themeTint="FF" w:themeShade="FF"/>
          <w:sz w:val="20"/>
          <w:szCs w:val="20"/>
        </w:rPr>
      </w:pPr>
      <w:r w:rsidRPr="37EA5372" w:rsidR="4F039E63">
        <w:rPr>
          <w:rFonts w:ascii="Calibri" w:hAnsi="Calibri" w:eastAsia="Calibri" w:cs="Calibri"/>
          <w:b w:val="1"/>
          <w:bCs w:val="1"/>
          <w:color w:val="000000" w:themeColor="text1" w:themeTint="FF" w:themeShade="FF"/>
          <w:sz w:val="20"/>
          <w:szCs w:val="20"/>
        </w:rPr>
        <w:t>Asesu a’r Perygl o Leihau Dysgu</w:t>
      </w:r>
    </w:p>
    <w:p w:rsidR="4F039E63" w:rsidP="37EA5372" w:rsidRDefault="4F039E63" w14:paraId="1EF840AB" w14:textId="43EB0FEA">
      <w:pPr>
        <w:pStyle w:val="Normal"/>
        <w:spacing w:before="240" w:after="240" w:line="360" w:lineRule="auto"/>
        <w:jc w:val="both"/>
      </w:pPr>
      <w:r w:rsidRPr="37EA5372" w:rsidR="4F039E63">
        <w:rPr>
          <w:rFonts w:ascii="Calibri" w:hAnsi="Calibri" w:eastAsia="Calibri" w:cs="Calibri"/>
          <w:color w:val="000000" w:themeColor="text1" w:themeTint="FF" w:themeShade="FF"/>
          <w:sz w:val="20"/>
          <w:szCs w:val="20"/>
        </w:rPr>
        <w:t>Mae asesu yn parhau i fod yn un o’r heriau mwyaf wrth weithredu dysgu seiliedig ar chwarae. Mae’r dibyniaeth ar restrau gwirio ac “ymarfer tystiolaeth” yn dueddol o ganolbwyntio ar yr hyn y gellir ei fesur yn hytrach na’r hyn sy’n cael ei brofi. I ddysgwyr ag ADY, gall hyn guddio cynnydd sydd yn anlinol ond yn ddwfn. Gall munud byr o rannu sylw neu weithred o empathi gynrychioli carreg filltir hanfodol nad yw’n ymddangos mewn systemau tracio traddodiadol (McInnes, 2019).</w:t>
      </w:r>
    </w:p>
    <w:p w:rsidR="4F039E63" w:rsidP="37EA5372" w:rsidRDefault="4F039E63" w14:paraId="0BFF1D8B" w14:textId="3F0E46B3">
      <w:pPr>
        <w:pStyle w:val="Normal"/>
        <w:spacing w:before="240" w:after="240" w:line="360" w:lineRule="auto"/>
        <w:jc w:val="both"/>
      </w:pPr>
      <w:r w:rsidRPr="37EA5372" w:rsidR="4F039E63">
        <w:rPr>
          <w:rFonts w:ascii="Calibri" w:hAnsi="Calibri" w:eastAsia="Calibri" w:cs="Calibri"/>
          <w:color w:val="000000" w:themeColor="text1" w:themeTint="FF" w:themeShade="FF"/>
          <w:sz w:val="20"/>
          <w:szCs w:val="20"/>
        </w:rPr>
        <w:t xml:space="preserve">Mae Cwricwlwm Cymru yn symud tuag at asesu ffurfiannol parhaus, gan gydnabod dysgu fel proses yn hytrach na chynnyrch (Stewart, MacDonald &amp; </w:t>
      </w:r>
      <w:r w:rsidRPr="37EA5372" w:rsidR="4F039E63">
        <w:rPr>
          <w:rFonts w:ascii="Calibri" w:hAnsi="Calibri" w:eastAsia="Calibri" w:cs="Calibri"/>
          <w:color w:val="000000" w:themeColor="text1" w:themeTint="FF" w:themeShade="FF"/>
          <w:sz w:val="20"/>
          <w:szCs w:val="20"/>
        </w:rPr>
        <w:t>Waters</w:t>
      </w:r>
      <w:r w:rsidRPr="37EA5372" w:rsidR="4F039E63">
        <w:rPr>
          <w:rFonts w:ascii="Calibri" w:hAnsi="Calibri" w:eastAsia="Calibri" w:cs="Calibri"/>
          <w:color w:val="000000" w:themeColor="text1" w:themeTint="FF" w:themeShade="FF"/>
          <w:sz w:val="20"/>
          <w:szCs w:val="20"/>
        </w:rPr>
        <w:t>-Davies, 2024). Mae dulliau naratif fel straeon dysgu a phortffolios chwarae yn cynnig delwedd fwy cywir o’r “plentyn unigryw” (</w:t>
      </w:r>
      <w:r w:rsidRPr="37EA5372" w:rsidR="4F039E63">
        <w:rPr>
          <w:rFonts w:ascii="Calibri" w:hAnsi="Calibri" w:eastAsia="Calibri" w:cs="Calibri"/>
          <w:color w:val="000000" w:themeColor="text1" w:themeTint="FF" w:themeShade="FF"/>
          <w:sz w:val="20"/>
          <w:szCs w:val="20"/>
        </w:rPr>
        <w:t>Dalton</w:t>
      </w:r>
      <w:r w:rsidRPr="37EA5372" w:rsidR="4F039E63">
        <w:rPr>
          <w:rFonts w:ascii="Calibri" w:hAnsi="Calibri" w:eastAsia="Calibri" w:cs="Calibri"/>
          <w:color w:val="000000" w:themeColor="text1" w:themeTint="FF" w:themeShade="FF"/>
          <w:sz w:val="20"/>
          <w:szCs w:val="20"/>
        </w:rPr>
        <w:t>, 2018). Fodd bynnag, mae’r dulliau hyn yn gofyn am amser ac ymddiriedaeth</w:t>
      </w:r>
      <w:r w:rsidRPr="37EA5372" w:rsidR="68782EB9">
        <w:rPr>
          <w:rFonts w:ascii="Calibri" w:hAnsi="Calibri" w:eastAsia="Calibri" w:cs="Calibri"/>
          <w:color w:val="000000" w:themeColor="text1" w:themeTint="FF" w:themeShade="FF"/>
          <w:sz w:val="20"/>
          <w:szCs w:val="20"/>
        </w:rPr>
        <w:t xml:space="preserve"> </w:t>
      </w:r>
      <w:r w:rsidRPr="37EA5372" w:rsidR="4F039E63">
        <w:rPr>
          <w:rFonts w:ascii="Calibri" w:hAnsi="Calibri" w:eastAsia="Calibri" w:cs="Calibri"/>
          <w:color w:val="000000" w:themeColor="text1" w:themeTint="FF" w:themeShade="FF"/>
          <w:sz w:val="20"/>
          <w:szCs w:val="20"/>
        </w:rPr>
        <w:t>elfennau sy’n aml yn gyfyngedig oherwydd llwyth gwaith ac arolygu.</w:t>
      </w:r>
    </w:p>
    <w:p w:rsidR="4F039E63" w:rsidP="37EA5372" w:rsidRDefault="4F039E63" w14:paraId="3E97EE3C" w14:textId="727B77FE">
      <w:pPr>
        <w:pStyle w:val="Normal"/>
        <w:spacing w:before="240" w:after="240" w:line="360" w:lineRule="auto"/>
        <w:jc w:val="both"/>
        <w:rPr>
          <w:rFonts w:ascii="Calibri" w:hAnsi="Calibri" w:eastAsia="Calibri" w:cs="Calibri"/>
          <w:b w:val="1"/>
          <w:bCs w:val="1"/>
          <w:color w:val="000000" w:themeColor="text1" w:themeTint="FF" w:themeShade="FF"/>
          <w:sz w:val="20"/>
          <w:szCs w:val="20"/>
        </w:rPr>
      </w:pPr>
      <w:r w:rsidRPr="37EA5372" w:rsidR="4F039E63">
        <w:rPr>
          <w:rFonts w:ascii="Calibri" w:hAnsi="Calibri" w:eastAsia="Calibri" w:cs="Calibri"/>
          <w:b w:val="1"/>
          <w:bCs w:val="1"/>
          <w:color w:val="000000" w:themeColor="text1" w:themeTint="FF" w:themeShade="FF"/>
          <w:sz w:val="20"/>
          <w:szCs w:val="20"/>
        </w:rPr>
        <w:t>Dylunio ar Gyfer Cynhwysiant: Yr Amgylchedd fel y Trydydd Athro</w:t>
      </w:r>
    </w:p>
    <w:p w:rsidR="4F039E63" w:rsidP="37EA5372" w:rsidRDefault="4F039E63" w14:paraId="4631718C" w14:textId="49660CA6">
      <w:pPr>
        <w:pStyle w:val="Normal"/>
        <w:spacing w:before="240" w:after="240" w:line="360" w:lineRule="auto"/>
        <w:jc w:val="both"/>
      </w:pPr>
      <w:r w:rsidRPr="37EA5372" w:rsidR="4F039E63">
        <w:rPr>
          <w:rFonts w:ascii="Calibri" w:hAnsi="Calibri" w:eastAsia="Calibri" w:cs="Calibri"/>
          <w:color w:val="000000" w:themeColor="text1" w:themeTint="FF" w:themeShade="FF"/>
          <w:sz w:val="20"/>
          <w:szCs w:val="20"/>
        </w:rPr>
        <w:t>Nid digwyddiad damweiniol yw chwarae cynhwysol; mae’n ganlyniad i ddylunio bwriadol. Mae’r amgylchedd corfforol a synhwyraidd yn dylanwadu’n fawr ar hygyrchedd. I blant ag ADY, gall goleuadau, sŵn neu gynllun gofodol benderfynu a yw chwarae’n teimlo’n ddeniadol neu’n llethol. Mae lleoliad cynhwysol yn cynnig parthau synhwyraidd amrywiol, cefnogaeth weledol a threfn ragweladwy, gan greu lle i bob plentyn gymryd rhan ar ei delerau ei hun (Ellis et al., 2024).</w:t>
      </w:r>
    </w:p>
    <w:p w:rsidR="4F039E63" w:rsidP="37EA5372" w:rsidRDefault="4F039E63" w14:paraId="3773F569" w14:textId="6FAAFC79">
      <w:pPr>
        <w:pStyle w:val="Normal"/>
        <w:spacing w:before="240" w:after="240" w:line="360" w:lineRule="auto"/>
        <w:jc w:val="both"/>
      </w:pPr>
      <w:r w:rsidRPr="37EA5372" w:rsidR="4F039E63">
        <w:rPr>
          <w:rFonts w:ascii="Calibri" w:hAnsi="Calibri" w:eastAsia="Calibri" w:cs="Calibri"/>
          <w:color w:val="000000" w:themeColor="text1" w:themeTint="FF" w:themeShade="FF"/>
          <w:sz w:val="20"/>
          <w:szCs w:val="20"/>
        </w:rPr>
        <w:t>Yn ogystal, mae’n rhaid ymestyn y ddealltwriaeth o gynhwysiant y tu hwnt i’r lleoliad. Yn aml, mae rhieni plant ag ADY yn ansicr o werth chwarae, gan gyfateb “dysgu” â chyfarwyddyd ffurfiol (Duncan &amp; Lockwood, 2008). Mae’n ddyletswydd ar ymarferwyr i gyfathrebu pwrpas chwarae ac i gynnwys teuluoedd fel partneriaid gweithredol. Pan fydd rhieni’n gweld sut mae chwarae’n cefnogi cyfathrebu, hyder a lles, maent yn dod yn gydweithwyr wrth gynnal dysgu y tu hwnt i’r ysgol.</w:t>
      </w:r>
    </w:p>
    <w:p w:rsidR="4F039E63" w:rsidP="37EA5372" w:rsidRDefault="4F039E63" w14:paraId="108A17A5" w14:textId="5FD6F37A">
      <w:pPr>
        <w:pStyle w:val="Normal"/>
        <w:spacing w:before="240" w:after="240" w:line="360" w:lineRule="auto"/>
        <w:jc w:val="both"/>
        <w:rPr>
          <w:rFonts w:ascii="Calibri" w:hAnsi="Calibri" w:eastAsia="Calibri" w:cs="Calibri"/>
          <w:b w:val="1"/>
          <w:bCs w:val="1"/>
          <w:color w:val="000000" w:themeColor="text1" w:themeTint="FF" w:themeShade="FF"/>
          <w:sz w:val="20"/>
          <w:szCs w:val="20"/>
        </w:rPr>
      </w:pPr>
      <w:r w:rsidRPr="37EA5372" w:rsidR="4F039E63">
        <w:rPr>
          <w:rFonts w:ascii="Calibri" w:hAnsi="Calibri" w:eastAsia="Calibri" w:cs="Calibri"/>
          <w:b w:val="1"/>
          <w:bCs w:val="1"/>
          <w:color w:val="000000" w:themeColor="text1" w:themeTint="FF" w:themeShade="FF"/>
          <w:sz w:val="20"/>
          <w:szCs w:val="20"/>
        </w:rPr>
        <w:t>Arweinyddiaeth a Diwylliant Ymddiriedaeth</w:t>
      </w:r>
    </w:p>
    <w:p w:rsidR="4F039E63" w:rsidP="37EA5372" w:rsidRDefault="4F039E63" w14:paraId="019A260D" w14:textId="07623657">
      <w:pPr>
        <w:pStyle w:val="Normal"/>
        <w:spacing w:before="240" w:after="240" w:line="360" w:lineRule="auto"/>
        <w:jc w:val="both"/>
      </w:pPr>
      <w:r w:rsidRPr="37EA5372" w:rsidR="4F039E63">
        <w:rPr>
          <w:rFonts w:ascii="Calibri" w:hAnsi="Calibri" w:eastAsia="Calibri" w:cs="Calibri"/>
          <w:color w:val="000000" w:themeColor="text1" w:themeTint="FF" w:themeShade="FF"/>
          <w:sz w:val="20"/>
          <w:szCs w:val="20"/>
        </w:rPr>
        <w:t>Gellir dadlau mai arweinyddiaeth yw’r elfen ganolog wrth benderfynu llwyddiant diwygio chwarae. Mae arweinwyr sy’n hyrwyddo deialog, myfyrdod ac asiantaeth broffesiynol yn creu’r amodau i chwarae ffynnu (Rigby, 2022). Maent yn amddiffyn amser ar gyfer arbrofi ac yn ymddiried yng ngallu plant ac ymarferwyr i ddysgu drwy chwarae.</w:t>
      </w:r>
    </w:p>
    <w:p w:rsidR="4F039E63" w:rsidP="37EA5372" w:rsidRDefault="4F039E63" w14:paraId="2B73480C" w14:textId="32EB3DEF">
      <w:pPr>
        <w:pStyle w:val="Normal"/>
        <w:spacing w:before="240" w:after="240" w:line="360" w:lineRule="auto"/>
        <w:jc w:val="both"/>
      </w:pPr>
      <w:r w:rsidRPr="37EA5372" w:rsidR="4F039E63">
        <w:rPr>
          <w:rFonts w:ascii="Calibri" w:hAnsi="Calibri" w:eastAsia="Calibri" w:cs="Calibri"/>
          <w:color w:val="000000" w:themeColor="text1" w:themeTint="FF" w:themeShade="FF"/>
          <w:sz w:val="20"/>
          <w:szCs w:val="20"/>
        </w:rPr>
        <w:t>Fodd bynnag, mae arwain trwy chwarae hefyd yn gofyn am ddewrder. Mae chwarae’n anrhagweladwy ac yn gallu ymddangos yn “anarchig” i’r rhai sy’n chwilio am strwythur pendant. Mae arweinyddiaeth ddewr yn golygu gwrthsefyll y demtasiwn i wneud chwarae’n “inspectable” ac yn hytrach eirioli dros ddysgu dwfn nad yw’n hawdd ei fesur ond sy’n hanfodol (Wainwright et al., 2019).</w:t>
      </w:r>
    </w:p>
    <w:p w:rsidR="4F039E63" w:rsidP="37EA5372" w:rsidRDefault="4F039E63" w14:paraId="218A968F" w14:textId="32632DB1">
      <w:pPr>
        <w:pStyle w:val="Normal"/>
        <w:spacing w:before="240" w:after="240" w:line="360" w:lineRule="auto"/>
        <w:jc w:val="both"/>
        <w:rPr>
          <w:rFonts w:ascii="Calibri" w:hAnsi="Calibri" w:eastAsia="Calibri" w:cs="Calibri"/>
          <w:b w:val="1"/>
          <w:bCs w:val="1"/>
          <w:color w:val="000000" w:themeColor="text1" w:themeTint="FF" w:themeShade="FF"/>
          <w:sz w:val="20"/>
          <w:szCs w:val="20"/>
        </w:rPr>
      </w:pPr>
      <w:r w:rsidRPr="37EA5372" w:rsidR="4F039E63">
        <w:rPr>
          <w:rFonts w:ascii="Calibri" w:hAnsi="Calibri" w:eastAsia="Calibri" w:cs="Calibri"/>
          <w:b w:val="1"/>
          <w:bCs w:val="1"/>
          <w:color w:val="000000" w:themeColor="text1" w:themeTint="FF" w:themeShade="FF"/>
          <w:sz w:val="20"/>
          <w:szCs w:val="20"/>
        </w:rPr>
        <w:t>Y Canlyniadau: Twf Holistaidd a Hyder Parhaol</w:t>
      </w:r>
    </w:p>
    <w:p w:rsidR="4F039E63" w:rsidP="37EA5372" w:rsidRDefault="4F039E63" w14:paraId="64905F26" w14:textId="16D82E1F">
      <w:pPr>
        <w:pStyle w:val="Normal"/>
        <w:spacing w:before="240" w:after="240" w:line="360" w:lineRule="auto"/>
        <w:jc w:val="both"/>
      </w:pPr>
      <w:r w:rsidRPr="37EA5372" w:rsidR="4F039E63">
        <w:rPr>
          <w:rFonts w:ascii="Calibri" w:hAnsi="Calibri" w:eastAsia="Calibri" w:cs="Calibri"/>
          <w:color w:val="000000" w:themeColor="text1" w:themeTint="FF" w:themeShade="FF"/>
          <w:sz w:val="20"/>
          <w:szCs w:val="20"/>
        </w:rPr>
        <w:t>Pan gaiff chwarae ei weithredu gyda sgil a sensitifrwydd, mae’r manteision i ddysgwyr</w:t>
      </w:r>
      <w:r w:rsidRPr="37EA5372" w:rsidR="3E1CBC93">
        <w:rPr>
          <w:rFonts w:ascii="Calibri" w:hAnsi="Calibri" w:eastAsia="Calibri" w:cs="Calibri"/>
          <w:color w:val="000000" w:themeColor="text1" w:themeTint="FF" w:themeShade="FF"/>
          <w:sz w:val="20"/>
          <w:szCs w:val="20"/>
        </w:rPr>
        <w:t xml:space="preserve"> </w:t>
      </w:r>
      <w:r w:rsidRPr="37EA5372" w:rsidR="4F039E63">
        <w:rPr>
          <w:rFonts w:ascii="Calibri" w:hAnsi="Calibri" w:eastAsia="Calibri" w:cs="Calibri"/>
          <w:color w:val="000000" w:themeColor="text1" w:themeTint="FF" w:themeShade="FF"/>
          <w:sz w:val="20"/>
          <w:szCs w:val="20"/>
        </w:rPr>
        <w:t>yn enwedig y rhai ag ADY</w:t>
      </w:r>
      <w:r w:rsidRPr="37EA5372" w:rsidR="1192B7CF">
        <w:rPr>
          <w:rFonts w:ascii="Calibri" w:hAnsi="Calibri" w:eastAsia="Calibri" w:cs="Calibri"/>
          <w:color w:val="000000" w:themeColor="text1" w:themeTint="FF" w:themeShade="FF"/>
          <w:sz w:val="20"/>
          <w:szCs w:val="20"/>
        </w:rPr>
        <w:t xml:space="preserve"> </w:t>
      </w:r>
      <w:r w:rsidRPr="37EA5372" w:rsidR="4F039E63">
        <w:rPr>
          <w:rFonts w:ascii="Calibri" w:hAnsi="Calibri" w:eastAsia="Calibri" w:cs="Calibri"/>
          <w:color w:val="000000" w:themeColor="text1" w:themeTint="FF" w:themeShade="FF"/>
          <w:sz w:val="20"/>
          <w:szCs w:val="20"/>
        </w:rPr>
        <w:t xml:space="preserve">yn amlwg. Mae plant yn datblygu cymhwysedd cymdeithasol, gwytnwch emosiynol ac ymdeimlad o asiantaeth. Maent yn dod yn gyfathrebwyr hyderus ac yn gydweithwyr </w:t>
      </w:r>
      <w:r w:rsidRPr="37EA5372" w:rsidR="4F039E63">
        <w:rPr>
          <w:rFonts w:ascii="Calibri" w:hAnsi="Calibri" w:eastAsia="Calibri" w:cs="Calibri"/>
          <w:color w:val="000000" w:themeColor="text1" w:themeTint="FF" w:themeShade="FF"/>
          <w:sz w:val="20"/>
          <w:szCs w:val="20"/>
        </w:rPr>
        <w:t>empathig</w:t>
      </w:r>
      <w:r w:rsidRPr="37EA5372" w:rsidR="4F039E63">
        <w:rPr>
          <w:rFonts w:ascii="Calibri" w:hAnsi="Calibri" w:eastAsia="Calibri" w:cs="Calibri"/>
          <w:color w:val="000000" w:themeColor="text1" w:themeTint="FF" w:themeShade="FF"/>
          <w:sz w:val="20"/>
          <w:szCs w:val="20"/>
        </w:rPr>
        <w:t>. I lawer o ddysgwyr ADY, mae chwarae’n cynnig gofod lle mae gwahaniaethau’n cael eu gweld fel cryfderau, nid fel diffygion.</w:t>
      </w:r>
    </w:p>
    <w:p w:rsidR="4F039E63" w:rsidP="37EA5372" w:rsidRDefault="4F039E63" w14:paraId="5311F24E" w14:textId="5D2B225B">
      <w:pPr>
        <w:pStyle w:val="Normal"/>
        <w:spacing w:before="240" w:after="240" w:line="360" w:lineRule="auto"/>
        <w:jc w:val="both"/>
      </w:pPr>
      <w:r w:rsidRPr="37EA5372" w:rsidR="4F039E63">
        <w:rPr>
          <w:rFonts w:ascii="Calibri" w:hAnsi="Calibri" w:eastAsia="Calibri" w:cs="Calibri"/>
          <w:color w:val="000000" w:themeColor="text1" w:themeTint="FF" w:themeShade="FF"/>
          <w:sz w:val="20"/>
          <w:szCs w:val="20"/>
        </w:rPr>
        <w:t>Yn ehangach, mae chwarae’n meithrin y rhinweddau y mae Cwricwlwm Cymru yn eu hyrwyddo: dysgwyr uchelgeisiol, unigolion hyderus, cyfranwyr creadigol, a dinasyddion moesegol (Llywodraeth Cymru, 2022). Nid yw’r nodau hyn yn haniaethol; maent yn weladwy ym llawenydd ac ymgysylltiad plant sy’n cael yr amser a’r ymddiriedaeth i chwarae.</w:t>
      </w:r>
    </w:p>
    <w:p w:rsidR="4F039E63" w:rsidP="37EA5372" w:rsidRDefault="4F039E63" w14:paraId="04C35F8C" w14:textId="3B77985E">
      <w:pPr>
        <w:pStyle w:val="Normal"/>
        <w:spacing w:before="240" w:after="240" w:line="360" w:lineRule="auto"/>
        <w:jc w:val="both"/>
        <w:rPr>
          <w:rFonts w:ascii="Calibri" w:hAnsi="Calibri" w:eastAsia="Calibri" w:cs="Calibri"/>
          <w:b w:val="1"/>
          <w:bCs w:val="1"/>
          <w:color w:val="000000" w:themeColor="text1" w:themeTint="FF" w:themeShade="FF"/>
          <w:sz w:val="20"/>
          <w:szCs w:val="20"/>
        </w:rPr>
      </w:pPr>
      <w:r w:rsidRPr="37EA5372" w:rsidR="4F039E63">
        <w:rPr>
          <w:rFonts w:ascii="Calibri" w:hAnsi="Calibri" w:eastAsia="Calibri" w:cs="Calibri"/>
          <w:b w:val="1"/>
          <w:bCs w:val="1"/>
          <w:color w:val="000000" w:themeColor="text1" w:themeTint="FF" w:themeShade="FF"/>
          <w:sz w:val="20"/>
          <w:szCs w:val="20"/>
        </w:rPr>
        <w:t xml:space="preserve">Casgliad: Galwad am Ddewrder a </w:t>
      </w:r>
      <w:r w:rsidRPr="37EA5372" w:rsidR="4F039E63">
        <w:rPr>
          <w:rFonts w:ascii="Calibri" w:hAnsi="Calibri" w:eastAsia="Calibri" w:cs="Calibri"/>
          <w:b w:val="1"/>
          <w:bCs w:val="1"/>
          <w:color w:val="000000" w:themeColor="text1" w:themeTint="FF" w:themeShade="FF"/>
          <w:sz w:val="20"/>
          <w:szCs w:val="20"/>
        </w:rPr>
        <w:t>Chydlyniant</w:t>
      </w:r>
    </w:p>
    <w:p w:rsidR="4F039E63" w:rsidP="37EA5372" w:rsidRDefault="4F039E63" w14:paraId="7D7F3797" w14:textId="1EB26F9D">
      <w:pPr>
        <w:pStyle w:val="Normal"/>
        <w:spacing w:before="240" w:after="240" w:line="360" w:lineRule="auto"/>
        <w:jc w:val="both"/>
      </w:pPr>
      <w:r w:rsidRPr="37EA5372" w:rsidR="4F039E63">
        <w:rPr>
          <w:rFonts w:ascii="Calibri" w:hAnsi="Calibri" w:eastAsia="Calibri" w:cs="Calibri"/>
          <w:color w:val="000000" w:themeColor="text1" w:themeTint="FF" w:themeShade="FF"/>
          <w:sz w:val="20"/>
          <w:szCs w:val="20"/>
        </w:rPr>
        <w:t>Nid gweithred o gydymffurfio ond o ddewrder proffesiynol yw gweithredu cwricwlwm cynhwysol seiliedig ar chwarae. Mae’n mynnu bod addysgwyr yn gwrthsefyll ffurfioli cynamserol ac yn cofleidio ansicrwydd, chwilfrydedd a myfyrdod. Mae’n galw am bolisi cydlynol sy’n alinio asesu, adnoddau ac arweinyddiaeth â bwriad addysgeg. Yn fwyaf oll, mae’n galw am ymddiriedaeth</w:t>
      </w:r>
      <w:r w:rsidRPr="37EA5372" w:rsidR="7496E494">
        <w:rPr>
          <w:rFonts w:ascii="Calibri" w:hAnsi="Calibri" w:eastAsia="Calibri" w:cs="Calibri"/>
          <w:color w:val="000000" w:themeColor="text1" w:themeTint="FF" w:themeShade="FF"/>
          <w:sz w:val="20"/>
          <w:szCs w:val="20"/>
        </w:rPr>
        <w:t xml:space="preserve"> </w:t>
      </w:r>
      <w:r w:rsidRPr="37EA5372" w:rsidR="4F039E63">
        <w:rPr>
          <w:rFonts w:ascii="Calibri" w:hAnsi="Calibri" w:eastAsia="Calibri" w:cs="Calibri"/>
          <w:color w:val="000000" w:themeColor="text1" w:themeTint="FF" w:themeShade="FF"/>
          <w:sz w:val="20"/>
          <w:szCs w:val="20"/>
        </w:rPr>
        <w:t>ymddiriedaeth yng ngallu plant i ddysgu drwy chwarae ac ymddiriedaeth yng ngallu ymarferwyr i’w gefnogi.</w:t>
      </w:r>
    </w:p>
    <w:p w:rsidR="4F039E63" w:rsidP="37EA5372" w:rsidRDefault="4F039E63" w14:paraId="134305E7" w14:textId="3B162B20">
      <w:pPr>
        <w:pStyle w:val="Normal"/>
        <w:spacing w:before="240" w:after="240" w:line="360" w:lineRule="auto"/>
        <w:jc w:val="both"/>
      </w:pPr>
      <w:r w:rsidRPr="37EA5372" w:rsidR="4F039E63">
        <w:rPr>
          <w:rFonts w:ascii="Calibri" w:hAnsi="Calibri" w:eastAsia="Calibri" w:cs="Calibri"/>
          <w:color w:val="000000" w:themeColor="text1" w:themeTint="FF" w:themeShade="FF"/>
          <w:sz w:val="20"/>
          <w:szCs w:val="20"/>
        </w:rPr>
        <w:t>Pan ail-ddychmygwn chwarae nid fel egwyl o ddysgu ond fel ei ffurf fwyaf dilys, rydym yn symud tuag at system addysg sy’n wirioneddol gynhwysol ac yn drawsnewidiol</w:t>
      </w:r>
      <w:r w:rsidRPr="37EA5372" w:rsidR="68AFBB14">
        <w:rPr>
          <w:rFonts w:ascii="Calibri" w:hAnsi="Calibri" w:eastAsia="Calibri" w:cs="Calibri"/>
          <w:color w:val="000000" w:themeColor="text1" w:themeTint="FF" w:themeShade="FF"/>
          <w:sz w:val="20"/>
          <w:szCs w:val="20"/>
        </w:rPr>
        <w:t xml:space="preserve"> </w:t>
      </w:r>
      <w:r w:rsidRPr="37EA5372" w:rsidR="4F039E63">
        <w:rPr>
          <w:rFonts w:ascii="Calibri" w:hAnsi="Calibri" w:eastAsia="Calibri" w:cs="Calibri"/>
          <w:color w:val="000000" w:themeColor="text1" w:themeTint="FF" w:themeShade="FF"/>
          <w:sz w:val="20"/>
          <w:szCs w:val="20"/>
        </w:rPr>
        <w:t xml:space="preserve">un lle mae pob plentyn, waeth beth </w:t>
      </w:r>
      <w:r w:rsidRPr="37EA5372" w:rsidR="4F039E63">
        <w:rPr>
          <w:rFonts w:ascii="Calibri" w:hAnsi="Calibri" w:eastAsia="Calibri" w:cs="Calibri"/>
          <w:color w:val="000000" w:themeColor="text1" w:themeTint="FF" w:themeShade="FF"/>
          <w:sz w:val="20"/>
          <w:szCs w:val="20"/>
        </w:rPr>
        <w:t>fo’i</w:t>
      </w:r>
      <w:r w:rsidRPr="37EA5372" w:rsidR="4F039E63">
        <w:rPr>
          <w:rFonts w:ascii="Calibri" w:hAnsi="Calibri" w:eastAsia="Calibri" w:cs="Calibri"/>
          <w:color w:val="000000" w:themeColor="text1" w:themeTint="FF" w:themeShade="FF"/>
          <w:sz w:val="20"/>
          <w:szCs w:val="20"/>
        </w:rPr>
        <w:t xml:space="preserve"> label na’i angen, yn cael ei gydnabod fel galluog, chwilfrydig a llawn potensial.</w:t>
      </w:r>
    </w:p>
    <w:p w:rsidR="37EA5372" w:rsidP="37EA5372" w:rsidRDefault="37EA5372" w14:paraId="7B966862" w14:textId="0CE920F7">
      <w:pPr>
        <w:pStyle w:val="Normal"/>
        <w:spacing w:before="240" w:after="240" w:line="360" w:lineRule="auto"/>
        <w:jc w:val="both"/>
        <w:rPr>
          <w:rFonts w:ascii="Calibri" w:hAnsi="Calibri" w:eastAsia="Calibri" w:cs="Calibri"/>
          <w:color w:val="000000" w:themeColor="text1" w:themeTint="FF" w:themeShade="FF"/>
          <w:sz w:val="20"/>
          <w:szCs w:val="20"/>
        </w:rPr>
      </w:pPr>
    </w:p>
    <w:p w:rsidR="224B2141" w:rsidP="37EA5372" w:rsidRDefault="224B2141" w14:paraId="20007EA1" w14:noSpellErr="1" w14:textId="692182AD">
      <w:pPr>
        <w:spacing w:before="240" w:after="240" w:line="360" w:lineRule="auto"/>
        <w:jc w:val="both"/>
        <w:rPr>
          <w:rFonts w:ascii="Calibri" w:hAnsi="Calibri" w:eastAsia="Calibri" w:cs="Calibri"/>
          <w:b w:val="0"/>
          <w:bCs w:val="0"/>
          <w:i w:val="0"/>
          <w:iCs w:val="0"/>
          <w:caps w:val="0"/>
          <w:smallCaps w:val="0"/>
          <w:color w:val="000000" w:themeColor="text1" w:themeTint="FF" w:themeShade="FF"/>
          <w:sz w:val="20"/>
          <w:szCs w:val="20"/>
        </w:rPr>
      </w:pPr>
    </w:p>
    <w:p w:rsidR="224B2141" w:rsidP="4E15EC36" w:rsidRDefault="224B2141" w14:paraId="1B720149" w14:textId="526E331A">
      <w:pPr>
        <w:spacing w:before="240" w:after="240" w:line="360" w:lineRule="auto"/>
        <w:rPr>
          <w:rFonts w:ascii="Calibri" w:hAnsi="Calibri" w:eastAsia="Calibri" w:cs="Calibri"/>
          <w:sz w:val="20"/>
          <w:szCs w:val="20"/>
        </w:rPr>
      </w:pPr>
      <w:r w:rsidRPr="4E15EC36">
        <w:rPr>
          <w:rFonts w:ascii="Calibri" w:hAnsi="Calibri" w:eastAsia="Calibri" w:cs="Calibri"/>
          <w:sz w:val="20"/>
          <w:szCs w:val="20"/>
        </w:rPr>
        <w:br w:type="page"/>
      </w:r>
    </w:p>
    <w:p w:rsidR="224B2141" w:rsidP="4E15EC36" w:rsidRDefault="224B2141" w14:paraId="09252FCA" w14:textId="5A90B17B">
      <w:pPr>
        <w:pStyle w:val="Normal"/>
        <w:spacing w:before="240" w:after="240" w:line="360" w:lineRule="auto"/>
        <w:jc w:val="both"/>
        <w:rPr>
          <w:rFonts w:ascii="Calibri" w:hAnsi="Calibri" w:eastAsia="Calibri" w:cs="Calibri"/>
          <w:b w:val="1"/>
          <w:bCs w:val="1"/>
          <w:i w:val="0"/>
          <w:iCs w:val="0"/>
          <w:caps w:val="0"/>
          <w:smallCaps w:val="0"/>
          <w:noProof w:val="0"/>
          <w:color w:val="000000" w:themeColor="text1" w:themeTint="FF" w:themeShade="FF"/>
          <w:sz w:val="20"/>
          <w:szCs w:val="20"/>
          <w:lang w:val="en-GB"/>
        </w:rPr>
      </w:pPr>
      <w:r w:rsidRPr="37EA5372" w:rsidR="224B2141">
        <w:rPr>
          <w:rFonts w:ascii="Calibri" w:hAnsi="Calibri" w:eastAsia="Calibri" w:cs="Calibri"/>
          <w:b w:val="1"/>
          <w:bCs w:val="1"/>
          <w:i w:val="0"/>
          <w:iCs w:val="0"/>
          <w:caps w:val="0"/>
          <w:smallCaps w:val="0"/>
          <w:color w:val="000000" w:themeColor="text1" w:themeTint="FF" w:themeShade="FF"/>
          <w:sz w:val="20"/>
          <w:szCs w:val="20"/>
        </w:rPr>
        <w:t>Cyfeirnodau</w:t>
      </w:r>
    </w:p>
    <w:p w:rsidR="4489DFEC" w:rsidP="37EA5372" w:rsidRDefault="4489DFEC" w14:noSpellErr="1" w14:paraId="66B4523D" w14:textId="3200F70E">
      <w:pPr>
        <w:spacing w:before="240" w:after="240" w:line="360" w:lineRule="auto"/>
        <w:jc w:val="both"/>
        <w:rPr>
          <w:rFonts w:ascii="Calibri" w:hAnsi="Calibri" w:eastAsia="Calibri" w:cs="Calibri"/>
          <w:color w:val="000000" w:themeColor="text1" w:themeTint="FF" w:themeShade="FF"/>
          <w:sz w:val="20"/>
          <w:szCs w:val="20"/>
        </w:rPr>
      </w:pPr>
      <w:r w:rsidRPr="37EA5372" w:rsidR="4BBCEC40">
        <w:rPr>
          <w:rFonts w:ascii="Calibri" w:hAnsi="Calibri" w:eastAsia="Calibri" w:cs="Calibri"/>
          <w:color w:val="000000" w:themeColor="text1" w:themeTint="FF" w:themeShade="FF"/>
          <w:sz w:val="20"/>
          <w:szCs w:val="20"/>
        </w:rPr>
        <w:t xml:space="preserve">Bee-Booth, S. (2020) 'Dathlu unigoliaeth plant ifanc: asesiad cyfranogol trwy chwarae dychmygol dan arweiniad plentyn mewn dosbarth derbyn', Fields: Journal of Huddersfield Student Research. </w:t>
      </w:r>
    </w:p>
    <w:p w:rsidR="4489DFEC" w:rsidP="37EA5372" w:rsidRDefault="4489DFEC" w14:paraId="3592BA09" w14:textId="1246A070">
      <w:pPr>
        <w:pStyle w:val="Normal"/>
        <w:spacing w:before="240" w:after="240" w:line="360" w:lineRule="auto"/>
        <w:jc w:val="both"/>
      </w:pPr>
      <w:r w:rsidRPr="37EA5372" w:rsidR="4BBCEC40">
        <w:rPr>
          <w:rFonts w:ascii="Calibri" w:hAnsi="Calibri" w:eastAsia="Calibri" w:cs="Calibri"/>
          <w:color w:val="000000" w:themeColor="text1" w:themeTint="FF" w:themeShade="FF"/>
          <w:sz w:val="20"/>
          <w:szCs w:val="20"/>
        </w:rPr>
        <w:t>Canning</w:t>
      </w:r>
      <w:r w:rsidRPr="37EA5372" w:rsidR="4BBCEC40">
        <w:rPr>
          <w:rFonts w:ascii="Calibri" w:hAnsi="Calibri" w:eastAsia="Calibri" w:cs="Calibri"/>
          <w:color w:val="000000" w:themeColor="text1" w:themeTint="FF" w:themeShade="FF"/>
          <w:sz w:val="20"/>
          <w:szCs w:val="20"/>
        </w:rPr>
        <w:t xml:space="preserve">, N. (2018) Chwarae ac Ymarfer yn y Cyfnod Sylfaen Blynyddoedd Cynnar. 2il </w:t>
      </w:r>
      <w:r w:rsidRPr="37EA5372" w:rsidR="4BBCEC40">
        <w:rPr>
          <w:rFonts w:ascii="Calibri" w:hAnsi="Calibri" w:eastAsia="Calibri" w:cs="Calibri"/>
          <w:color w:val="000000" w:themeColor="text1" w:themeTint="FF" w:themeShade="FF"/>
          <w:sz w:val="20"/>
          <w:szCs w:val="20"/>
        </w:rPr>
        <w:t>arg</w:t>
      </w:r>
      <w:r w:rsidRPr="37EA5372" w:rsidR="4BBCEC40">
        <w:rPr>
          <w:rFonts w:ascii="Calibri" w:hAnsi="Calibri" w:eastAsia="Calibri" w:cs="Calibri"/>
          <w:color w:val="000000" w:themeColor="text1" w:themeTint="FF" w:themeShade="FF"/>
          <w:sz w:val="20"/>
          <w:szCs w:val="20"/>
        </w:rPr>
        <w:t xml:space="preserve">. Llundain: SAGE. </w:t>
      </w:r>
      <w:r w:rsidRPr="37EA5372" w:rsidR="4BBCEC40">
        <w:rPr>
          <w:rFonts w:ascii="Calibri" w:hAnsi="Calibri" w:eastAsia="Calibri" w:cs="Calibri"/>
          <w:color w:val="000000" w:themeColor="text1" w:themeTint="FF" w:themeShade="FF"/>
          <w:sz w:val="20"/>
          <w:szCs w:val="20"/>
        </w:rPr>
        <w:t xml:space="preserve"> </w:t>
      </w:r>
    </w:p>
    <w:p w:rsidR="4489DFEC" w:rsidP="37EA5372" w:rsidRDefault="4489DFEC" w14:paraId="1E14C1A4" w14:textId="243CABCE">
      <w:pPr>
        <w:pStyle w:val="Normal"/>
        <w:spacing w:before="240" w:after="240" w:line="360" w:lineRule="auto"/>
        <w:jc w:val="both"/>
      </w:pPr>
      <w:r w:rsidRPr="37EA5372" w:rsidR="4BBCEC40">
        <w:rPr>
          <w:rFonts w:ascii="Calibri" w:hAnsi="Calibri" w:eastAsia="Calibri" w:cs="Calibri"/>
          <w:color w:val="000000" w:themeColor="text1" w:themeTint="FF" w:themeShade="FF"/>
          <w:sz w:val="20"/>
          <w:szCs w:val="20"/>
          <w:lang w:val="en-US"/>
        </w:rPr>
        <w:t>Dalton</w:t>
      </w:r>
      <w:r w:rsidRPr="37EA5372" w:rsidR="4BBCEC40">
        <w:rPr>
          <w:rFonts w:ascii="Calibri" w:hAnsi="Calibri" w:eastAsia="Calibri" w:cs="Calibri"/>
          <w:color w:val="000000" w:themeColor="text1" w:themeTint="FF" w:themeShade="FF"/>
          <w:sz w:val="20"/>
          <w:szCs w:val="20"/>
          <w:lang w:val="en-US"/>
        </w:rPr>
        <w:t xml:space="preserve">, J. (2018) 'The </w:t>
      </w:r>
      <w:r w:rsidRPr="37EA5372" w:rsidR="4BBCEC40">
        <w:rPr>
          <w:rFonts w:ascii="Calibri" w:hAnsi="Calibri" w:eastAsia="Calibri" w:cs="Calibri"/>
          <w:color w:val="000000" w:themeColor="text1" w:themeTint="FF" w:themeShade="FF"/>
          <w:sz w:val="20"/>
          <w:szCs w:val="20"/>
          <w:lang w:val="en-US"/>
        </w:rPr>
        <w:t>Unique</w:t>
      </w:r>
      <w:r w:rsidRPr="37EA5372" w:rsidR="4BBCEC40">
        <w:rPr>
          <w:rFonts w:ascii="Calibri" w:hAnsi="Calibri" w:eastAsia="Calibri" w:cs="Calibri"/>
          <w:color w:val="000000" w:themeColor="text1" w:themeTint="FF" w:themeShade="FF"/>
          <w:sz w:val="20"/>
          <w:szCs w:val="20"/>
          <w:lang w:val="en-US"/>
        </w:rPr>
        <w:t xml:space="preserve"> </w:t>
      </w:r>
      <w:r w:rsidRPr="37EA5372" w:rsidR="4BBCEC40">
        <w:rPr>
          <w:rFonts w:ascii="Calibri" w:hAnsi="Calibri" w:eastAsia="Calibri" w:cs="Calibri"/>
          <w:color w:val="000000" w:themeColor="text1" w:themeTint="FF" w:themeShade="FF"/>
          <w:sz w:val="20"/>
          <w:szCs w:val="20"/>
          <w:lang w:val="en-US"/>
        </w:rPr>
        <w:t>Child</w:t>
      </w:r>
      <w:r w:rsidRPr="37EA5372" w:rsidR="4BBCEC40">
        <w:rPr>
          <w:rFonts w:ascii="Calibri" w:hAnsi="Calibri" w:eastAsia="Calibri" w:cs="Calibri"/>
          <w:color w:val="000000" w:themeColor="text1" w:themeTint="FF" w:themeShade="FF"/>
          <w:sz w:val="20"/>
          <w:szCs w:val="20"/>
          <w:lang w:val="en-US"/>
        </w:rPr>
        <w:t xml:space="preserve">', yn </w:t>
      </w:r>
      <w:r w:rsidRPr="37EA5372" w:rsidR="4BBCEC40">
        <w:rPr>
          <w:rFonts w:ascii="Calibri" w:hAnsi="Calibri" w:eastAsia="Calibri" w:cs="Calibri"/>
          <w:color w:val="000000" w:themeColor="text1" w:themeTint="FF" w:themeShade="FF"/>
          <w:sz w:val="20"/>
          <w:szCs w:val="20"/>
          <w:lang w:val="en-US"/>
        </w:rPr>
        <w:t>McMahon</w:t>
      </w:r>
      <w:r w:rsidRPr="37EA5372" w:rsidR="4BBCEC40">
        <w:rPr>
          <w:rFonts w:ascii="Calibri" w:hAnsi="Calibri" w:eastAsia="Calibri" w:cs="Calibri"/>
          <w:color w:val="000000" w:themeColor="text1" w:themeTint="FF" w:themeShade="FF"/>
          <w:sz w:val="20"/>
          <w:szCs w:val="20"/>
          <w:lang w:val="en-US"/>
        </w:rPr>
        <w:t xml:space="preserve">, S. a </w:t>
      </w:r>
      <w:r w:rsidRPr="37EA5372" w:rsidR="4BBCEC40">
        <w:rPr>
          <w:rFonts w:ascii="Calibri" w:hAnsi="Calibri" w:eastAsia="Calibri" w:cs="Calibri"/>
          <w:color w:val="000000" w:themeColor="text1" w:themeTint="FF" w:themeShade="FF"/>
          <w:sz w:val="20"/>
          <w:szCs w:val="20"/>
          <w:lang w:val="en-US"/>
        </w:rPr>
        <w:t>Dyer</w:t>
      </w:r>
      <w:r w:rsidRPr="37EA5372" w:rsidR="4BBCEC40">
        <w:rPr>
          <w:rFonts w:ascii="Calibri" w:hAnsi="Calibri" w:eastAsia="Calibri" w:cs="Calibri"/>
          <w:color w:val="000000" w:themeColor="text1" w:themeTint="FF" w:themeShade="FF"/>
          <w:sz w:val="20"/>
          <w:szCs w:val="20"/>
          <w:lang w:val="en-US"/>
        </w:rPr>
        <w:t xml:space="preserve">, M. (gol.) Advanced </w:t>
      </w:r>
      <w:r w:rsidRPr="37EA5372" w:rsidR="4BBCEC40">
        <w:rPr>
          <w:rFonts w:ascii="Calibri" w:hAnsi="Calibri" w:eastAsia="Calibri" w:cs="Calibri"/>
          <w:color w:val="000000" w:themeColor="text1" w:themeTint="FF" w:themeShade="FF"/>
          <w:sz w:val="20"/>
          <w:szCs w:val="20"/>
          <w:lang w:val="en-US"/>
        </w:rPr>
        <w:t>Work-Based</w:t>
      </w:r>
      <w:r w:rsidRPr="37EA5372" w:rsidR="4BBCEC40">
        <w:rPr>
          <w:rFonts w:ascii="Calibri" w:hAnsi="Calibri" w:eastAsia="Calibri" w:cs="Calibri"/>
          <w:color w:val="000000" w:themeColor="text1" w:themeTint="FF" w:themeShade="FF"/>
          <w:sz w:val="20"/>
          <w:szCs w:val="20"/>
          <w:lang w:val="en-US"/>
        </w:rPr>
        <w:t xml:space="preserve"> </w:t>
      </w:r>
      <w:r w:rsidRPr="37EA5372" w:rsidR="4BBCEC40">
        <w:rPr>
          <w:rFonts w:ascii="Calibri" w:hAnsi="Calibri" w:eastAsia="Calibri" w:cs="Calibri"/>
          <w:color w:val="000000" w:themeColor="text1" w:themeTint="FF" w:themeShade="FF"/>
          <w:sz w:val="20"/>
          <w:szCs w:val="20"/>
          <w:lang w:val="en-US"/>
        </w:rPr>
        <w:t>Practice</w:t>
      </w:r>
      <w:r w:rsidRPr="37EA5372" w:rsidR="4BBCEC40">
        <w:rPr>
          <w:rFonts w:ascii="Calibri" w:hAnsi="Calibri" w:eastAsia="Calibri" w:cs="Calibri"/>
          <w:color w:val="000000" w:themeColor="text1" w:themeTint="FF" w:themeShade="FF"/>
          <w:sz w:val="20"/>
          <w:szCs w:val="20"/>
          <w:lang w:val="en-US"/>
        </w:rPr>
        <w:t xml:space="preserve"> </w:t>
      </w:r>
      <w:r w:rsidRPr="37EA5372" w:rsidR="4BBCEC40">
        <w:rPr>
          <w:rFonts w:ascii="Calibri" w:hAnsi="Calibri" w:eastAsia="Calibri" w:cs="Calibri"/>
          <w:color w:val="000000" w:themeColor="text1" w:themeTint="FF" w:themeShade="FF"/>
          <w:sz w:val="20"/>
          <w:szCs w:val="20"/>
          <w:lang w:val="en-US"/>
        </w:rPr>
        <w:t>in</w:t>
      </w:r>
      <w:r w:rsidRPr="37EA5372" w:rsidR="4BBCEC40">
        <w:rPr>
          <w:rFonts w:ascii="Calibri" w:hAnsi="Calibri" w:eastAsia="Calibri" w:cs="Calibri"/>
          <w:color w:val="000000" w:themeColor="text1" w:themeTint="FF" w:themeShade="FF"/>
          <w:sz w:val="20"/>
          <w:szCs w:val="20"/>
          <w:lang w:val="en-US"/>
        </w:rPr>
        <w:t xml:space="preserve"> the </w:t>
      </w:r>
      <w:r w:rsidRPr="37EA5372" w:rsidR="4BBCEC40">
        <w:rPr>
          <w:rFonts w:ascii="Calibri" w:hAnsi="Calibri" w:eastAsia="Calibri" w:cs="Calibri"/>
          <w:color w:val="000000" w:themeColor="text1" w:themeTint="FF" w:themeShade="FF"/>
          <w:sz w:val="20"/>
          <w:szCs w:val="20"/>
          <w:lang w:val="en-US"/>
        </w:rPr>
        <w:t>Early</w:t>
      </w:r>
      <w:r w:rsidRPr="37EA5372" w:rsidR="4BBCEC40">
        <w:rPr>
          <w:rFonts w:ascii="Calibri" w:hAnsi="Calibri" w:eastAsia="Calibri" w:cs="Calibri"/>
          <w:color w:val="000000" w:themeColor="text1" w:themeTint="FF" w:themeShade="FF"/>
          <w:sz w:val="20"/>
          <w:szCs w:val="20"/>
          <w:lang w:val="en-US"/>
        </w:rPr>
        <w:t xml:space="preserve"> </w:t>
      </w:r>
      <w:r w:rsidRPr="37EA5372" w:rsidR="4BBCEC40">
        <w:rPr>
          <w:rFonts w:ascii="Calibri" w:hAnsi="Calibri" w:eastAsia="Calibri" w:cs="Calibri"/>
          <w:color w:val="000000" w:themeColor="text1" w:themeTint="FF" w:themeShade="FF"/>
          <w:sz w:val="20"/>
          <w:szCs w:val="20"/>
          <w:lang w:val="en-US"/>
        </w:rPr>
        <w:t>Years</w:t>
      </w:r>
      <w:r w:rsidRPr="37EA5372" w:rsidR="4BBCEC40">
        <w:rPr>
          <w:rFonts w:ascii="Calibri" w:hAnsi="Calibri" w:eastAsia="Calibri" w:cs="Calibri"/>
          <w:color w:val="000000" w:themeColor="text1" w:themeTint="FF" w:themeShade="FF"/>
          <w:sz w:val="20"/>
          <w:szCs w:val="20"/>
          <w:lang w:val="en-US"/>
        </w:rPr>
        <w:t xml:space="preserve">. Llundain: Routledge. </w:t>
      </w:r>
      <w:r w:rsidRPr="37EA5372" w:rsidR="4BBCEC40">
        <w:rPr>
          <w:rFonts w:ascii="Calibri" w:hAnsi="Calibri" w:eastAsia="Calibri" w:cs="Calibri"/>
          <w:color w:val="000000" w:themeColor="text1" w:themeTint="FF" w:themeShade="FF"/>
          <w:sz w:val="20"/>
          <w:szCs w:val="20"/>
          <w:lang w:val="en-US"/>
        </w:rPr>
        <w:t xml:space="preserve"> </w:t>
      </w:r>
    </w:p>
    <w:p w:rsidR="4489DFEC" w:rsidP="37EA5372" w:rsidRDefault="4489DFEC" w14:paraId="6E888486" w14:textId="55B80B97">
      <w:pPr>
        <w:pStyle w:val="Normal"/>
        <w:spacing w:before="240" w:after="240" w:line="360" w:lineRule="auto"/>
        <w:jc w:val="both"/>
      </w:pPr>
      <w:r w:rsidRPr="37EA5372" w:rsidR="4BBCEC40">
        <w:rPr>
          <w:rFonts w:ascii="Calibri" w:hAnsi="Calibri" w:eastAsia="Calibri" w:cs="Calibri"/>
          <w:color w:val="000000" w:themeColor="text1" w:themeTint="FF" w:themeShade="FF"/>
          <w:sz w:val="20"/>
          <w:szCs w:val="20"/>
        </w:rPr>
        <w:t>Dubiel</w:t>
      </w:r>
      <w:r w:rsidRPr="37EA5372" w:rsidR="4BBCEC40">
        <w:rPr>
          <w:rFonts w:ascii="Calibri" w:hAnsi="Calibri" w:eastAsia="Calibri" w:cs="Calibri"/>
          <w:color w:val="000000" w:themeColor="text1" w:themeTint="FF" w:themeShade="FF"/>
          <w:sz w:val="20"/>
          <w:szCs w:val="20"/>
        </w:rPr>
        <w:t xml:space="preserve">, J. (2016) Asesiad Effeithiol yn y Cyfnod Sylfaen Blynyddoedd Cynnar. Llundain: SAGE. </w:t>
      </w:r>
      <w:r w:rsidRPr="37EA5372" w:rsidR="4BBCEC40">
        <w:rPr>
          <w:rFonts w:ascii="Calibri" w:hAnsi="Calibri" w:eastAsia="Calibri" w:cs="Calibri"/>
          <w:color w:val="000000" w:themeColor="text1" w:themeTint="FF" w:themeShade="FF"/>
          <w:sz w:val="20"/>
          <w:szCs w:val="20"/>
        </w:rPr>
        <w:t xml:space="preserve">  </w:t>
      </w:r>
    </w:p>
    <w:p w:rsidR="4489DFEC" w:rsidP="37EA5372" w:rsidRDefault="4489DFEC" w14:paraId="03FA54D5" w14:textId="5D853BFA">
      <w:pPr>
        <w:pStyle w:val="Normal"/>
        <w:spacing w:before="240" w:after="240" w:line="360" w:lineRule="auto"/>
        <w:jc w:val="both"/>
      </w:pPr>
      <w:r w:rsidRPr="37EA5372" w:rsidR="4BBCEC40">
        <w:rPr>
          <w:rFonts w:ascii="Calibri" w:hAnsi="Calibri" w:eastAsia="Calibri" w:cs="Calibri"/>
          <w:color w:val="000000" w:themeColor="text1" w:themeTint="FF" w:themeShade="FF"/>
          <w:sz w:val="20"/>
          <w:szCs w:val="20"/>
        </w:rPr>
        <w:t>Duncan</w:t>
      </w:r>
      <w:r w:rsidRPr="37EA5372" w:rsidR="4BBCEC40">
        <w:rPr>
          <w:rFonts w:ascii="Calibri" w:hAnsi="Calibri" w:eastAsia="Calibri" w:cs="Calibri"/>
          <w:color w:val="000000" w:themeColor="text1" w:themeTint="FF" w:themeShade="FF"/>
          <w:sz w:val="20"/>
          <w:szCs w:val="20"/>
        </w:rPr>
        <w:t xml:space="preserve">, J. a </w:t>
      </w:r>
      <w:r w:rsidRPr="37EA5372" w:rsidR="4BBCEC40">
        <w:rPr>
          <w:rFonts w:ascii="Calibri" w:hAnsi="Calibri" w:eastAsia="Calibri" w:cs="Calibri"/>
          <w:color w:val="000000" w:themeColor="text1" w:themeTint="FF" w:themeShade="FF"/>
          <w:sz w:val="20"/>
          <w:szCs w:val="20"/>
        </w:rPr>
        <w:t>Lockwood</w:t>
      </w:r>
      <w:r w:rsidRPr="37EA5372" w:rsidR="4BBCEC40">
        <w:rPr>
          <w:rFonts w:ascii="Calibri" w:hAnsi="Calibri" w:eastAsia="Calibri" w:cs="Calibri"/>
          <w:color w:val="000000" w:themeColor="text1" w:themeTint="FF" w:themeShade="FF"/>
          <w:sz w:val="20"/>
          <w:szCs w:val="20"/>
        </w:rPr>
        <w:t xml:space="preserve">, M. (2008) Dysgu trwy chwarae: Dull Seiliedig ar Waith ar gyfer y Gweithiwr Proffesiynol Blynyddoedd </w:t>
      </w:r>
      <w:r w:rsidRPr="37EA5372" w:rsidR="4BBCEC40">
        <w:rPr>
          <w:rFonts w:ascii="Calibri" w:hAnsi="Calibri" w:eastAsia="Calibri" w:cs="Calibri"/>
          <w:color w:val="000000" w:themeColor="text1" w:themeTint="FF" w:themeShade="FF"/>
          <w:sz w:val="20"/>
          <w:szCs w:val="20"/>
        </w:rPr>
        <w:t>Cynnar.Llundain</w:t>
      </w:r>
      <w:r w:rsidRPr="37EA5372" w:rsidR="4BBCEC40">
        <w:rPr>
          <w:rFonts w:ascii="Calibri" w:hAnsi="Calibri" w:eastAsia="Calibri" w:cs="Calibri"/>
          <w:color w:val="000000" w:themeColor="text1" w:themeTint="FF" w:themeShade="FF"/>
          <w:sz w:val="20"/>
          <w:szCs w:val="20"/>
        </w:rPr>
        <w:t xml:space="preserve">: </w:t>
      </w:r>
      <w:r w:rsidRPr="37EA5372" w:rsidR="4BBCEC40">
        <w:rPr>
          <w:rFonts w:ascii="Calibri" w:hAnsi="Calibri" w:eastAsia="Calibri" w:cs="Calibri"/>
          <w:color w:val="000000" w:themeColor="text1" w:themeTint="FF" w:themeShade="FF"/>
          <w:sz w:val="20"/>
          <w:szCs w:val="20"/>
        </w:rPr>
        <w:t>Bloomsbury</w:t>
      </w:r>
      <w:r w:rsidRPr="37EA5372" w:rsidR="4BBCEC40">
        <w:rPr>
          <w:rFonts w:ascii="Calibri" w:hAnsi="Calibri" w:eastAsia="Calibri" w:cs="Calibri"/>
          <w:color w:val="000000" w:themeColor="text1" w:themeTint="FF" w:themeShade="FF"/>
          <w:sz w:val="20"/>
          <w:szCs w:val="20"/>
        </w:rPr>
        <w:t xml:space="preserve">. </w:t>
      </w:r>
    </w:p>
    <w:p w:rsidR="4489DFEC" w:rsidP="37EA5372" w:rsidRDefault="4489DFEC" w14:paraId="2E72B828" w14:textId="1AF17868">
      <w:pPr>
        <w:pStyle w:val="Normal"/>
        <w:spacing w:before="240" w:after="240" w:line="360" w:lineRule="auto"/>
        <w:jc w:val="both"/>
      </w:pPr>
      <w:r w:rsidRPr="37EA5372" w:rsidR="4BBCEC40">
        <w:rPr>
          <w:rFonts w:ascii="Calibri" w:hAnsi="Calibri" w:eastAsia="Calibri" w:cs="Calibri"/>
          <w:color w:val="000000" w:themeColor="text1" w:themeTint="FF" w:themeShade="FF"/>
          <w:sz w:val="20"/>
          <w:szCs w:val="20"/>
        </w:rPr>
        <w:t>Ebbeck</w:t>
      </w:r>
      <w:r w:rsidRPr="37EA5372" w:rsidR="4BBCEC40">
        <w:rPr>
          <w:rFonts w:ascii="Calibri" w:hAnsi="Calibri" w:eastAsia="Calibri" w:cs="Calibri"/>
          <w:color w:val="000000" w:themeColor="text1" w:themeTint="FF" w:themeShade="FF"/>
          <w:sz w:val="20"/>
          <w:szCs w:val="20"/>
        </w:rPr>
        <w:t xml:space="preserve">, M., </w:t>
      </w:r>
      <w:r w:rsidRPr="37EA5372" w:rsidR="4BBCEC40">
        <w:rPr>
          <w:rFonts w:ascii="Calibri" w:hAnsi="Calibri" w:eastAsia="Calibri" w:cs="Calibri"/>
          <w:color w:val="000000" w:themeColor="text1" w:themeTint="FF" w:themeShade="FF"/>
          <w:sz w:val="20"/>
          <w:szCs w:val="20"/>
        </w:rPr>
        <w:t>Yim</w:t>
      </w:r>
      <w:r w:rsidRPr="37EA5372" w:rsidR="4BBCEC40">
        <w:rPr>
          <w:rFonts w:ascii="Calibri" w:hAnsi="Calibri" w:eastAsia="Calibri" w:cs="Calibri"/>
          <w:color w:val="000000" w:themeColor="text1" w:themeTint="FF" w:themeShade="FF"/>
          <w:sz w:val="20"/>
          <w:szCs w:val="20"/>
        </w:rPr>
        <w:t xml:space="preserve">, HY, a Lee, LWM (2013). Dysgu seiliedig ar chwarae. Yn D. </w:t>
      </w:r>
      <w:r w:rsidRPr="37EA5372" w:rsidR="4BBCEC40">
        <w:rPr>
          <w:rFonts w:ascii="Calibri" w:hAnsi="Calibri" w:eastAsia="Calibri" w:cs="Calibri"/>
          <w:color w:val="000000" w:themeColor="text1" w:themeTint="FF" w:themeShade="FF"/>
          <w:sz w:val="20"/>
          <w:szCs w:val="20"/>
        </w:rPr>
        <w:t>Pendergast</w:t>
      </w:r>
      <w:r w:rsidRPr="37EA5372" w:rsidR="4BBCEC40">
        <w:rPr>
          <w:rFonts w:ascii="Calibri" w:hAnsi="Calibri" w:eastAsia="Calibri" w:cs="Calibri"/>
          <w:color w:val="000000" w:themeColor="text1" w:themeTint="FF" w:themeShade="FF"/>
          <w:sz w:val="20"/>
          <w:szCs w:val="20"/>
        </w:rPr>
        <w:t xml:space="preserve"> &amp; S. </w:t>
      </w:r>
      <w:r w:rsidRPr="37EA5372" w:rsidR="4BBCEC40">
        <w:rPr>
          <w:rFonts w:ascii="Calibri" w:hAnsi="Calibri" w:eastAsia="Calibri" w:cs="Calibri"/>
          <w:color w:val="000000" w:themeColor="text1" w:themeTint="FF" w:themeShade="FF"/>
          <w:sz w:val="20"/>
          <w:szCs w:val="20"/>
        </w:rPr>
        <w:t>Garvis</w:t>
      </w:r>
      <w:r w:rsidRPr="37EA5372" w:rsidR="4BBCEC40">
        <w:rPr>
          <w:rFonts w:ascii="Calibri" w:hAnsi="Calibri" w:eastAsia="Calibri" w:cs="Calibri"/>
          <w:color w:val="000000" w:themeColor="text1" w:themeTint="FF" w:themeShade="FF"/>
          <w:sz w:val="20"/>
          <w:szCs w:val="20"/>
        </w:rPr>
        <w:t xml:space="preserve"> (gol.), Addysgu Blynyddoedd Cynnar: Cwricwlwm, Addysgeg ac Asesu. Routledge. (Banc Ymchwil ACU) </w:t>
      </w:r>
    </w:p>
    <w:p w:rsidR="4489DFEC" w:rsidP="37EA5372" w:rsidRDefault="4489DFEC" w14:paraId="11D2687D" w14:textId="091A2BAE">
      <w:pPr>
        <w:pStyle w:val="Normal"/>
        <w:spacing w:before="240" w:after="240" w:line="360" w:lineRule="auto"/>
        <w:jc w:val="both"/>
      </w:pPr>
      <w:r w:rsidRPr="37EA5372" w:rsidR="4BBCEC40">
        <w:rPr>
          <w:rFonts w:ascii="Calibri" w:hAnsi="Calibri" w:eastAsia="Calibri" w:cs="Calibri"/>
          <w:color w:val="000000" w:themeColor="text1" w:themeTint="FF" w:themeShade="FF"/>
          <w:sz w:val="20"/>
          <w:szCs w:val="20"/>
        </w:rPr>
        <w:t xml:space="preserve">Edwards, C., </w:t>
      </w:r>
      <w:r w:rsidRPr="37EA5372" w:rsidR="4BBCEC40">
        <w:rPr>
          <w:rFonts w:ascii="Calibri" w:hAnsi="Calibri" w:eastAsia="Calibri" w:cs="Calibri"/>
          <w:color w:val="000000" w:themeColor="text1" w:themeTint="FF" w:themeShade="FF"/>
          <w:sz w:val="20"/>
          <w:szCs w:val="20"/>
        </w:rPr>
        <w:t>Gandini</w:t>
      </w:r>
      <w:r w:rsidRPr="37EA5372" w:rsidR="4BBCEC40">
        <w:rPr>
          <w:rFonts w:ascii="Calibri" w:hAnsi="Calibri" w:eastAsia="Calibri" w:cs="Calibri"/>
          <w:color w:val="000000" w:themeColor="text1" w:themeTint="FF" w:themeShade="FF"/>
          <w:sz w:val="20"/>
          <w:szCs w:val="20"/>
        </w:rPr>
        <w:t xml:space="preserve">, L. a </w:t>
      </w:r>
      <w:r w:rsidRPr="37EA5372" w:rsidR="4BBCEC40">
        <w:rPr>
          <w:rFonts w:ascii="Calibri" w:hAnsi="Calibri" w:eastAsia="Calibri" w:cs="Calibri"/>
          <w:color w:val="000000" w:themeColor="text1" w:themeTint="FF" w:themeShade="FF"/>
          <w:sz w:val="20"/>
          <w:szCs w:val="20"/>
        </w:rPr>
        <w:t>Forman</w:t>
      </w:r>
      <w:r w:rsidRPr="37EA5372" w:rsidR="4BBCEC40">
        <w:rPr>
          <w:rFonts w:ascii="Calibri" w:hAnsi="Calibri" w:eastAsia="Calibri" w:cs="Calibri"/>
          <w:color w:val="000000" w:themeColor="text1" w:themeTint="FF" w:themeShade="FF"/>
          <w:sz w:val="20"/>
          <w:szCs w:val="20"/>
        </w:rPr>
        <w:t xml:space="preserve">, G. (2012) The </w:t>
      </w:r>
      <w:r w:rsidRPr="37EA5372" w:rsidR="4BBCEC40">
        <w:rPr>
          <w:rFonts w:ascii="Calibri" w:hAnsi="Calibri" w:eastAsia="Calibri" w:cs="Calibri"/>
          <w:color w:val="000000" w:themeColor="text1" w:themeTint="FF" w:themeShade="FF"/>
          <w:sz w:val="20"/>
          <w:szCs w:val="20"/>
        </w:rPr>
        <w:t>Hundred</w:t>
      </w:r>
      <w:r w:rsidRPr="37EA5372" w:rsidR="4BBCEC40">
        <w:rPr>
          <w:rFonts w:ascii="Calibri" w:hAnsi="Calibri" w:eastAsia="Calibri" w:cs="Calibri"/>
          <w:color w:val="000000" w:themeColor="text1" w:themeTint="FF" w:themeShade="FF"/>
          <w:sz w:val="20"/>
          <w:szCs w:val="20"/>
        </w:rPr>
        <w:t xml:space="preserve"> </w:t>
      </w:r>
      <w:r w:rsidRPr="37EA5372" w:rsidR="4BBCEC40">
        <w:rPr>
          <w:rFonts w:ascii="Calibri" w:hAnsi="Calibri" w:eastAsia="Calibri" w:cs="Calibri"/>
          <w:color w:val="000000" w:themeColor="text1" w:themeTint="FF" w:themeShade="FF"/>
          <w:sz w:val="20"/>
          <w:szCs w:val="20"/>
        </w:rPr>
        <w:t>Languages</w:t>
      </w:r>
      <w:r w:rsidRPr="37EA5372" w:rsidR="4BBCEC40">
        <w:rPr>
          <w:rFonts w:ascii="Calibri" w:hAnsi="Calibri" w:eastAsia="Calibri" w:cs="Calibri"/>
          <w:color w:val="000000" w:themeColor="text1" w:themeTint="FF" w:themeShade="FF"/>
          <w:sz w:val="20"/>
          <w:szCs w:val="20"/>
        </w:rPr>
        <w:t xml:space="preserve"> of </w:t>
      </w:r>
      <w:r w:rsidRPr="37EA5372" w:rsidR="4BBCEC40">
        <w:rPr>
          <w:rFonts w:ascii="Calibri" w:hAnsi="Calibri" w:eastAsia="Calibri" w:cs="Calibri"/>
          <w:color w:val="000000" w:themeColor="text1" w:themeTint="FF" w:themeShade="FF"/>
          <w:sz w:val="20"/>
          <w:szCs w:val="20"/>
        </w:rPr>
        <w:t>Children</w:t>
      </w:r>
      <w:r w:rsidRPr="37EA5372" w:rsidR="4BBCEC40">
        <w:rPr>
          <w:rFonts w:ascii="Calibri" w:hAnsi="Calibri" w:eastAsia="Calibri" w:cs="Calibri"/>
          <w:color w:val="000000" w:themeColor="text1" w:themeTint="FF" w:themeShade="FF"/>
          <w:sz w:val="20"/>
          <w:szCs w:val="20"/>
        </w:rPr>
        <w:t xml:space="preserve">: The </w:t>
      </w:r>
      <w:r w:rsidRPr="37EA5372" w:rsidR="4BBCEC40">
        <w:rPr>
          <w:rFonts w:ascii="Calibri" w:hAnsi="Calibri" w:eastAsia="Calibri" w:cs="Calibri"/>
          <w:color w:val="000000" w:themeColor="text1" w:themeTint="FF" w:themeShade="FF"/>
          <w:sz w:val="20"/>
          <w:szCs w:val="20"/>
        </w:rPr>
        <w:t>Reggio</w:t>
      </w:r>
      <w:r w:rsidRPr="37EA5372" w:rsidR="4BBCEC40">
        <w:rPr>
          <w:rFonts w:ascii="Calibri" w:hAnsi="Calibri" w:eastAsia="Calibri" w:cs="Calibri"/>
          <w:color w:val="000000" w:themeColor="text1" w:themeTint="FF" w:themeShade="FF"/>
          <w:sz w:val="20"/>
          <w:szCs w:val="20"/>
        </w:rPr>
        <w:t xml:space="preserve"> </w:t>
      </w:r>
      <w:r w:rsidRPr="37EA5372" w:rsidR="4BBCEC40">
        <w:rPr>
          <w:rFonts w:ascii="Calibri" w:hAnsi="Calibri" w:eastAsia="Calibri" w:cs="Calibri"/>
          <w:color w:val="000000" w:themeColor="text1" w:themeTint="FF" w:themeShade="FF"/>
          <w:sz w:val="20"/>
          <w:szCs w:val="20"/>
        </w:rPr>
        <w:t>Emilia</w:t>
      </w:r>
      <w:r w:rsidRPr="37EA5372" w:rsidR="4BBCEC40">
        <w:rPr>
          <w:rFonts w:ascii="Calibri" w:hAnsi="Calibri" w:eastAsia="Calibri" w:cs="Calibri"/>
          <w:color w:val="000000" w:themeColor="text1" w:themeTint="FF" w:themeShade="FF"/>
          <w:sz w:val="20"/>
          <w:szCs w:val="20"/>
        </w:rPr>
        <w:t xml:space="preserve"> </w:t>
      </w:r>
      <w:r w:rsidRPr="37EA5372" w:rsidR="4BBCEC40">
        <w:rPr>
          <w:rFonts w:ascii="Calibri" w:hAnsi="Calibri" w:eastAsia="Calibri" w:cs="Calibri"/>
          <w:color w:val="000000" w:themeColor="text1" w:themeTint="FF" w:themeShade="FF"/>
          <w:sz w:val="20"/>
          <w:szCs w:val="20"/>
        </w:rPr>
        <w:t>Experience</w:t>
      </w:r>
      <w:r w:rsidRPr="37EA5372" w:rsidR="4BBCEC40">
        <w:rPr>
          <w:rFonts w:ascii="Calibri" w:hAnsi="Calibri" w:eastAsia="Calibri" w:cs="Calibri"/>
          <w:color w:val="000000" w:themeColor="text1" w:themeTint="FF" w:themeShade="FF"/>
          <w:sz w:val="20"/>
          <w:szCs w:val="20"/>
        </w:rPr>
        <w:t xml:space="preserve"> </w:t>
      </w:r>
      <w:r w:rsidRPr="37EA5372" w:rsidR="4BBCEC40">
        <w:rPr>
          <w:rFonts w:ascii="Calibri" w:hAnsi="Calibri" w:eastAsia="Calibri" w:cs="Calibri"/>
          <w:color w:val="000000" w:themeColor="text1" w:themeTint="FF" w:themeShade="FF"/>
          <w:sz w:val="20"/>
          <w:szCs w:val="20"/>
        </w:rPr>
        <w:t>in</w:t>
      </w:r>
      <w:r w:rsidRPr="37EA5372" w:rsidR="4BBCEC40">
        <w:rPr>
          <w:rFonts w:ascii="Calibri" w:hAnsi="Calibri" w:eastAsia="Calibri" w:cs="Calibri"/>
          <w:color w:val="000000" w:themeColor="text1" w:themeTint="FF" w:themeShade="FF"/>
          <w:sz w:val="20"/>
          <w:szCs w:val="20"/>
        </w:rPr>
        <w:t xml:space="preserve"> </w:t>
      </w:r>
      <w:r w:rsidRPr="37EA5372" w:rsidR="4BBCEC40">
        <w:rPr>
          <w:rFonts w:ascii="Calibri" w:hAnsi="Calibri" w:eastAsia="Calibri" w:cs="Calibri"/>
          <w:color w:val="000000" w:themeColor="text1" w:themeTint="FF" w:themeShade="FF"/>
          <w:sz w:val="20"/>
          <w:szCs w:val="20"/>
        </w:rPr>
        <w:t>Transformation</w:t>
      </w:r>
      <w:r w:rsidRPr="37EA5372" w:rsidR="4BBCEC40">
        <w:rPr>
          <w:rFonts w:ascii="Calibri" w:hAnsi="Calibri" w:eastAsia="Calibri" w:cs="Calibri"/>
          <w:color w:val="000000" w:themeColor="text1" w:themeTint="FF" w:themeShade="FF"/>
          <w:sz w:val="20"/>
          <w:szCs w:val="20"/>
        </w:rPr>
        <w:t xml:space="preserve">. 3ydd </w:t>
      </w:r>
      <w:r w:rsidRPr="37EA5372" w:rsidR="4BBCEC40">
        <w:rPr>
          <w:rFonts w:ascii="Calibri" w:hAnsi="Calibri" w:eastAsia="Calibri" w:cs="Calibri"/>
          <w:color w:val="000000" w:themeColor="text1" w:themeTint="FF" w:themeShade="FF"/>
          <w:sz w:val="20"/>
          <w:szCs w:val="20"/>
        </w:rPr>
        <w:t>arg</w:t>
      </w:r>
      <w:r w:rsidRPr="37EA5372" w:rsidR="4BBCEC40">
        <w:rPr>
          <w:rFonts w:ascii="Calibri" w:hAnsi="Calibri" w:eastAsia="Calibri" w:cs="Calibri"/>
          <w:color w:val="000000" w:themeColor="text1" w:themeTint="FF" w:themeShade="FF"/>
          <w:sz w:val="20"/>
          <w:szCs w:val="20"/>
        </w:rPr>
        <w:t xml:space="preserve">. </w:t>
      </w:r>
      <w:r w:rsidRPr="37EA5372" w:rsidR="4BBCEC40">
        <w:rPr>
          <w:rFonts w:ascii="Calibri" w:hAnsi="Calibri" w:eastAsia="Calibri" w:cs="Calibri"/>
          <w:color w:val="000000" w:themeColor="text1" w:themeTint="FF" w:themeShade="FF"/>
          <w:sz w:val="20"/>
          <w:szCs w:val="20"/>
        </w:rPr>
        <w:t>Santa</w:t>
      </w:r>
      <w:r w:rsidRPr="37EA5372" w:rsidR="4BBCEC40">
        <w:rPr>
          <w:rFonts w:ascii="Calibri" w:hAnsi="Calibri" w:eastAsia="Calibri" w:cs="Calibri"/>
          <w:color w:val="000000" w:themeColor="text1" w:themeTint="FF" w:themeShade="FF"/>
          <w:sz w:val="20"/>
          <w:szCs w:val="20"/>
        </w:rPr>
        <w:t xml:space="preserve"> </w:t>
      </w:r>
      <w:r w:rsidRPr="37EA5372" w:rsidR="4BBCEC40">
        <w:rPr>
          <w:rFonts w:ascii="Calibri" w:hAnsi="Calibri" w:eastAsia="Calibri" w:cs="Calibri"/>
          <w:color w:val="000000" w:themeColor="text1" w:themeTint="FF" w:themeShade="FF"/>
          <w:sz w:val="20"/>
          <w:szCs w:val="20"/>
        </w:rPr>
        <w:t>Barbara</w:t>
      </w:r>
      <w:r w:rsidRPr="37EA5372" w:rsidR="4BBCEC40">
        <w:rPr>
          <w:rFonts w:ascii="Calibri" w:hAnsi="Calibri" w:eastAsia="Calibri" w:cs="Calibri"/>
          <w:color w:val="000000" w:themeColor="text1" w:themeTint="FF" w:themeShade="FF"/>
          <w:sz w:val="20"/>
          <w:szCs w:val="20"/>
        </w:rPr>
        <w:t xml:space="preserve">, CA: </w:t>
      </w:r>
      <w:r w:rsidRPr="37EA5372" w:rsidR="4BBCEC40">
        <w:rPr>
          <w:rFonts w:ascii="Calibri" w:hAnsi="Calibri" w:eastAsia="Calibri" w:cs="Calibri"/>
          <w:color w:val="000000" w:themeColor="text1" w:themeTint="FF" w:themeShade="FF"/>
          <w:sz w:val="20"/>
          <w:szCs w:val="20"/>
        </w:rPr>
        <w:t>Praeger</w:t>
      </w:r>
      <w:r w:rsidRPr="37EA5372" w:rsidR="4BBCEC40">
        <w:rPr>
          <w:rFonts w:ascii="Calibri" w:hAnsi="Calibri" w:eastAsia="Calibri" w:cs="Calibri"/>
          <w:color w:val="000000" w:themeColor="text1" w:themeTint="FF" w:themeShade="FF"/>
          <w:sz w:val="20"/>
          <w:szCs w:val="20"/>
        </w:rPr>
        <w:t xml:space="preserve">.  </w:t>
      </w:r>
    </w:p>
    <w:p w:rsidR="4489DFEC" w:rsidP="37EA5372" w:rsidRDefault="4489DFEC" w14:paraId="5F76496F" w14:textId="54BEAB1D">
      <w:pPr>
        <w:pStyle w:val="Normal"/>
        <w:spacing w:before="240" w:after="240" w:line="360" w:lineRule="auto"/>
        <w:jc w:val="both"/>
      </w:pPr>
      <w:r w:rsidRPr="37EA5372" w:rsidR="4BBCEC40">
        <w:rPr>
          <w:rFonts w:ascii="Calibri" w:hAnsi="Calibri" w:eastAsia="Calibri" w:cs="Calibri"/>
          <w:color w:val="000000" w:themeColor="text1" w:themeTint="FF" w:themeShade="FF"/>
          <w:sz w:val="20"/>
          <w:szCs w:val="20"/>
        </w:rPr>
        <w:t xml:space="preserve">Ellis, C., Ellis, R., </w:t>
      </w:r>
      <w:r w:rsidRPr="37EA5372" w:rsidR="4BBCEC40">
        <w:rPr>
          <w:rFonts w:ascii="Calibri" w:hAnsi="Calibri" w:eastAsia="Calibri" w:cs="Calibri"/>
          <w:color w:val="000000" w:themeColor="text1" w:themeTint="FF" w:themeShade="FF"/>
          <w:sz w:val="20"/>
          <w:szCs w:val="20"/>
        </w:rPr>
        <w:t>Dobson</w:t>
      </w:r>
      <w:r w:rsidRPr="37EA5372" w:rsidR="4BBCEC40">
        <w:rPr>
          <w:rFonts w:ascii="Calibri" w:hAnsi="Calibri" w:eastAsia="Calibri" w:cs="Calibri"/>
          <w:color w:val="000000" w:themeColor="text1" w:themeTint="FF" w:themeShade="FF"/>
          <w:sz w:val="20"/>
          <w:szCs w:val="20"/>
        </w:rPr>
        <w:t xml:space="preserve">, L., </w:t>
      </w:r>
      <w:r w:rsidRPr="37EA5372" w:rsidR="4BBCEC40">
        <w:rPr>
          <w:rFonts w:ascii="Calibri" w:hAnsi="Calibri" w:eastAsia="Calibri" w:cs="Calibri"/>
          <w:color w:val="000000" w:themeColor="text1" w:themeTint="FF" w:themeShade="FF"/>
          <w:sz w:val="20"/>
          <w:szCs w:val="20"/>
        </w:rPr>
        <w:t>O'Leary</w:t>
      </w:r>
      <w:r w:rsidRPr="37EA5372" w:rsidR="4BBCEC40">
        <w:rPr>
          <w:rFonts w:ascii="Calibri" w:hAnsi="Calibri" w:eastAsia="Calibri" w:cs="Calibri"/>
          <w:color w:val="000000" w:themeColor="text1" w:themeTint="FF" w:themeShade="FF"/>
          <w:sz w:val="20"/>
          <w:szCs w:val="20"/>
        </w:rPr>
        <w:t xml:space="preserve">, S., &amp; Williams, A. (2024). Y 'ffordd Gymraeg', dysgu yn yr awyr agored o fewn y cwricwlwm cynradd: 'ychwanegiad ymylol neu ymarfer </w:t>
      </w:r>
      <w:r w:rsidRPr="37EA5372" w:rsidR="4BBCEC40">
        <w:rPr>
          <w:rFonts w:ascii="Calibri" w:hAnsi="Calibri" w:eastAsia="Calibri" w:cs="Calibri"/>
          <w:color w:val="000000" w:themeColor="text1" w:themeTint="FF" w:themeShade="FF"/>
          <w:sz w:val="20"/>
          <w:szCs w:val="20"/>
        </w:rPr>
        <w:t>addysgegol</w:t>
      </w:r>
      <w:r w:rsidRPr="37EA5372" w:rsidR="4BBCEC40">
        <w:rPr>
          <w:rFonts w:ascii="Calibri" w:hAnsi="Calibri" w:eastAsia="Calibri" w:cs="Calibri"/>
          <w:color w:val="000000" w:themeColor="text1" w:themeTint="FF" w:themeShade="FF"/>
          <w:sz w:val="20"/>
          <w:szCs w:val="20"/>
        </w:rPr>
        <w:t xml:space="preserve"> prif ffrwd'? Wales </w:t>
      </w:r>
      <w:r w:rsidRPr="37EA5372" w:rsidR="4BBCEC40">
        <w:rPr>
          <w:rFonts w:ascii="Calibri" w:hAnsi="Calibri" w:eastAsia="Calibri" w:cs="Calibri"/>
          <w:color w:val="000000" w:themeColor="text1" w:themeTint="FF" w:themeShade="FF"/>
          <w:sz w:val="20"/>
          <w:szCs w:val="20"/>
        </w:rPr>
        <w:t>Journal</w:t>
      </w:r>
      <w:r w:rsidRPr="37EA5372" w:rsidR="4BBCEC40">
        <w:rPr>
          <w:rFonts w:ascii="Calibri" w:hAnsi="Calibri" w:eastAsia="Calibri" w:cs="Calibri"/>
          <w:color w:val="000000" w:themeColor="text1" w:themeTint="FF" w:themeShade="FF"/>
          <w:sz w:val="20"/>
          <w:szCs w:val="20"/>
        </w:rPr>
        <w:t xml:space="preserve"> of </w:t>
      </w:r>
      <w:r w:rsidRPr="37EA5372" w:rsidR="4BBCEC40">
        <w:rPr>
          <w:rFonts w:ascii="Calibri" w:hAnsi="Calibri" w:eastAsia="Calibri" w:cs="Calibri"/>
          <w:color w:val="000000" w:themeColor="text1" w:themeTint="FF" w:themeShade="FF"/>
          <w:sz w:val="20"/>
          <w:szCs w:val="20"/>
        </w:rPr>
        <w:t>Education</w:t>
      </w:r>
      <w:r w:rsidRPr="37EA5372" w:rsidR="4BBCEC40">
        <w:rPr>
          <w:rFonts w:ascii="Calibri" w:hAnsi="Calibri" w:eastAsia="Calibri" w:cs="Calibri"/>
          <w:color w:val="000000" w:themeColor="text1" w:themeTint="FF" w:themeShade="FF"/>
          <w:sz w:val="20"/>
          <w:szCs w:val="20"/>
        </w:rPr>
        <w:t xml:space="preserve">, 26(2), 140-152. https://doi.org/10.16922/wje.26.2.10 (journal.uwp.co.uk) </w:t>
      </w:r>
    </w:p>
    <w:p w:rsidR="4489DFEC" w:rsidP="37EA5372" w:rsidRDefault="4489DFEC" w14:paraId="0E0D6571" w14:textId="67059330">
      <w:pPr>
        <w:pStyle w:val="Normal"/>
        <w:spacing w:before="240" w:after="240" w:line="360" w:lineRule="auto"/>
        <w:jc w:val="both"/>
      </w:pPr>
      <w:r w:rsidRPr="37EA5372" w:rsidR="4BBCEC40">
        <w:rPr>
          <w:rFonts w:ascii="Calibri" w:hAnsi="Calibri" w:eastAsia="Calibri" w:cs="Calibri"/>
          <w:color w:val="000000" w:themeColor="text1" w:themeTint="FF" w:themeShade="FF"/>
          <w:sz w:val="20"/>
          <w:szCs w:val="20"/>
        </w:rPr>
        <w:t>Gandini</w:t>
      </w:r>
      <w:r w:rsidRPr="37EA5372" w:rsidR="4BBCEC40">
        <w:rPr>
          <w:rFonts w:ascii="Calibri" w:hAnsi="Calibri" w:eastAsia="Calibri" w:cs="Calibri"/>
          <w:color w:val="000000" w:themeColor="text1" w:themeTint="FF" w:themeShade="FF"/>
          <w:sz w:val="20"/>
          <w:szCs w:val="20"/>
        </w:rPr>
        <w:t xml:space="preserve">, L. a </w:t>
      </w:r>
      <w:r w:rsidRPr="37EA5372" w:rsidR="4BBCEC40">
        <w:rPr>
          <w:rFonts w:ascii="Calibri" w:hAnsi="Calibri" w:eastAsia="Calibri" w:cs="Calibri"/>
          <w:color w:val="000000" w:themeColor="text1" w:themeTint="FF" w:themeShade="FF"/>
          <w:sz w:val="20"/>
          <w:szCs w:val="20"/>
        </w:rPr>
        <w:t>Goldhaber</w:t>
      </w:r>
      <w:r w:rsidRPr="37EA5372" w:rsidR="4BBCEC40">
        <w:rPr>
          <w:rFonts w:ascii="Calibri" w:hAnsi="Calibri" w:eastAsia="Calibri" w:cs="Calibri"/>
          <w:color w:val="000000" w:themeColor="text1" w:themeTint="FF" w:themeShade="FF"/>
          <w:sz w:val="20"/>
          <w:szCs w:val="20"/>
        </w:rPr>
        <w:t xml:space="preserve">, J. (2022) Cysylltiadau ac Adeiladau: Myfyrdodau ar Brofiad </w:t>
      </w:r>
      <w:r w:rsidRPr="37EA5372" w:rsidR="4BBCEC40">
        <w:rPr>
          <w:rFonts w:ascii="Calibri" w:hAnsi="Calibri" w:eastAsia="Calibri" w:cs="Calibri"/>
          <w:color w:val="000000" w:themeColor="text1" w:themeTint="FF" w:themeShade="FF"/>
          <w:sz w:val="20"/>
          <w:szCs w:val="20"/>
        </w:rPr>
        <w:t>Reggio</w:t>
      </w:r>
      <w:r w:rsidRPr="37EA5372" w:rsidR="4BBCEC40">
        <w:rPr>
          <w:rFonts w:ascii="Calibri" w:hAnsi="Calibri" w:eastAsia="Calibri" w:cs="Calibri"/>
          <w:color w:val="000000" w:themeColor="text1" w:themeTint="FF" w:themeShade="FF"/>
          <w:sz w:val="20"/>
          <w:szCs w:val="20"/>
        </w:rPr>
        <w:t xml:space="preserve"> </w:t>
      </w:r>
      <w:r w:rsidRPr="37EA5372" w:rsidR="4BBCEC40">
        <w:rPr>
          <w:rFonts w:ascii="Calibri" w:hAnsi="Calibri" w:eastAsia="Calibri" w:cs="Calibri"/>
          <w:color w:val="000000" w:themeColor="text1" w:themeTint="FF" w:themeShade="FF"/>
          <w:sz w:val="20"/>
          <w:szCs w:val="20"/>
        </w:rPr>
        <w:t>Emilia</w:t>
      </w:r>
      <w:r w:rsidRPr="37EA5372" w:rsidR="4BBCEC40">
        <w:rPr>
          <w:rFonts w:ascii="Calibri" w:hAnsi="Calibri" w:eastAsia="Calibri" w:cs="Calibri"/>
          <w:color w:val="000000" w:themeColor="text1" w:themeTint="FF" w:themeShade="FF"/>
          <w:sz w:val="20"/>
          <w:szCs w:val="20"/>
        </w:rPr>
        <w:t xml:space="preserve">. Efrog Newydd: Gwasg Coleg Athrawon.  </w:t>
      </w:r>
    </w:p>
    <w:p w:rsidR="4489DFEC" w:rsidP="37EA5372" w:rsidRDefault="4489DFEC" w14:paraId="7744AE82" w14:textId="28DE1AAC">
      <w:pPr>
        <w:pStyle w:val="Normal"/>
        <w:spacing w:before="240" w:after="240" w:line="360" w:lineRule="auto"/>
        <w:jc w:val="both"/>
      </w:pPr>
      <w:r w:rsidRPr="37EA5372" w:rsidR="4BBCEC40">
        <w:rPr>
          <w:rFonts w:ascii="Calibri" w:hAnsi="Calibri" w:eastAsia="Calibri" w:cs="Calibri"/>
          <w:color w:val="000000" w:themeColor="text1" w:themeTint="FF" w:themeShade="FF"/>
          <w:sz w:val="20"/>
          <w:szCs w:val="20"/>
        </w:rPr>
        <w:t xml:space="preserve">Harris, M. (2023). Rôl dysgu seiliedig ar chwarae mewn addysg plentyndod cynnar. Ffiniau Adolygiad Addysgol, 5(2), 45. https://doi.org/10.69610/j.fer.20231230 (journal-fer.com) </w:t>
      </w:r>
    </w:p>
    <w:p w:rsidR="4489DFEC" w:rsidP="37EA5372" w:rsidRDefault="4489DFEC" w14:paraId="7D827826" w14:textId="3DCA0E72">
      <w:pPr>
        <w:pStyle w:val="Normal"/>
        <w:spacing w:before="240" w:after="240" w:line="360" w:lineRule="auto"/>
        <w:jc w:val="both"/>
      </w:pPr>
      <w:r w:rsidRPr="37EA5372" w:rsidR="4BBCEC40">
        <w:rPr>
          <w:rFonts w:ascii="Calibri" w:hAnsi="Calibri" w:eastAsia="Calibri" w:cs="Calibri"/>
          <w:color w:val="000000" w:themeColor="text1" w:themeTint="FF" w:themeShade="FF"/>
          <w:sz w:val="20"/>
          <w:szCs w:val="20"/>
        </w:rPr>
        <w:t>McInnes</w:t>
      </w:r>
      <w:r w:rsidRPr="37EA5372" w:rsidR="4BBCEC40">
        <w:rPr>
          <w:rFonts w:ascii="Calibri" w:hAnsi="Calibri" w:eastAsia="Calibri" w:cs="Calibri"/>
          <w:color w:val="000000" w:themeColor="text1" w:themeTint="FF" w:themeShade="FF"/>
          <w:sz w:val="20"/>
          <w:szCs w:val="20"/>
        </w:rPr>
        <w:t xml:space="preserve">, K. (2019). Dysgu chwareus yn y blynyddoedd cynnar – trwy lygaid plant. Addysg 3-13: Cyfnodolyn Rhyngwladol Addysg Cynradd, Elfennol a Blynyddoedd Cynnar. https://doi.org/10.1080/03004279.2019.1622495 (researchspace.bathspa.ac.uk) </w:t>
      </w:r>
    </w:p>
    <w:p w:rsidR="4489DFEC" w:rsidP="37EA5372" w:rsidRDefault="4489DFEC" w14:paraId="52AF1321" w14:textId="3C5703AC">
      <w:pPr>
        <w:pStyle w:val="Normal"/>
        <w:spacing w:before="240" w:after="240" w:line="360" w:lineRule="auto"/>
        <w:jc w:val="both"/>
      </w:pPr>
      <w:r w:rsidRPr="37EA5372" w:rsidR="4BBCEC40">
        <w:rPr>
          <w:rFonts w:ascii="Calibri" w:hAnsi="Calibri" w:eastAsia="Calibri" w:cs="Calibri"/>
          <w:color w:val="000000" w:themeColor="text1" w:themeTint="FF" w:themeShade="FF"/>
          <w:sz w:val="20"/>
          <w:szCs w:val="20"/>
        </w:rPr>
        <w:t xml:space="preserve">Parker, R., </w:t>
      </w:r>
      <w:r w:rsidRPr="37EA5372" w:rsidR="4BBCEC40">
        <w:rPr>
          <w:rFonts w:ascii="Calibri" w:hAnsi="Calibri" w:eastAsia="Calibri" w:cs="Calibri"/>
          <w:color w:val="000000" w:themeColor="text1" w:themeTint="FF" w:themeShade="FF"/>
          <w:sz w:val="20"/>
          <w:szCs w:val="20"/>
        </w:rPr>
        <w:t>Thomsen</w:t>
      </w:r>
      <w:r w:rsidRPr="37EA5372" w:rsidR="4BBCEC40">
        <w:rPr>
          <w:rFonts w:ascii="Calibri" w:hAnsi="Calibri" w:eastAsia="Calibri" w:cs="Calibri"/>
          <w:color w:val="000000" w:themeColor="text1" w:themeTint="FF" w:themeShade="FF"/>
          <w:sz w:val="20"/>
          <w:szCs w:val="20"/>
        </w:rPr>
        <w:t xml:space="preserve">, BS a Berry, A. (2022) 'Dysgu trwy Chwarae yn yr Ysgol – Fframwaith ar gyfer Polisi ac Ymarfer', Ffiniau mewn Addysg. </w:t>
      </w:r>
    </w:p>
    <w:p w:rsidR="4489DFEC" w:rsidP="37EA5372" w:rsidRDefault="4489DFEC" w14:paraId="7EF36969" w14:textId="7089D372">
      <w:pPr>
        <w:pStyle w:val="Normal"/>
        <w:spacing w:before="240" w:after="240" w:line="360" w:lineRule="auto"/>
        <w:jc w:val="both"/>
      </w:pPr>
      <w:r w:rsidRPr="37EA5372" w:rsidR="4BBCEC40">
        <w:rPr>
          <w:rFonts w:ascii="Calibri" w:hAnsi="Calibri" w:eastAsia="Calibri" w:cs="Calibri"/>
          <w:color w:val="000000" w:themeColor="text1" w:themeTint="FF" w:themeShade="FF"/>
          <w:sz w:val="20"/>
          <w:szCs w:val="20"/>
        </w:rPr>
        <w:t xml:space="preserve">Parsons, S., </w:t>
      </w:r>
      <w:r w:rsidRPr="37EA5372" w:rsidR="4BBCEC40">
        <w:rPr>
          <w:rFonts w:ascii="Calibri" w:hAnsi="Calibri" w:eastAsia="Calibri" w:cs="Calibri"/>
          <w:color w:val="000000" w:themeColor="text1" w:themeTint="FF" w:themeShade="FF"/>
          <w:sz w:val="20"/>
          <w:szCs w:val="20"/>
        </w:rPr>
        <w:t>Kovshoff</w:t>
      </w:r>
      <w:r w:rsidRPr="37EA5372" w:rsidR="4BBCEC40">
        <w:rPr>
          <w:rFonts w:ascii="Calibri" w:hAnsi="Calibri" w:eastAsia="Calibri" w:cs="Calibri"/>
          <w:color w:val="000000" w:themeColor="text1" w:themeTint="FF" w:themeShade="FF"/>
          <w:sz w:val="20"/>
          <w:szCs w:val="20"/>
        </w:rPr>
        <w:t xml:space="preserve">, H., </w:t>
      </w:r>
      <w:r w:rsidRPr="37EA5372" w:rsidR="4BBCEC40">
        <w:rPr>
          <w:rFonts w:ascii="Calibri" w:hAnsi="Calibri" w:eastAsia="Calibri" w:cs="Calibri"/>
          <w:color w:val="000000" w:themeColor="text1" w:themeTint="FF" w:themeShade="FF"/>
          <w:sz w:val="20"/>
          <w:szCs w:val="20"/>
        </w:rPr>
        <w:t>Karakosta</w:t>
      </w:r>
      <w:r w:rsidRPr="37EA5372" w:rsidR="4BBCEC40">
        <w:rPr>
          <w:rFonts w:ascii="Calibri" w:hAnsi="Calibri" w:eastAsia="Calibri" w:cs="Calibri"/>
          <w:color w:val="000000" w:themeColor="text1" w:themeTint="FF" w:themeShade="FF"/>
          <w:sz w:val="20"/>
          <w:szCs w:val="20"/>
        </w:rPr>
        <w:t xml:space="preserve">, E. ac </w:t>
      </w:r>
      <w:r w:rsidRPr="37EA5372" w:rsidR="4BBCEC40">
        <w:rPr>
          <w:rFonts w:ascii="Calibri" w:hAnsi="Calibri" w:eastAsia="Calibri" w:cs="Calibri"/>
          <w:color w:val="000000" w:themeColor="text1" w:themeTint="FF" w:themeShade="FF"/>
          <w:sz w:val="20"/>
          <w:szCs w:val="20"/>
        </w:rPr>
        <w:t>Ivil</w:t>
      </w:r>
      <w:r w:rsidRPr="37EA5372" w:rsidR="4BBCEC40">
        <w:rPr>
          <w:rFonts w:ascii="Calibri" w:hAnsi="Calibri" w:eastAsia="Calibri" w:cs="Calibri"/>
          <w:color w:val="000000" w:themeColor="text1" w:themeTint="FF" w:themeShade="FF"/>
          <w:sz w:val="20"/>
          <w:szCs w:val="20"/>
        </w:rPr>
        <w:t xml:space="preserve">, K. (2021) 'Deall plentyndod cyfannol ac unigryw: cynhyrchu gwybodaeth yn y blynyddoedd cynnar gyda phlant, teuluoedd ac ymarferwyr awtistig', Blynyddoedd Cynnar.  </w:t>
      </w:r>
    </w:p>
    <w:p w:rsidR="4489DFEC" w:rsidP="37EA5372" w:rsidRDefault="4489DFEC" w14:paraId="7B2E7EE8" w14:textId="7AC06517">
      <w:pPr>
        <w:pStyle w:val="Normal"/>
        <w:spacing w:before="240" w:after="240" w:line="360" w:lineRule="auto"/>
        <w:jc w:val="both"/>
      </w:pPr>
      <w:r w:rsidRPr="37EA5372" w:rsidR="4BBCEC40">
        <w:rPr>
          <w:rFonts w:ascii="Calibri" w:hAnsi="Calibri" w:eastAsia="Calibri" w:cs="Calibri"/>
          <w:color w:val="000000" w:themeColor="text1" w:themeTint="FF" w:themeShade="FF"/>
          <w:sz w:val="20"/>
          <w:szCs w:val="20"/>
        </w:rPr>
        <w:t>Priestley</w:t>
      </w:r>
      <w:r w:rsidRPr="37EA5372" w:rsidR="4BBCEC40">
        <w:rPr>
          <w:rFonts w:ascii="Calibri" w:hAnsi="Calibri" w:eastAsia="Calibri" w:cs="Calibri"/>
          <w:color w:val="000000" w:themeColor="text1" w:themeTint="FF" w:themeShade="FF"/>
          <w:sz w:val="20"/>
          <w:szCs w:val="20"/>
        </w:rPr>
        <w:t xml:space="preserve">, M. a </w:t>
      </w:r>
      <w:r w:rsidRPr="37EA5372" w:rsidR="4BBCEC40">
        <w:rPr>
          <w:rFonts w:ascii="Calibri" w:hAnsi="Calibri" w:eastAsia="Calibri" w:cs="Calibri"/>
          <w:color w:val="000000" w:themeColor="text1" w:themeTint="FF" w:themeShade="FF"/>
          <w:sz w:val="20"/>
          <w:szCs w:val="20"/>
        </w:rPr>
        <w:t>Biesta</w:t>
      </w:r>
      <w:r w:rsidRPr="37EA5372" w:rsidR="4BBCEC40">
        <w:rPr>
          <w:rFonts w:ascii="Calibri" w:hAnsi="Calibri" w:eastAsia="Calibri" w:cs="Calibri"/>
          <w:color w:val="000000" w:themeColor="text1" w:themeTint="FF" w:themeShade="FF"/>
          <w:sz w:val="20"/>
          <w:szCs w:val="20"/>
        </w:rPr>
        <w:t xml:space="preserve">, G. (2021) Ailddyfeisio'r Cwricwlwm: Tueddiadau Newydd mewn Polisi ac Ymarfer y Cwricwlwm. Llundain: </w:t>
      </w:r>
      <w:r w:rsidRPr="37EA5372" w:rsidR="4BBCEC40">
        <w:rPr>
          <w:rFonts w:ascii="Calibri" w:hAnsi="Calibri" w:eastAsia="Calibri" w:cs="Calibri"/>
          <w:color w:val="000000" w:themeColor="text1" w:themeTint="FF" w:themeShade="FF"/>
          <w:sz w:val="20"/>
          <w:szCs w:val="20"/>
        </w:rPr>
        <w:t>Bloomsbury</w:t>
      </w:r>
      <w:r w:rsidRPr="37EA5372" w:rsidR="4BBCEC40">
        <w:rPr>
          <w:rFonts w:ascii="Calibri" w:hAnsi="Calibri" w:eastAsia="Calibri" w:cs="Calibri"/>
          <w:color w:val="000000" w:themeColor="text1" w:themeTint="FF" w:themeShade="FF"/>
          <w:sz w:val="20"/>
          <w:szCs w:val="20"/>
        </w:rPr>
        <w:t xml:space="preserve">.  </w:t>
      </w:r>
    </w:p>
    <w:p w:rsidR="4489DFEC" w:rsidP="37EA5372" w:rsidRDefault="4489DFEC" w14:paraId="6BB3CD33" w14:textId="79EE3EF7">
      <w:pPr>
        <w:pStyle w:val="Normal"/>
        <w:spacing w:before="240" w:after="240" w:line="360" w:lineRule="auto"/>
        <w:jc w:val="both"/>
      </w:pPr>
      <w:r w:rsidRPr="37EA5372" w:rsidR="4BBCEC40">
        <w:rPr>
          <w:rFonts w:ascii="Calibri" w:hAnsi="Calibri" w:eastAsia="Calibri" w:cs="Calibri"/>
          <w:color w:val="000000" w:themeColor="text1" w:themeTint="FF" w:themeShade="FF"/>
          <w:sz w:val="20"/>
          <w:szCs w:val="20"/>
        </w:rPr>
        <w:t xml:space="preserve">Rigby, D. (2022) Gwneud i gwricwlwm seiliedig ar chwarae weithio mewn lleoliadau blynyddoedd cynnar. Llundain: SAGE. </w:t>
      </w:r>
    </w:p>
    <w:p w:rsidR="4489DFEC" w:rsidP="37EA5372" w:rsidRDefault="4489DFEC" w14:paraId="4603E207" w14:textId="6BA8A504">
      <w:pPr>
        <w:pStyle w:val="Normal"/>
        <w:spacing w:before="240" w:after="240" w:line="360" w:lineRule="auto"/>
        <w:jc w:val="both"/>
      </w:pPr>
      <w:r w:rsidRPr="37EA5372" w:rsidR="4BBCEC40">
        <w:rPr>
          <w:rFonts w:ascii="Calibri" w:hAnsi="Calibri" w:eastAsia="Calibri" w:cs="Calibri"/>
          <w:color w:val="000000" w:themeColor="text1" w:themeTint="FF" w:themeShade="FF"/>
          <w:sz w:val="20"/>
          <w:szCs w:val="20"/>
        </w:rPr>
        <w:t xml:space="preserve">Rinaldi, C. (2006) Mewn Deialog â Reggio Emilia: Gwrando, Ymchwilio a Dysgu. Llundain: Routledge. </w:t>
      </w:r>
    </w:p>
    <w:p w:rsidR="4489DFEC" w:rsidP="37EA5372" w:rsidRDefault="4489DFEC" w14:paraId="19054994" w14:textId="3E62F9C9">
      <w:pPr>
        <w:pStyle w:val="Normal"/>
        <w:spacing w:before="240" w:after="240" w:line="360" w:lineRule="auto"/>
        <w:jc w:val="both"/>
      </w:pPr>
      <w:r w:rsidRPr="37EA5372" w:rsidR="4BBCEC40">
        <w:rPr>
          <w:rFonts w:ascii="Calibri" w:hAnsi="Calibri" w:eastAsia="Calibri" w:cs="Calibri"/>
          <w:color w:val="000000" w:themeColor="text1" w:themeTint="FF" w:themeShade="FF"/>
          <w:sz w:val="20"/>
          <w:szCs w:val="20"/>
        </w:rPr>
        <w:t xml:space="preserve">Saracho, O. N. (2020) Cwricwlwm Integredig Seiliedig ar Chwarae i Blant Ifanc. 2il arg. Bingley: Emrallt. </w:t>
      </w:r>
    </w:p>
    <w:p w:rsidR="4489DFEC" w:rsidP="37EA5372" w:rsidRDefault="4489DFEC" w14:paraId="55064DF9" w14:textId="08CCEE4C">
      <w:pPr>
        <w:pStyle w:val="Normal"/>
        <w:spacing w:before="240" w:after="240" w:line="360" w:lineRule="auto"/>
        <w:jc w:val="both"/>
      </w:pPr>
      <w:r w:rsidRPr="37EA5372" w:rsidR="4BBCEC40">
        <w:rPr>
          <w:rFonts w:ascii="Calibri" w:hAnsi="Calibri" w:eastAsia="Calibri" w:cs="Calibri"/>
          <w:color w:val="000000" w:themeColor="text1" w:themeTint="FF" w:themeShade="FF"/>
          <w:sz w:val="20"/>
          <w:szCs w:val="20"/>
        </w:rPr>
        <w:t>Saracho</w:t>
      </w:r>
      <w:r w:rsidRPr="37EA5372" w:rsidR="4BBCEC40">
        <w:rPr>
          <w:rFonts w:ascii="Calibri" w:hAnsi="Calibri" w:eastAsia="Calibri" w:cs="Calibri"/>
          <w:color w:val="000000" w:themeColor="text1" w:themeTint="FF" w:themeShade="FF"/>
          <w:sz w:val="20"/>
          <w:szCs w:val="20"/>
        </w:rPr>
        <w:t xml:space="preserve">, O. N. (2020) Cwricwlwm Integredig Seiliedig ar Chwarae i Blant Ifanc. </w:t>
      </w:r>
      <w:r w:rsidRPr="37EA5372" w:rsidR="4BBCEC40">
        <w:rPr>
          <w:rFonts w:ascii="Calibri" w:hAnsi="Calibri" w:eastAsia="Calibri" w:cs="Calibri"/>
          <w:color w:val="000000" w:themeColor="text1" w:themeTint="FF" w:themeShade="FF"/>
          <w:sz w:val="20"/>
          <w:szCs w:val="20"/>
        </w:rPr>
        <w:t>Bingley</w:t>
      </w:r>
      <w:r w:rsidRPr="37EA5372" w:rsidR="4BBCEC40">
        <w:rPr>
          <w:rFonts w:ascii="Calibri" w:hAnsi="Calibri" w:eastAsia="Calibri" w:cs="Calibri"/>
          <w:color w:val="000000" w:themeColor="text1" w:themeTint="FF" w:themeShade="FF"/>
          <w:sz w:val="20"/>
          <w:szCs w:val="20"/>
        </w:rPr>
        <w:t xml:space="preserve">: Emrallt. </w:t>
      </w:r>
      <w:r w:rsidRPr="37EA5372" w:rsidR="4BBCEC40">
        <w:rPr>
          <w:rFonts w:ascii="Calibri" w:hAnsi="Calibri" w:eastAsia="Calibri" w:cs="Calibri"/>
          <w:color w:val="000000" w:themeColor="text1" w:themeTint="FF" w:themeShade="FF"/>
          <w:sz w:val="20"/>
          <w:szCs w:val="20"/>
        </w:rPr>
        <w:t xml:space="preserve">  </w:t>
      </w:r>
    </w:p>
    <w:p w:rsidR="4489DFEC" w:rsidP="37EA5372" w:rsidRDefault="4489DFEC" w14:paraId="66FB4F37" w14:textId="62D94306">
      <w:pPr>
        <w:pStyle w:val="Normal"/>
        <w:spacing w:before="240" w:after="240" w:line="360" w:lineRule="auto"/>
        <w:jc w:val="both"/>
      </w:pPr>
      <w:r w:rsidRPr="37EA5372" w:rsidR="4BBCEC40">
        <w:rPr>
          <w:rFonts w:ascii="Calibri" w:hAnsi="Calibri" w:eastAsia="Calibri" w:cs="Calibri"/>
          <w:color w:val="000000" w:themeColor="text1" w:themeTint="FF" w:themeShade="FF"/>
          <w:sz w:val="20"/>
          <w:szCs w:val="20"/>
        </w:rPr>
        <w:t xml:space="preserve">Sefydliad Gwaddol Addysg (2023) 'Dysgu seiliedig ar chwarae', Pecyn Cymorth Blynyddoedd Cynnar EEF. Ar gael yn: https://educationendowmentfoundation.org.uk/early-years/toolkit/play-based-learning (Cyrchwyd 22 Hydref 2025). </w:t>
      </w:r>
    </w:p>
    <w:p w:rsidR="4489DFEC" w:rsidP="37EA5372" w:rsidRDefault="4489DFEC" w14:paraId="4B7175BE" w14:textId="0F0CF992">
      <w:pPr>
        <w:pStyle w:val="Normal"/>
        <w:spacing w:before="240" w:after="240" w:line="360" w:lineRule="auto"/>
        <w:jc w:val="both"/>
      </w:pPr>
      <w:r w:rsidRPr="37EA5372" w:rsidR="4BBCEC40">
        <w:rPr>
          <w:rFonts w:ascii="Calibri" w:hAnsi="Calibri" w:eastAsia="Calibri" w:cs="Calibri"/>
          <w:color w:val="000000" w:themeColor="text1" w:themeTint="FF" w:themeShade="FF"/>
          <w:sz w:val="20"/>
          <w:szCs w:val="20"/>
        </w:rPr>
        <w:t xml:space="preserve">Siraj-Blatchford, I. a Manni, L. (2018) Addysg a Gofal Plentyndod Cynnar: Polisi ac Ymarfer. 2il arg. Llundain: Routledge.  </w:t>
      </w:r>
    </w:p>
    <w:p w:rsidR="4489DFEC" w:rsidP="37EA5372" w:rsidRDefault="4489DFEC" w14:paraId="2F093CAE" w14:textId="28ECA205">
      <w:pPr>
        <w:pStyle w:val="Normal"/>
        <w:spacing w:before="240" w:after="240" w:line="360" w:lineRule="auto"/>
        <w:jc w:val="both"/>
      </w:pPr>
      <w:r w:rsidRPr="37EA5372" w:rsidR="4BBCEC40">
        <w:rPr>
          <w:rFonts w:ascii="Calibri" w:hAnsi="Calibri" w:eastAsia="Calibri" w:cs="Calibri"/>
          <w:color w:val="000000" w:themeColor="text1" w:themeTint="FF" w:themeShade="FF"/>
          <w:sz w:val="20"/>
          <w:szCs w:val="20"/>
        </w:rPr>
        <w:t xml:space="preserve">Siraj-Blatchford, I., Milton, E., Sylva, K., Talacharn, J., a Charles, F. (2007). Datblygu'r Cyfnod Sylfaen ar gyfer plant 3–7 oed yng Nghymru. Wales Journal of Education. (journal.uwp.co.uk) </w:t>
      </w:r>
    </w:p>
    <w:p w:rsidR="4489DFEC" w:rsidP="37EA5372" w:rsidRDefault="4489DFEC" w14:paraId="0C734C4D" w14:textId="4C5504B2">
      <w:pPr>
        <w:pStyle w:val="Normal"/>
        <w:spacing w:before="240" w:after="240" w:line="360" w:lineRule="auto"/>
        <w:jc w:val="both"/>
      </w:pPr>
      <w:r w:rsidRPr="37EA5372" w:rsidR="4BBCEC40">
        <w:rPr>
          <w:rFonts w:ascii="Calibri" w:hAnsi="Calibri" w:eastAsia="Calibri" w:cs="Calibri"/>
          <w:color w:val="000000" w:themeColor="text1" w:themeTint="FF" w:themeShade="FF"/>
          <w:sz w:val="20"/>
          <w:szCs w:val="20"/>
        </w:rPr>
        <w:t xml:space="preserve">Stewart, S., MacDonald, N., a </w:t>
      </w:r>
      <w:r w:rsidRPr="37EA5372" w:rsidR="4BBCEC40">
        <w:rPr>
          <w:rFonts w:ascii="Calibri" w:hAnsi="Calibri" w:eastAsia="Calibri" w:cs="Calibri"/>
          <w:color w:val="000000" w:themeColor="text1" w:themeTint="FF" w:themeShade="FF"/>
          <w:sz w:val="20"/>
          <w:szCs w:val="20"/>
        </w:rPr>
        <w:t>Waters</w:t>
      </w:r>
      <w:r w:rsidRPr="37EA5372" w:rsidR="4BBCEC40">
        <w:rPr>
          <w:rFonts w:ascii="Calibri" w:hAnsi="Calibri" w:eastAsia="Calibri" w:cs="Calibri"/>
          <w:color w:val="000000" w:themeColor="text1" w:themeTint="FF" w:themeShade="FF"/>
          <w:sz w:val="20"/>
          <w:szCs w:val="20"/>
        </w:rPr>
        <w:t xml:space="preserve">-Davies, J. (2024). Addysg plentyndod cynnar yng Nghymru: Polisi, addewidion a realiti ymarfer. Wales </w:t>
      </w:r>
      <w:r w:rsidRPr="37EA5372" w:rsidR="4BBCEC40">
        <w:rPr>
          <w:rFonts w:ascii="Calibri" w:hAnsi="Calibri" w:eastAsia="Calibri" w:cs="Calibri"/>
          <w:color w:val="000000" w:themeColor="text1" w:themeTint="FF" w:themeShade="FF"/>
          <w:sz w:val="20"/>
          <w:szCs w:val="20"/>
        </w:rPr>
        <w:t>Journal</w:t>
      </w:r>
      <w:r w:rsidRPr="37EA5372" w:rsidR="4BBCEC40">
        <w:rPr>
          <w:rFonts w:ascii="Calibri" w:hAnsi="Calibri" w:eastAsia="Calibri" w:cs="Calibri"/>
          <w:color w:val="000000" w:themeColor="text1" w:themeTint="FF" w:themeShade="FF"/>
          <w:sz w:val="20"/>
          <w:szCs w:val="20"/>
        </w:rPr>
        <w:t xml:space="preserve"> of </w:t>
      </w:r>
      <w:r w:rsidRPr="37EA5372" w:rsidR="4BBCEC40">
        <w:rPr>
          <w:rFonts w:ascii="Calibri" w:hAnsi="Calibri" w:eastAsia="Calibri" w:cs="Calibri"/>
          <w:color w:val="000000" w:themeColor="text1" w:themeTint="FF" w:themeShade="FF"/>
          <w:sz w:val="20"/>
          <w:szCs w:val="20"/>
        </w:rPr>
        <w:t>Education</w:t>
      </w:r>
      <w:r w:rsidRPr="37EA5372" w:rsidR="4BBCEC40">
        <w:rPr>
          <w:rFonts w:ascii="Calibri" w:hAnsi="Calibri" w:eastAsia="Calibri" w:cs="Calibri"/>
          <w:color w:val="000000" w:themeColor="text1" w:themeTint="FF" w:themeShade="FF"/>
          <w:sz w:val="20"/>
          <w:szCs w:val="20"/>
        </w:rPr>
        <w:t xml:space="preserve">, 26(2), 124-139. https://doi.org/10.16922/wje.26.2.9 (journal.uwp.co.uk) </w:t>
      </w:r>
    </w:p>
    <w:p w:rsidR="4489DFEC" w:rsidP="37EA5372" w:rsidRDefault="4489DFEC" w14:paraId="407F0607" w14:textId="01F71294">
      <w:pPr>
        <w:pStyle w:val="Normal"/>
        <w:spacing w:before="240" w:after="240" w:line="360" w:lineRule="auto"/>
        <w:jc w:val="both"/>
      </w:pPr>
      <w:r w:rsidRPr="37EA5372" w:rsidR="4BBCEC40">
        <w:rPr>
          <w:rFonts w:ascii="Calibri" w:hAnsi="Calibri" w:eastAsia="Calibri" w:cs="Calibri"/>
          <w:color w:val="000000" w:themeColor="text1" w:themeTint="FF" w:themeShade="FF"/>
          <w:sz w:val="20"/>
          <w:szCs w:val="20"/>
        </w:rPr>
        <w:t xml:space="preserve">Taylor, C. a Hallet, E. (2024) Arwain y Cwricwlwm i Gymru: Canllaw Ymarferol i Arweinwyr Ysgolion. Llundain: SAGE.  </w:t>
      </w:r>
    </w:p>
    <w:p w:rsidR="4489DFEC" w:rsidP="37EA5372" w:rsidRDefault="4489DFEC" w14:paraId="52F3A70F" w14:textId="10E60AD1">
      <w:pPr>
        <w:pStyle w:val="Normal"/>
        <w:spacing w:before="240" w:after="240" w:line="360" w:lineRule="auto"/>
        <w:jc w:val="both"/>
      </w:pPr>
      <w:r w:rsidRPr="37EA5372" w:rsidR="4BBCEC40">
        <w:rPr>
          <w:rFonts w:ascii="Calibri" w:hAnsi="Calibri" w:eastAsia="Calibri" w:cs="Calibri"/>
          <w:color w:val="000000" w:themeColor="text1" w:themeTint="FF" w:themeShade="FF"/>
          <w:sz w:val="20"/>
          <w:szCs w:val="20"/>
        </w:rPr>
        <w:t xml:space="preserve">Thomas, A., a Lewis, A. (2016). Cyflwyniad i'r Cyfnod Sylfaen: Cwricwlwm Blynyddoedd Cynnar yng Nghymru. Academydd Bloomsbury. (researchspace.bathspa.ac.uk) </w:t>
      </w:r>
    </w:p>
    <w:p w:rsidR="4489DFEC" w:rsidP="37EA5372" w:rsidRDefault="4489DFEC" w14:paraId="3AA9D77C" w14:textId="51353FA5">
      <w:pPr>
        <w:pStyle w:val="Normal"/>
        <w:spacing w:before="240" w:after="240" w:line="360" w:lineRule="auto"/>
        <w:jc w:val="both"/>
      </w:pPr>
      <w:r w:rsidRPr="37EA5372" w:rsidR="4BBCEC40">
        <w:rPr>
          <w:rFonts w:ascii="Calibri" w:hAnsi="Calibri" w:eastAsia="Calibri" w:cs="Calibri"/>
          <w:color w:val="000000" w:themeColor="text1" w:themeTint="FF" w:themeShade="FF"/>
          <w:sz w:val="20"/>
          <w:szCs w:val="20"/>
        </w:rPr>
        <w:t xml:space="preserve">Wainwright, N., Goodway, J., Whitehead, M., Williams, A., &amp; Kirk, D. (2019). Addysgeg chwareus ar gyfer dysgu dyfnach: archwilio gweithredu'r Cyfnod Sylfaen sy'n seiliedig ar ddrama yng Nghymru. Datblygiad a Gofal Plant Cynnar. https://doi.org/10.1080/03004430.2019.1653551 (repository.uwtsd.ac.uk) </w:t>
      </w:r>
    </w:p>
    <w:p w:rsidR="4489DFEC" w:rsidP="37EA5372" w:rsidRDefault="4489DFEC" w14:paraId="41FCE669" w14:textId="0A744BE6">
      <w:pPr>
        <w:pStyle w:val="Normal"/>
        <w:spacing w:before="240" w:after="240" w:line="360" w:lineRule="auto"/>
        <w:jc w:val="both"/>
      </w:pPr>
      <w:r w:rsidRPr="37EA5372" w:rsidR="4BBCEC40">
        <w:rPr>
          <w:rFonts w:ascii="Calibri" w:hAnsi="Calibri" w:eastAsia="Calibri" w:cs="Calibri"/>
          <w:color w:val="000000" w:themeColor="text1" w:themeTint="FF" w:themeShade="FF"/>
          <w:sz w:val="20"/>
          <w:szCs w:val="20"/>
        </w:rPr>
        <w:t xml:space="preserve">Waller, T., Ärlemalm-Hagsér, E., Lee-Hammond, L. a Wyver, S. (gol.) (2017) Llawlyfr SAGE o Chwarae a Dysgu Awyr Agored. Llundain: SAGE. </w:t>
      </w:r>
    </w:p>
    <w:p w:rsidR="4489DFEC" w:rsidP="37EA5372" w:rsidRDefault="4489DFEC" w14:paraId="77131C71" w14:textId="0389196A">
      <w:pPr>
        <w:pStyle w:val="Normal"/>
        <w:spacing w:before="240" w:after="240" w:line="360" w:lineRule="auto"/>
        <w:jc w:val="both"/>
      </w:pPr>
      <w:r w:rsidRPr="37EA5372" w:rsidR="4BBCEC40">
        <w:rPr>
          <w:rFonts w:ascii="Calibri" w:hAnsi="Calibri" w:eastAsia="Calibri" w:cs="Calibri"/>
          <w:color w:val="000000" w:themeColor="text1" w:themeTint="FF" w:themeShade="FF"/>
          <w:sz w:val="20"/>
          <w:szCs w:val="20"/>
        </w:rPr>
        <w:t xml:space="preserve">Walsh, G., McGuinness, C., Sproule, L., Bojke, C., &amp; Trew, K. (2014). Effaith cwricwlwm seiliedig ar chwarae yn y ddwy flynedd gyntaf o'r ysgol gynradd: Canlyniadau llythrennedd a rhifedd dros saith mlynedd. Cyfnodolyn Ymchwil Addysgol Prydain. https://doi.org/10.1002/berj.3117 (Coleg Prifysgol Stranmillis) </w:t>
      </w:r>
    </w:p>
    <w:p w:rsidR="4489DFEC" w:rsidP="37EA5372" w:rsidRDefault="4489DFEC" w14:paraId="782B87D3" w14:textId="34A52ECD">
      <w:pPr>
        <w:pStyle w:val="Normal"/>
        <w:spacing w:before="240" w:after="240" w:line="360" w:lineRule="auto"/>
        <w:jc w:val="both"/>
      </w:pPr>
      <w:r w:rsidRPr="37EA5372" w:rsidR="4BBCEC40">
        <w:rPr>
          <w:rFonts w:ascii="Calibri" w:hAnsi="Calibri" w:eastAsia="Calibri" w:cs="Calibri"/>
          <w:color w:val="000000" w:themeColor="text1" w:themeTint="FF" w:themeShade="FF"/>
          <w:sz w:val="20"/>
          <w:szCs w:val="20"/>
        </w:rPr>
        <w:t>Waters</w:t>
      </w:r>
      <w:r w:rsidRPr="37EA5372" w:rsidR="4BBCEC40">
        <w:rPr>
          <w:rFonts w:ascii="Calibri" w:hAnsi="Calibri" w:eastAsia="Calibri" w:cs="Calibri"/>
          <w:color w:val="000000" w:themeColor="text1" w:themeTint="FF" w:themeShade="FF"/>
          <w:sz w:val="20"/>
          <w:szCs w:val="20"/>
        </w:rPr>
        <w:t xml:space="preserve">, J., </w:t>
      </w:r>
      <w:r w:rsidRPr="37EA5372" w:rsidR="4BBCEC40">
        <w:rPr>
          <w:rFonts w:ascii="Calibri" w:hAnsi="Calibri" w:eastAsia="Calibri" w:cs="Calibri"/>
          <w:color w:val="000000" w:themeColor="text1" w:themeTint="FF" w:themeShade="FF"/>
          <w:sz w:val="20"/>
          <w:szCs w:val="20"/>
        </w:rPr>
        <w:t>Payler</w:t>
      </w:r>
      <w:r w:rsidRPr="37EA5372" w:rsidR="4BBCEC40">
        <w:rPr>
          <w:rFonts w:ascii="Calibri" w:hAnsi="Calibri" w:eastAsia="Calibri" w:cs="Calibri"/>
          <w:color w:val="000000" w:themeColor="text1" w:themeTint="FF" w:themeShade="FF"/>
          <w:sz w:val="20"/>
          <w:szCs w:val="20"/>
        </w:rPr>
        <w:t xml:space="preserve">, J. a Jones, K. (gol.) (2018) Datblygiad Proffesiynol Addysgwyr Blynyddoedd Cynnar. </w:t>
      </w:r>
      <w:r w:rsidRPr="37EA5372" w:rsidR="4BBCEC40">
        <w:rPr>
          <w:rFonts w:ascii="Calibri" w:hAnsi="Calibri" w:eastAsia="Calibri" w:cs="Calibri"/>
          <w:color w:val="000000" w:themeColor="text1" w:themeTint="FF" w:themeShade="FF"/>
          <w:sz w:val="20"/>
          <w:szCs w:val="20"/>
        </w:rPr>
        <w:t>Abingdon</w:t>
      </w:r>
      <w:r w:rsidRPr="37EA5372" w:rsidR="4BBCEC40">
        <w:rPr>
          <w:rFonts w:ascii="Calibri" w:hAnsi="Calibri" w:eastAsia="Calibri" w:cs="Calibri"/>
          <w:color w:val="000000" w:themeColor="text1" w:themeTint="FF" w:themeShade="FF"/>
          <w:sz w:val="20"/>
          <w:szCs w:val="20"/>
        </w:rPr>
        <w:t xml:space="preserve">: Routledge. </w:t>
      </w:r>
    </w:p>
    <w:p w:rsidR="4489DFEC" w:rsidP="37EA5372" w:rsidRDefault="4489DFEC" w14:paraId="54078F14" w14:textId="5AB7A989">
      <w:pPr>
        <w:pStyle w:val="Normal"/>
        <w:spacing w:before="240" w:after="240" w:line="360" w:lineRule="auto"/>
        <w:jc w:val="both"/>
      </w:pPr>
      <w:r w:rsidRPr="37EA5372" w:rsidR="4BBCEC40">
        <w:rPr>
          <w:rFonts w:ascii="Calibri" w:hAnsi="Calibri" w:eastAsia="Calibri" w:cs="Calibri"/>
          <w:color w:val="000000" w:themeColor="text1" w:themeTint="FF" w:themeShade="FF"/>
          <w:sz w:val="20"/>
          <w:szCs w:val="20"/>
        </w:rPr>
        <w:t xml:space="preserve">Wills, R. (2025) EYFS sy'n canolbwyntio ar y plentyn: Y Plentyn Unigryw. Llundain: SAGE. </w:t>
      </w:r>
    </w:p>
    <w:p w:rsidR="4489DFEC" w:rsidP="37EA5372" w:rsidRDefault="4489DFEC" w14:paraId="1DB38AF7" w14:textId="4B701A4A">
      <w:pPr>
        <w:pStyle w:val="Normal"/>
        <w:spacing w:before="240" w:after="240" w:line="360" w:lineRule="auto"/>
        <w:jc w:val="both"/>
      </w:pPr>
      <w:r w:rsidRPr="37EA5372" w:rsidR="4BBCEC40">
        <w:rPr>
          <w:rFonts w:ascii="Calibri" w:hAnsi="Calibri" w:eastAsia="Calibri" w:cs="Calibri"/>
          <w:color w:val="000000" w:themeColor="text1" w:themeTint="FF" w:themeShade="FF"/>
          <w:sz w:val="20"/>
          <w:szCs w:val="20"/>
        </w:rPr>
        <w:t xml:space="preserve">Wood, E. (2020) Chwarae, Dysgu a'r Cwricwlwm Plentyndod Cynnar. 4ydd </w:t>
      </w:r>
      <w:r w:rsidRPr="37EA5372" w:rsidR="4BBCEC40">
        <w:rPr>
          <w:rFonts w:ascii="Calibri" w:hAnsi="Calibri" w:eastAsia="Calibri" w:cs="Calibri"/>
          <w:color w:val="000000" w:themeColor="text1" w:themeTint="FF" w:themeShade="FF"/>
          <w:sz w:val="20"/>
          <w:szCs w:val="20"/>
        </w:rPr>
        <w:t>arg</w:t>
      </w:r>
      <w:r w:rsidRPr="37EA5372" w:rsidR="4BBCEC40">
        <w:rPr>
          <w:rFonts w:ascii="Calibri" w:hAnsi="Calibri" w:eastAsia="Calibri" w:cs="Calibri"/>
          <w:color w:val="000000" w:themeColor="text1" w:themeTint="FF" w:themeShade="FF"/>
          <w:sz w:val="20"/>
          <w:szCs w:val="20"/>
        </w:rPr>
        <w:t xml:space="preserve">. Llundain: SAGE. </w:t>
      </w:r>
    </w:p>
    <w:p w:rsidR="4489DFEC" w:rsidP="37EA5372" w:rsidRDefault="4489DFEC" w14:paraId="1059476F" w14:textId="73D6DA61">
      <w:pPr>
        <w:pStyle w:val="Normal"/>
        <w:spacing w:before="240" w:after="240" w:line="360" w:lineRule="auto"/>
        <w:jc w:val="both"/>
      </w:pPr>
      <w:r w:rsidRPr="37EA5372" w:rsidR="4BBCEC40">
        <w:rPr>
          <w:rFonts w:ascii="Calibri" w:hAnsi="Calibri" w:eastAsia="Calibri" w:cs="Calibri"/>
          <w:color w:val="000000" w:themeColor="text1" w:themeTint="FF" w:themeShade="FF"/>
          <w:sz w:val="20"/>
          <w:szCs w:val="20"/>
        </w:rPr>
        <w:t>Wood, EA (2019). Chwarae a dysgu mewn addysg plentyndod cynnar: Tensiynau a heriau. Astudiaethau Plant, 7(3), Erthygl 4124. https://doi.org/10.21814/childstudies.4124 (revistas.uminho.pt)</w:t>
      </w:r>
    </w:p>
    <w:sectPr w:rsidR="00D73044" w:rsidSect="003759C8">
      <w:headerReference w:type="even" r:id="rId8"/>
      <w:headerReference w:type="default" r:id="rId9"/>
      <w:footerReference w:type="even" r:id="rId10"/>
      <w:footerReference w:type="default" r:id="rId11"/>
      <w:headerReference w:type="first" r:id="rId12"/>
      <w:footerReference w:type="first" r:id="rId13"/>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47A6D" w:rsidP="00D47A6D" w:rsidRDefault="00D47A6D" w14:paraId="3ED5095A" w14:textId="77777777">
      <w:pPr>
        <w:spacing w:after="0" w:line="240" w:lineRule="auto"/>
      </w:pPr>
      <w:r>
        <w:separator/>
      </w:r>
    </w:p>
  </w:endnote>
  <w:endnote w:type="continuationSeparator" w:id="0">
    <w:p w:rsidR="00D47A6D" w:rsidP="00D47A6D" w:rsidRDefault="00D47A6D" w14:paraId="100098A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47A6D" w:rsidRDefault="00D47A6D" w14:paraId="3AFE054B" w14:textId="77777777" w14:noSpellErr="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4E15EC36" w:rsidP="4E15EC36" w:rsidRDefault="4E15EC36" w14:paraId="1BF0961A" w14:textId="12F77372">
    <w:pPr>
      <w:pStyle w:val="Footer"/>
      <w:jc w:val="right"/>
    </w:pPr>
    <w:r>
      <w:fldChar w:fldCharType="begin"/>
    </w:r>
    <w:r>
      <w:instrText xml:space="preserve">PAGE</w:instrText>
    </w:r>
    <w:r>
      <w:fldChar w:fldCharType="separate"/>
    </w:r>
    <w:r>
      <w:fldChar w:fldCharType="end"/>
    </w:r>
  </w:p>
  <w:p w:rsidR="00D47A6D" w:rsidRDefault="00D47A6D" w14:paraId="1D62F9E6" w14:textId="77777777" w14:noSpellErr="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47A6D" w:rsidRDefault="00D47A6D" w14:paraId="66CCA1BA" w14:textId="77777777" w14:noSpellErr="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47A6D" w:rsidP="00D47A6D" w:rsidRDefault="00D47A6D" w14:paraId="0EA9782F" w14:textId="77777777">
      <w:pPr>
        <w:spacing w:after="0" w:line="240" w:lineRule="auto"/>
      </w:pPr>
      <w:r>
        <w:separator/>
      </w:r>
    </w:p>
  </w:footnote>
  <w:footnote w:type="continuationSeparator" w:id="0">
    <w:p w:rsidR="00D47A6D" w:rsidP="00D47A6D" w:rsidRDefault="00D47A6D" w14:paraId="0949A3B6"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47A6D" w:rsidRDefault="00D47A6D" w14:paraId="7B73D734" w14:textId="77777777" w14:noSpellErr="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8534D5" w:rsidR="00D47A6D" w:rsidP="10059DCF" w:rsidRDefault="002E299A" w14:paraId="63247E30" w14:noSpellErr="1" w14:textId="7B34B3C3">
    <w:pPr>
      <w:pStyle w:val="Header"/>
      <w:rPr>
        <w:lang w:val="en-US"/>
      </w:rPr>
    </w:pPr>
    <w:r w:rsidRPr="37EA5372" w:rsidR="37EA5372">
      <w:rPr>
        <w:lang w:val="en-US"/>
      </w:rPr>
      <w:t>ECEY610</w:t>
    </w:r>
    <w:r w:rsidRPr="37EA5372" w:rsidR="37EA5372">
      <w:rPr>
        <w:lang w:val="en-US"/>
      </w:rPr>
      <w:t xml:space="preserve">  </w:t>
    </w:r>
    <w:r w:rsidRPr="37EA5372" w:rsidR="37EA5372">
      <w:rPr>
        <w:lang w:val="en-US"/>
      </w:rPr>
      <w:t xml:space="preserve">                                             </w:t>
    </w:r>
    <w:r w:rsidRPr="37EA5372" w:rsidR="37EA5372">
      <w:rPr>
        <w:lang w:val="en-US"/>
      </w:rPr>
      <w:t xml:space="preserve">              2203713                         </w:t>
    </w:r>
    <w:r w:rsidRPr="37EA5372" w:rsidR="37EA5372">
      <w:rPr>
        <w:lang w:val="en-US"/>
      </w:rPr>
      <w:t xml:space="preserve">           </w:t>
    </w:r>
    <w:r w:rsidRPr="37EA5372" w:rsidR="37EA5372">
      <w:rPr>
        <w:lang w:val="en-US"/>
      </w:rPr>
      <w:t xml:space="preserve">                  </w:t>
    </w:r>
    <w:r w:rsidRPr="37EA5372" w:rsidR="37EA5372">
      <w:rPr>
        <w:lang w:val="en-US"/>
      </w:rPr>
      <w:t xml:space="preserve">                          4,148</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47A6D" w:rsidRDefault="00D47A6D" w14:paraId="6856767B" w14:textId="77777777" w14:noSpellErr="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3C239A"/>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937130857">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33"/>
  <w:proofState w:spelling="clean" w:grammar="dirty"/>
  <w:revisionView w:formatting="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044"/>
    <w:rsid w:val="002E299A"/>
    <w:rsid w:val="003759C8"/>
    <w:rsid w:val="003D64E9"/>
    <w:rsid w:val="007C13C4"/>
    <w:rsid w:val="008534D5"/>
    <w:rsid w:val="00BC468F"/>
    <w:rsid w:val="00D47A6D"/>
    <w:rsid w:val="00D73044"/>
    <w:rsid w:val="0380EFA8"/>
    <w:rsid w:val="052DC42A"/>
    <w:rsid w:val="068611B3"/>
    <w:rsid w:val="079E2D63"/>
    <w:rsid w:val="089935D8"/>
    <w:rsid w:val="08AF60AB"/>
    <w:rsid w:val="08CF6D1E"/>
    <w:rsid w:val="0A2EF9DC"/>
    <w:rsid w:val="0B9F7154"/>
    <w:rsid w:val="0EAEC48E"/>
    <w:rsid w:val="0F4B573A"/>
    <w:rsid w:val="10059DCF"/>
    <w:rsid w:val="1029E52F"/>
    <w:rsid w:val="10E37B47"/>
    <w:rsid w:val="1192B7CF"/>
    <w:rsid w:val="1371166E"/>
    <w:rsid w:val="1426AC35"/>
    <w:rsid w:val="168F987D"/>
    <w:rsid w:val="1BB1B1BE"/>
    <w:rsid w:val="1C7EA8D3"/>
    <w:rsid w:val="1DEDB810"/>
    <w:rsid w:val="1EC31818"/>
    <w:rsid w:val="224B2141"/>
    <w:rsid w:val="228DA03C"/>
    <w:rsid w:val="24E7ED59"/>
    <w:rsid w:val="25C6CA43"/>
    <w:rsid w:val="273375CA"/>
    <w:rsid w:val="28C2B195"/>
    <w:rsid w:val="29C9152F"/>
    <w:rsid w:val="2AF35108"/>
    <w:rsid w:val="2F2F4177"/>
    <w:rsid w:val="2F8C20C9"/>
    <w:rsid w:val="3356DC4D"/>
    <w:rsid w:val="34B21339"/>
    <w:rsid w:val="36CDFC82"/>
    <w:rsid w:val="37EA5372"/>
    <w:rsid w:val="3900751F"/>
    <w:rsid w:val="3D08379B"/>
    <w:rsid w:val="3E0A9E24"/>
    <w:rsid w:val="3E1CBC93"/>
    <w:rsid w:val="3EC1128A"/>
    <w:rsid w:val="406003F6"/>
    <w:rsid w:val="41137E19"/>
    <w:rsid w:val="42418A9E"/>
    <w:rsid w:val="425717B5"/>
    <w:rsid w:val="43707341"/>
    <w:rsid w:val="4489DFEC"/>
    <w:rsid w:val="457AAA3A"/>
    <w:rsid w:val="45F24E09"/>
    <w:rsid w:val="475F56AB"/>
    <w:rsid w:val="483BF993"/>
    <w:rsid w:val="4A411956"/>
    <w:rsid w:val="4BBCEC40"/>
    <w:rsid w:val="4D9DE451"/>
    <w:rsid w:val="4E15EC36"/>
    <w:rsid w:val="4F039E63"/>
    <w:rsid w:val="4F526CEC"/>
    <w:rsid w:val="4F79E562"/>
    <w:rsid w:val="50AEDAC5"/>
    <w:rsid w:val="512F8C0F"/>
    <w:rsid w:val="53EFB521"/>
    <w:rsid w:val="54C6F043"/>
    <w:rsid w:val="57372252"/>
    <w:rsid w:val="585E6C5C"/>
    <w:rsid w:val="58FB9640"/>
    <w:rsid w:val="5B08F1C3"/>
    <w:rsid w:val="5D3C3E9A"/>
    <w:rsid w:val="5F2F1582"/>
    <w:rsid w:val="614A2635"/>
    <w:rsid w:val="616F0FA9"/>
    <w:rsid w:val="6342E6A8"/>
    <w:rsid w:val="636A8979"/>
    <w:rsid w:val="63C074B9"/>
    <w:rsid w:val="64FAD345"/>
    <w:rsid w:val="680FB420"/>
    <w:rsid w:val="68681C29"/>
    <w:rsid w:val="68782EB9"/>
    <w:rsid w:val="68AFBB14"/>
    <w:rsid w:val="68EA711F"/>
    <w:rsid w:val="695A2FCB"/>
    <w:rsid w:val="6A506C5D"/>
    <w:rsid w:val="6AF8CBE0"/>
    <w:rsid w:val="6B3D4D32"/>
    <w:rsid w:val="6C85430A"/>
    <w:rsid w:val="6CEE903A"/>
    <w:rsid w:val="6D0980C7"/>
    <w:rsid w:val="6D8EAD1A"/>
    <w:rsid w:val="6F14E0F8"/>
    <w:rsid w:val="6F51DFE2"/>
    <w:rsid w:val="73727A4C"/>
    <w:rsid w:val="73C4A692"/>
    <w:rsid w:val="7496E494"/>
    <w:rsid w:val="78610D41"/>
    <w:rsid w:val="78ECB549"/>
    <w:rsid w:val="7A732EDE"/>
    <w:rsid w:val="7FCB3A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75596C7"/>
  <w15:chartTrackingRefBased/>
  <w15:docId w15:val="{36AD26B7-497E-D84E-92B5-B5C8BEF5ECA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4E15EC36"/>
    <w:rPr>
      <w:noProof w:val="0"/>
      <w:lang w:val="cy-GB"/>
    </w:rPr>
  </w:style>
  <w:style w:type="paragraph" w:styleId="Heading1">
    <w:uiPriority w:val="9"/>
    <w:name w:val="heading 1"/>
    <w:basedOn w:val="Normal"/>
    <w:next w:val="Normal"/>
    <w:link w:val="Heading1Char"/>
    <w:qFormat/>
    <w:rsid w:val="4E15EC36"/>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semiHidden/>
    <w:unhideWhenUsed/>
    <w:link w:val="Heading2Char"/>
    <w:qFormat/>
    <w:rsid w:val="4E15EC36"/>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link w:val="Heading3Char"/>
    <w:qFormat/>
    <w:rsid w:val="4E15EC36"/>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semiHidden/>
    <w:unhideWhenUsed/>
    <w:link w:val="Heading4Char"/>
    <w:qFormat/>
    <w:rsid w:val="4E15EC36"/>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Heading5">
    <w:uiPriority w:val="9"/>
    <w:name w:val="heading 5"/>
    <w:basedOn w:val="Normal"/>
    <w:next w:val="Normal"/>
    <w:semiHidden/>
    <w:unhideWhenUsed/>
    <w:link w:val="Heading5Char"/>
    <w:qFormat/>
    <w:rsid w:val="4E15EC36"/>
    <w:rPr>
      <w:rFonts w:eastAsia="" w:cs="" w:eastAsiaTheme="majorEastAsia" w:cstheme="majorBidi"/>
      <w:color w:val="0F4761" w:themeColor="accent1" w:themeTint="FF" w:themeShade="BF"/>
    </w:rPr>
    <w:pPr>
      <w:keepNext w:val="1"/>
      <w:keepLines w:val="1"/>
      <w:spacing w:before="80" w:after="40"/>
      <w:outlineLvl w:val="4"/>
    </w:pPr>
  </w:style>
  <w:style w:type="paragraph" w:styleId="Heading6">
    <w:uiPriority w:val="9"/>
    <w:name w:val="heading 6"/>
    <w:basedOn w:val="Normal"/>
    <w:next w:val="Normal"/>
    <w:semiHidden/>
    <w:unhideWhenUsed/>
    <w:link w:val="Heading6Char"/>
    <w:qFormat/>
    <w:rsid w:val="4E15EC36"/>
    <w:rPr>
      <w:rFonts w:eastAsia="" w:cs="" w:eastAsiaTheme="majorEastAsia" w:cstheme="majorBidi"/>
      <w:i w:val="1"/>
      <w:iCs w:val="1"/>
      <w:color w:val="595959" w:themeColor="text1" w:themeTint="A6" w:themeShade="FF"/>
    </w:rPr>
    <w:pPr>
      <w:keepNext w:val="1"/>
      <w:keepLines w:val="1"/>
      <w:spacing w:before="40" w:after="0"/>
      <w:outlineLvl w:val="5"/>
    </w:pPr>
  </w:style>
  <w:style w:type="paragraph" w:styleId="Heading7">
    <w:uiPriority w:val="9"/>
    <w:name w:val="heading 7"/>
    <w:basedOn w:val="Normal"/>
    <w:next w:val="Normal"/>
    <w:semiHidden/>
    <w:unhideWhenUsed/>
    <w:link w:val="Heading7Char"/>
    <w:qFormat/>
    <w:rsid w:val="4E15EC36"/>
    <w:rPr>
      <w:rFonts w:eastAsia="" w:cs="" w:eastAsiaTheme="majorEastAsia" w:cstheme="majorBidi"/>
      <w:color w:val="595959" w:themeColor="text1" w:themeTint="A6" w:themeShade="FF"/>
    </w:rPr>
    <w:pPr>
      <w:keepNext w:val="1"/>
      <w:keepLines w:val="1"/>
      <w:spacing w:before="40" w:after="0"/>
      <w:outlineLvl w:val="6"/>
    </w:pPr>
  </w:style>
  <w:style w:type="paragraph" w:styleId="Heading8">
    <w:uiPriority w:val="9"/>
    <w:name w:val="heading 8"/>
    <w:basedOn w:val="Normal"/>
    <w:next w:val="Normal"/>
    <w:semiHidden/>
    <w:unhideWhenUsed/>
    <w:link w:val="Heading8Char"/>
    <w:qFormat/>
    <w:rsid w:val="4E15EC36"/>
    <w:rPr>
      <w:rFonts w:eastAsia="" w:cs="" w:eastAsiaTheme="majorEastAsia" w:cstheme="majorBidi"/>
      <w:i w:val="1"/>
      <w:iCs w:val="1"/>
      <w:color w:val="272727"/>
    </w:rPr>
    <w:pPr>
      <w:keepNext w:val="1"/>
      <w:keepLines w:val="1"/>
      <w:spacing w:after="0"/>
      <w:outlineLvl w:val="7"/>
    </w:pPr>
  </w:style>
  <w:style w:type="paragraph" w:styleId="Heading9">
    <w:uiPriority w:val="9"/>
    <w:name w:val="heading 9"/>
    <w:basedOn w:val="Normal"/>
    <w:next w:val="Normal"/>
    <w:semiHidden/>
    <w:unhideWhenUsed/>
    <w:link w:val="Heading9Char"/>
    <w:qFormat/>
    <w:rsid w:val="4E15EC36"/>
    <w:rPr>
      <w:rFonts w:eastAsia="" w:cs="" w:eastAsiaTheme="majorEastAsia" w:cstheme="majorBidi"/>
      <w:color w:val="272727"/>
    </w:rPr>
    <w:pPr>
      <w:keepNext w:val="1"/>
      <w:keepLines w:val="1"/>
      <w:spacing w:after="0"/>
      <w:outlineLvl w:val="8"/>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D73044"/>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D73044"/>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D73044"/>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D73044"/>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D73044"/>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D73044"/>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D73044"/>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D73044"/>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D73044"/>
    <w:rPr>
      <w:rFonts w:eastAsiaTheme="majorEastAsia" w:cstheme="majorBidi"/>
      <w:color w:val="272727" w:themeColor="text1" w:themeTint="D8"/>
    </w:rPr>
  </w:style>
  <w:style w:type="paragraph" w:styleId="Title">
    <w:uiPriority w:val="10"/>
    <w:name w:val="Title"/>
    <w:basedOn w:val="Normal"/>
    <w:next w:val="Normal"/>
    <w:link w:val="TitleChar"/>
    <w:qFormat/>
    <w:rsid w:val="4E15EC36"/>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TitleChar" w:customStyle="1">
    <w:name w:val="Title Char"/>
    <w:basedOn w:val="DefaultParagraphFont"/>
    <w:link w:val="Title"/>
    <w:uiPriority w:val="10"/>
    <w:rsid w:val="00D73044"/>
    <w:rPr>
      <w:rFonts w:asciiTheme="majorHAnsi" w:hAnsiTheme="majorHAnsi" w:eastAsiaTheme="majorEastAsia" w:cstheme="majorBidi"/>
      <w:spacing w:val="-10"/>
      <w:kern w:val="28"/>
      <w:sz w:val="56"/>
      <w:szCs w:val="56"/>
    </w:rPr>
  </w:style>
  <w:style w:type="paragraph" w:styleId="Subtitle">
    <w:uiPriority w:val="11"/>
    <w:name w:val="Subtitle"/>
    <w:basedOn w:val="Normal"/>
    <w:next w:val="Normal"/>
    <w:link w:val="SubtitleChar"/>
    <w:qFormat/>
    <w:rsid w:val="4E15EC36"/>
    <w:rPr>
      <w:rFonts w:eastAsia="" w:cs="" w:eastAsiaTheme="majorEastAsia" w:cstheme="majorBidi"/>
      <w:color w:val="595959" w:themeColor="text1" w:themeTint="A6" w:themeShade="FF"/>
      <w:sz w:val="28"/>
      <w:szCs w:val="28"/>
    </w:rPr>
  </w:style>
  <w:style w:type="character" w:styleId="SubtitleChar" w:customStyle="1">
    <w:name w:val="Subtitle Char"/>
    <w:basedOn w:val="DefaultParagraphFont"/>
    <w:link w:val="Subtitle"/>
    <w:uiPriority w:val="11"/>
    <w:rsid w:val="00D73044"/>
    <w:rPr>
      <w:rFonts w:eastAsiaTheme="majorEastAsia" w:cstheme="majorBidi"/>
      <w:color w:val="595959" w:themeColor="text1" w:themeTint="A6"/>
      <w:spacing w:val="15"/>
      <w:sz w:val="28"/>
      <w:szCs w:val="28"/>
    </w:rPr>
  </w:style>
  <w:style w:type="paragraph" w:styleId="Quote">
    <w:uiPriority w:val="29"/>
    <w:name w:val="Quote"/>
    <w:basedOn w:val="Normal"/>
    <w:next w:val="Normal"/>
    <w:link w:val="QuoteChar"/>
    <w:qFormat/>
    <w:rsid w:val="4E15EC36"/>
    <w:rPr>
      <w:i w:val="1"/>
      <w:iCs w:val="1"/>
      <w:color w:val="404040" w:themeColor="text1" w:themeTint="BF" w:themeShade="FF"/>
    </w:rPr>
    <w:pPr>
      <w:spacing w:before="160"/>
      <w:jc w:val="center"/>
    </w:pPr>
  </w:style>
  <w:style w:type="character" w:styleId="QuoteChar" w:customStyle="1">
    <w:name w:val="Quote Char"/>
    <w:basedOn w:val="DefaultParagraphFont"/>
    <w:link w:val="Quote"/>
    <w:uiPriority w:val="29"/>
    <w:rsid w:val="00D73044"/>
    <w:rPr>
      <w:i/>
      <w:iCs/>
      <w:color w:val="404040" w:themeColor="text1" w:themeTint="BF"/>
    </w:rPr>
  </w:style>
  <w:style w:type="paragraph" w:styleId="ListParagraph">
    <w:uiPriority w:val="34"/>
    <w:name w:val="List Paragraph"/>
    <w:basedOn w:val="Normal"/>
    <w:qFormat/>
    <w:rsid w:val="4E15EC36"/>
    <w:pPr>
      <w:spacing/>
      <w:ind w:left="720"/>
      <w:contextualSpacing/>
    </w:pPr>
  </w:style>
  <w:style w:type="character" w:styleId="IntenseEmphasis">
    <w:name w:val="Intense Emphasis"/>
    <w:basedOn w:val="DefaultParagraphFont"/>
    <w:uiPriority w:val="21"/>
    <w:qFormat/>
    <w:rsid w:val="00D73044"/>
    <w:rPr>
      <w:i/>
      <w:iCs/>
      <w:color w:val="0F4761" w:themeColor="accent1" w:themeShade="BF"/>
    </w:rPr>
  </w:style>
  <w:style w:type="paragraph" w:styleId="IntenseQuote">
    <w:uiPriority w:val="30"/>
    <w:name w:val="Intense Quote"/>
    <w:basedOn w:val="Normal"/>
    <w:next w:val="Normal"/>
    <w:link w:val="IntenseQuoteChar"/>
    <w:qFormat/>
    <w:rsid w:val="4E15EC36"/>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QuoteChar" w:customStyle="1">
    <w:name w:val="Intense Quote Char"/>
    <w:basedOn w:val="DefaultParagraphFont"/>
    <w:link w:val="IntenseQuote"/>
    <w:uiPriority w:val="30"/>
    <w:rsid w:val="00D73044"/>
    <w:rPr>
      <w:i/>
      <w:iCs/>
      <w:color w:val="0F4761" w:themeColor="accent1" w:themeShade="BF"/>
    </w:rPr>
  </w:style>
  <w:style w:type="character" w:styleId="IntenseReference">
    <w:name w:val="Intense Reference"/>
    <w:basedOn w:val="DefaultParagraphFont"/>
    <w:uiPriority w:val="32"/>
    <w:qFormat/>
    <w:rsid w:val="00D73044"/>
    <w:rPr>
      <w:b/>
      <w:bCs/>
      <w:smallCaps/>
      <w:color w:val="0F4761" w:themeColor="accent1" w:themeShade="BF"/>
      <w:spacing w:val="5"/>
    </w:rPr>
  </w:style>
  <w:style w:type="paragraph" w:styleId="NormalWeb">
    <w:uiPriority w:val="99"/>
    <w:name w:val="Normal (Web)"/>
    <w:basedOn w:val="Normal"/>
    <w:semiHidden/>
    <w:unhideWhenUsed/>
    <w:rsid w:val="4E15EC36"/>
    <w:rPr>
      <w:rFonts w:ascii="Times New Roman" w:hAnsi="Times New Roman" w:cs="Times New Roman"/>
    </w:rPr>
    <w:pPr>
      <w:spacing w:beforeAutospacing="on" w:afterAutospacing="on" w:line="240" w:lineRule="auto"/>
    </w:pPr>
  </w:style>
  <w:style w:type="character" w:styleId="Hyperlink">
    <w:name w:val="Hyperlink"/>
    <w:basedOn w:val="DefaultParagraphFont"/>
    <w:uiPriority w:val="99"/>
    <w:semiHidden/>
    <w:unhideWhenUsed/>
    <w:rsid w:val="003759C8"/>
    <w:rPr>
      <w:color w:val="0000FF"/>
      <w:u w:val="single"/>
    </w:rPr>
  </w:style>
  <w:style w:type="paragraph" w:styleId="Header">
    <w:uiPriority w:val="99"/>
    <w:name w:val="header"/>
    <w:basedOn w:val="Normal"/>
    <w:unhideWhenUsed/>
    <w:link w:val="HeaderChar"/>
    <w:rsid w:val="4E15EC36"/>
    <w:pPr>
      <w:tabs>
        <w:tab w:val="center" w:leader="none" w:pos="4680"/>
        <w:tab w:val="right" w:leader="none" w:pos="9360"/>
      </w:tabs>
      <w:spacing w:after="0" w:line="240" w:lineRule="auto"/>
    </w:pPr>
  </w:style>
  <w:style w:type="character" w:styleId="HeaderChar" w:customStyle="1">
    <w:name w:val="Header Char"/>
    <w:basedOn w:val="DefaultParagraphFont"/>
    <w:link w:val="Header"/>
    <w:uiPriority w:val="99"/>
    <w:rsid w:val="00D47A6D"/>
  </w:style>
  <w:style w:type="paragraph" w:styleId="Footer">
    <w:uiPriority w:val="99"/>
    <w:name w:val="footer"/>
    <w:basedOn w:val="Normal"/>
    <w:unhideWhenUsed/>
    <w:link w:val="FooterChar"/>
    <w:rsid w:val="4E15EC36"/>
    <w:pPr>
      <w:tabs>
        <w:tab w:val="center" w:leader="none" w:pos="4680"/>
        <w:tab w:val="right" w:leader="none" w:pos="9360"/>
      </w:tabs>
      <w:spacing w:after="0" w:line="240" w:lineRule="auto"/>
    </w:pPr>
  </w:style>
  <w:style w:type="character" w:styleId="FooterChar" w:customStyle="1">
    <w:name w:val="Footer Char"/>
    <w:basedOn w:val="DefaultParagraphFont"/>
    <w:link w:val="Footer"/>
    <w:uiPriority w:val="99"/>
    <w:rsid w:val="00D47A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footer" Target="footer3.xml" Id="rId13" /><Relationship Type="http://schemas.openxmlformats.org/officeDocument/2006/relationships/settings" Target="settings.xml" Id="rId3" /><Relationship Type="http://schemas.openxmlformats.org/officeDocument/2006/relationships/header" Target="header3.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2.xml" Id="rId11" /><Relationship Type="http://schemas.openxmlformats.org/officeDocument/2006/relationships/footnotes" Target="footnotes.xml" Id="rId5" /><Relationship Type="http://schemas.openxmlformats.org/officeDocument/2006/relationships/theme" Target="theme/theme1.xml" Id="rId1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header" Target="header2.xml" Id="rId9" /><Relationship Type="http://schemas.openxmlformats.org/officeDocument/2006/relationships/fontTable" Target="fontTable.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Chloe Jones (2203713)</dc:creator>
  <keywords/>
  <dc:description/>
  <lastModifiedBy>Chloe Jones (2203713)</lastModifiedBy>
  <revision>8</revision>
  <dcterms:created xsi:type="dcterms:W3CDTF">2025-10-21T23:56:00.0000000Z</dcterms:created>
  <dcterms:modified xsi:type="dcterms:W3CDTF">2025-10-26T16:54:25.1022847Z</dcterms:modified>
</coreProperties>
</file>