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72DD" w:rsidRDefault="006972DD" w:rsidP="006B7AB1">
      <w:pPr>
        <w:pStyle w:val="Title"/>
      </w:pPr>
    </w:p>
    <w:p w:rsidR="006972DD" w:rsidRDefault="006972DD" w:rsidP="006B7AB1">
      <w:pPr>
        <w:pStyle w:val="Title"/>
      </w:pPr>
    </w:p>
    <w:p w:rsidR="006972DD" w:rsidRDefault="006972DD" w:rsidP="006B7AB1">
      <w:pPr>
        <w:pStyle w:val="Title"/>
      </w:pPr>
    </w:p>
    <w:p w:rsidR="006972DD" w:rsidRDefault="006972DD" w:rsidP="006B7AB1">
      <w:pPr>
        <w:pStyle w:val="Title"/>
      </w:pPr>
    </w:p>
    <w:p w:rsidR="006972DD" w:rsidRDefault="006972DD" w:rsidP="006B7AB1">
      <w:pPr>
        <w:pStyle w:val="Title"/>
      </w:pPr>
    </w:p>
    <w:p w:rsidR="006972DD" w:rsidRDefault="006972DD" w:rsidP="006B7AB1">
      <w:pPr>
        <w:pStyle w:val="Title"/>
      </w:pPr>
    </w:p>
    <w:p w:rsidR="006972DD" w:rsidRDefault="006972DD" w:rsidP="006B7AB1">
      <w:pPr>
        <w:pStyle w:val="Title"/>
      </w:pPr>
    </w:p>
    <w:p w:rsidR="006972DD" w:rsidRDefault="006972DD" w:rsidP="006B7AB1">
      <w:pPr>
        <w:pStyle w:val="Title"/>
      </w:pPr>
    </w:p>
    <w:p w:rsidR="00F329E2" w:rsidRDefault="00186E97" w:rsidP="006B7AB1">
      <w:pPr>
        <w:pStyle w:val="Title"/>
      </w:pPr>
      <w:r>
        <w:t>Assessment 2 Community Engagement</w:t>
      </w:r>
    </w:p>
    <w:p w:rsidR="006972DD" w:rsidRDefault="00186E97">
      <w:pPr>
        <w:spacing w:line="276" w:lineRule="auto"/>
        <w:jc w:val="left"/>
        <w:rPr>
          <w:rFonts w:eastAsiaTheme="majorEastAsia" w:cstheme="majorBidi"/>
          <w:b/>
          <w:bCs/>
          <w:sz w:val="28"/>
          <w:szCs w:val="28"/>
        </w:rPr>
      </w:pPr>
      <w:r>
        <w:br w:type="page"/>
      </w:r>
    </w:p>
    <w:sdt>
      <w:sdtPr>
        <w:rPr>
          <w:rFonts w:ascii="Times New Roman" w:eastAsiaTheme="minorHAnsi" w:hAnsi="Times New Roman" w:cstheme="minorBidi"/>
          <w:b w:val="0"/>
          <w:bCs w:val="0"/>
          <w:color w:val="auto"/>
          <w:sz w:val="24"/>
          <w:szCs w:val="22"/>
        </w:rPr>
        <w:id w:val="19656305"/>
        <w:docPartObj>
          <w:docPartGallery w:val="Table of Contents"/>
          <w:docPartUnique/>
        </w:docPartObj>
      </w:sdtPr>
      <w:sdtEndPr/>
      <w:sdtContent>
        <w:p w:rsidR="006972DD" w:rsidRPr="006972DD" w:rsidRDefault="00186E97" w:rsidP="006972DD">
          <w:pPr>
            <w:pStyle w:val="TOCHeading"/>
            <w:jc w:val="center"/>
            <w:rPr>
              <w:rFonts w:ascii="Times New Roman" w:hAnsi="Times New Roman" w:cs="Times New Roman"/>
              <w:color w:val="auto"/>
            </w:rPr>
          </w:pPr>
          <w:r w:rsidRPr="006972DD">
            <w:rPr>
              <w:rFonts w:ascii="Times New Roman" w:hAnsi="Times New Roman" w:cs="Times New Roman"/>
              <w:color w:val="auto"/>
            </w:rPr>
            <w:t>Table of Contents</w:t>
          </w:r>
        </w:p>
        <w:p w:rsidR="00F924DF" w:rsidRDefault="00116FDF">
          <w:pPr>
            <w:pStyle w:val="TOC1"/>
            <w:tabs>
              <w:tab w:val="right" w:leader="dot" w:pos="9350"/>
            </w:tabs>
            <w:rPr>
              <w:rFonts w:asciiTheme="minorHAnsi" w:eastAsiaTheme="minorEastAsia" w:hAnsiTheme="minorHAnsi"/>
              <w:noProof/>
              <w:sz w:val="22"/>
            </w:rPr>
          </w:pPr>
          <w:r>
            <w:fldChar w:fldCharType="begin"/>
          </w:r>
          <w:r w:rsidR="00186E97">
            <w:instrText xml:space="preserve"> TOC \o "1-3" \h \z \u </w:instrText>
          </w:r>
          <w:r>
            <w:fldChar w:fldCharType="separate"/>
          </w:r>
          <w:hyperlink w:anchor="_Toc81416003" w:history="1">
            <w:r w:rsidR="00F924DF" w:rsidRPr="002C5C7C">
              <w:rPr>
                <w:rStyle w:val="Hyperlink"/>
                <w:noProof/>
              </w:rPr>
              <w:t>Introduction</w:t>
            </w:r>
            <w:r w:rsidR="00F924DF">
              <w:rPr>
                <w:noProof/>
                <w:webHidden/>
              </w:rPr>
              <w:tab/>
            </w:r>
            <w:r w:rsidR="00F924DF">
              <w:rPr>
                <w:noProof/>
                <w:webHidden/>
              </w:rPr>
              <w:fldChar w:fldCharType="begin"/>
            </w:r>
            <w:r w:rsidR="00F924DF">
              <w:rPr>
                <w:noProof/>
                <w:webHidden/>
              </w:rPr>
              <w:instrText xml:space="preserve"> PAGEREF _Toc81416003 \h </w:instrText>
            </w:r>
            <w:r w:rsidR="00F924DF">
              <w:rPr>
                <w:noProof/>
                <w:webHidden/>
              </w:rPr>
            </w:r>
            <w:r w:rsidR="00F924DF">
              <w:rPr>
                <w:noProof/>
                <w:webHidden/>
              </w:rPr>
              <w:fldChar w:fldCharType="separate"/>
            </w:r>
            <w:r w:rsidR="00F924DF">
              <w:rPr>
                <w:noProof/>
                <w:webHidden/>
              </w:rPr>
              <w:t>2</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4" w:history="1">
            <w:r w:rsidR="00F924DF" w:rsidRPr="002C5C7C">
              <w:rPr>
                <w:rStyle w:val="Hyperlink"/>
                <w:noProof/>
              </w:rPr>
              <w:t>Project overview</w:t>
            </w:r>
            <w:r w:rsidR="00F924DF">
              <w:rPr>
                <w:noProof/>
                <w:webHidden/>
              </w:rPr>
              <w:tab/>
            </w:r>
            <w:r w:rsidR="00F924DF">
              <w:rPr>
                <w:noProof/>
                <w:webHidden/>
              </w:rPr>
              <w:fldChar w:fldCharType="begin"/>
            </w:r>
            <w:r w:rsidR="00F924DF">
              <w:rPr>
                <w:noProof/>
                <w:webHidden/>
              </w:rPr>
              <w:instrText xml:space="preserve"> PAGEREF _Toc81416004 \h </w:instrText>
            </w:r>
            <w:r w:rsidR="00F924DF">
              <w:rPr>
                <w:noProof/>
                <w:webHidden/>
              </w:rPr>
            </w:r>
            <w:r w:rsidR="00F924DF">
              <w:rPr>
                <w:noProof/>
                <w:webHidden/>
              </w:rPr>
              <w:fldChar w:fldCharType="separate"/>
            </w:r>
            <w:r w:rsidR="00F924DF">
              <w:rPr>
                <w:noProof/>
                <w:webHidden/>
              </w:rPr>
              <w:t>2</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5" w:history="1">
            <w:r w:rsidR="00F924DF" w:rsidRPr="002C5C7C">
              <w:rPr>
                <w:rStyle w:val="Hyperlink"/>
                <w:noProof/>
              </w:rPr>
              <w:t>Difference between both projects</w:t>
            </w:r>
            <w:r w:rsidR="00F924DF">
              <w:rPr>
                <w:noProof/>
                <w:webHidden/>
              </w:rPr>
              <w:tab/>
            </w:r>
            <w:r w:rsidR="00F924DF">
              <w:rPr>
                <w:noProof/>
                <w:webHidden/>
              </w:rPr>
              <w:fldChar w:fldCharType="begin"/>
            </w:r>
            <w:r w:rsidR="00F924DF">
              <w:rPr>
                <w:noProof/>
                <w:webHidden/>
              </w:rPr>
              <w:instrText xml:space="preserve"> PAGEREF _Toc81416005 \h </w:instrText>
            </w:r>
            <w:r w:rsidR="00F924DF">
              <w:rPr>
                <w:noProof/>
                <w:webHidden/>
              </w:rPr>
            </w:r>
            <w:r w:rsidR="00F924DF">
              <w:rPr>
                <w:noProof/>
                <w:webHidden/>
              </w:rPr>
              <w:fldChar w:fldCharType="separate"/>
            </w:r>
            <w:r w:rsidR="00F924DF">
              <w:rPr>
                <w:noProof/>
                <w:webHidden/>
              </w:rPr>
              <w:t>3</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6" w:history="1">
            <w:r w:rsidR="00F924DF" w:rsidRPr="002C5C7C">
              <w:rPr>
                <w:rStyle w:val="Hyperlink"/>
                <w:noProof/>
              </w:rPr>
              <w:t>What differences effective communication, active stakeholders’ participation, and inclusion can make in community engagement.</w:t>
            </w:r>
            <w:r w:rsidR="00F924DF">
              <w:rPr>
                <w:noProof/>
                <w:webHidden/>
              </w:rPr>
              <w:tab/>
            </w:r>
            <w:r w:rsidR="00F924DF">
              <w:rPr>
                <w:noProof/>
                <w:webHidden/>
              </w:rPr>
              <w:fldChar w:fldCharType="begin"/>
            </w:r>
            <w:r w:rsidR="00F924DF">
              <w:rPr>
                <w:noProof/>
                <w:webHidden/>
              </w:rPr>
              <w:instrText xml:space="preserve"> PAGEREF _Toc81416006 \h </w:instrText>
            </w:r>
            <w:r w:rsidR="00F924DF">
              <w:rPr>
                <w:noProof/>
                <w:webHidden/>
              </w:rPr>
            </w:r>
            <w:r w:rsidR="00F924DF">
              <w:rPr>
                <w:noProof/>
                <w:webHidden/>
              </w:rPr>
              <w:fldChar w:fldCharType="separate"/>
            </w:r>
            <w:r w:rsidR="00F924DF">
              <w:rPr>
                <w:noProof/>
                <w:webHidden/>
              </w:rPr>
              <w:t>4</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7" w:history="1">
            <w:r w:rsidR="00F924DF" w:rsidRPr="002C5C7C">
              <w:rPr>
                <w:rStyle w:val="Hyperlink"/>
                <w:noProof/>
              </w:rPr>
              <w:t>Community mapping</w:t>
            </w:r>
            <w:r w:rsidR="00F924DF">
              <w:rPr>
                <w:noProof/>
                <w:webHidden/>
              </w:rPr>
              <w:tab/>
            </w:r>
            <w:r w:rsidR="00F924DF">
              <w:rPr>
                <w:noProof/>
                <w:webHidden/>
              </w:rPr>
              <w:fldChar w:fldCharType="begin"/>
            </w:r>
            <w:r w:rsidR="00F924DF">
              <w:rPr>
                <w:noProof/>
                <w:webHidden/>
              </w:rPr>
              <w:instrText xml:space="preserve"> PAGEREF _Toc81416007 \h </w:instrText>
            </w:r>
            <w:r w:rsidR="00F924DF">
              <w:rPr>
                <w:noProof/>
                <w:webHidden/>
              </w:rPr>
            </w:r>
            <w:r w:rsidR="00F924DF">
              <w:rPr>
                <w:noProof/>
                <w:webHidden/>
              </w:rPr>
              <w:fldChar w:fldCharType="separate"/>
            </w:r>
            <w:r w:rsidR="00F924DF">
              <w:rPr>
                <w:noProof/>
                <w:webHidden/>
              </w:rPr>
              <w:t>5</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8" w:history="1">
            <w:r w:rsidR="00F924DF" w:rsidRPr="002C5C7C">
              <w:rPr>
                <w:rStyle w:val="Hyperlink"/>
                <w:noProof/>
              </w:rPr>
              <w:t>Research for community and advertisement</w:t>
            </w:r>
            <w:r w:rsidR="00F924DF">
              <w:rPr>
                <w:noProof/>
                <w:webHidden/>
              </w:rPr>
              <w:tab/>
            </w:r>
            <w:r w:rsidR="00F924DF">
              <w:rPr>
                <w:noProof/>
                <w:webHidden/>
              </w:rPr>
              <w:fldChar w:fldCharType="begin"/>
            </w:r>
            <w:r w:rsidR="00F924DF">
              <w:rPr>
                <w:noProof/>
                <w:webHidden/>
              </w:rPr>
              <w:instrText xml:space="preserve"> PAGEREF _Toc81416008 \h </w:instrText>
            </w:r>
            <w:r w:rsidR="00F924DF">
              <w:rPr>
                <w:noProof/>
                <w:webHidden/>
              </w:rPr>
            </w:r>
            <w:r w:rsidR="00F924DF">
              <w:rPr>
                <w:noProof/>
                <w:webHidden/>
              </w:rPr>
              <w:fldChar w:fldCharType="separate"/>
            </w:r>
            <w:r w:rsidR="00F924DF">
              <w:rPr>
                <w:noProof/>
                <w:webHidden/>
              </w:rPr>
              <w:t>5</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09" w:history="1">
            <w:r w:rsidR="00F924DF" w:rsidRPr="002C5C7C">
              <w:rPr>
                <w:rStyle w:val="Hyperlink"/>
                <w:noProof/>
              </w:rPr>
              <w:t>Justification of approach and practice</w:t>
            </w:r>
            <w:r w:rsidR="00F924DF">
              <w:rPr>
                <w:noProof/>
                <w:webHidden/>
              </w:rPr>
              <w:tab/>
            </w:r>
            <w:r w:rsidR="00F924DF">
              <w:rPr>
                <w:noProof/>
                <w:webHidden/>
              </w:rPr>
              <w:fldChar w:fldCharType="begin"/>
            </w:r>
            <w:r w:rsidR="00F924DF">
              <w:rPr>
                <w:noProof/>
                <w:webHidden/>
              </w:rPr>
              <w:instrText xml:space="preserve"> PAGEREF _Toc81416009 \h </w:instrText>
            </w:r>
            <w:r w:rsidR="00F924DF">
              <w:rPr>
                <w:noProof/>
                <w:webHidden/>
              </w:rPr>
            </w:r>
            <w:r w:rsidR="00F924DF">
              <w:rPr>
                <w:noProof/>
                <w:webHidden/>
              </w:rPr>
              <w:fldChar w:fldCharType="separate"/>
            </w:r>
            <w:r w:rsidR="00F924DF">
              <w:rPr>
                <w:noProof/>
                <w:webHidden/>
              </w:rPr>
              <w:t>6</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10" w:history="1">
            <w:r w:rsidR="00F924DF" w:rsidRPr="002C5C7C">
              <w:rPr>
                <w:rStyle w:val="Hyperlink"/>
                <w:noProof/>
              </w:rPr>
              <w:t>Conclusion</w:t>
            </w:r>
            <w:r w:rsidR="00F924DF">
              <w:rPr>
                <w:noProof/>
                <w:webHidden/>
              </w:rPr>
              <w:tab/>
            </w:r>
            <w:r w:rsidR="00F924DF">
              <w:rPr>
                <w:noProof/>
                <w:webHidden/>
              </w:rPr>
              <w:fldChar w:fldCharType="begin"/>
            </w:r>
            <w:r w:rsidR="00F924DF">
              <w:rPr>
                <w:noProof/>
                <w:webHidden/>
              </w:rPr>
              <w:instrText xml:space="preserve"> PAGEREF _Toc81416010 \h </w:instrText>
            </w:r>
            <w:r w:rsidR="00F924DF">
              <w:rPr>
                <w:noProof/>
                <w:webHidden/>
              </w:rPr>
            </w:r>
            <w:r w:rsidR="00F924DF">
              <w:rPr>
                <w:noProof/>
                <w:webHidden/>
              </w:rPr>
              <w:fldChar w:fldCharType="separate"/>
            </w:r>
            <w:r w:rsidR="00F924DF">
              <w:rPr>
                <w:noProof/>
                <w:webHidden/>
              </w:rPr>
              <w:t>6</w:t>
            </w:r>
            <w:r w:rsidR="00F924DF">
              <w:rPr>
                <w:noProof/>
                <w:webHidden/>
              </w:rPr>
              <w:fldChar w:fldCharType="end"/>
            </w:r>
          </w:hyperlink>
        </w:p>
        <w:p w:rsidR="00F924DF" w:rsidRDefault="00E828FC">
          <w:pPr>
            <w:pStyle w:val="TOC1"/>
            <w:tabs>
              <w:tab w:val="right" w:leader="dot" w:pos="9350"/>
            </w:tabs>
            <w:rPr>
              <w:rFonts w:asciiTheme="minorHAnsi" w:eastAsiaTheme="minorEastAsia" w:hAnsiTheme="minorHAnsi"/>
              <w:noProof/>
              <w:sz w:val="22"/>
            </w:rPr>
          </w:pPr>
          <w:hyperlink w:anchor="_Toc81416011" w:history="1">
            <w:r w:rsidR="00F924DF" w:rsidRPr="002C5C7C">
              <w:rPr>
                <w:rStyle w:val="Hyperlink"/>
                <w:noProof/>
              </w:rPr>
              <w:t>References</w:t>
            </w:r>
            <w:r w:rsidR="00F924DF">
              <w:rPr>
                <w:noProof/>
                <w:webHidden/>
              </w:rPr>
              <w:tab/>
            </w:r>
            <w:r w:rsidR="00F924DF">
              <w:rPr>
                <w:noProof/>
                <w:webHidden/>
              </w:rPr>
              <w:fldChar w:fldCharType="begin"/>
            </w:r>
            <w:r w:rsidR="00F924DF">
              <w:rPr>
                <w:noProof/>
                <w:webHidden/>
              </w:rPr>
              <w:instrText xml:space="preserve"> PAGEREF _Toc81416011 \h </w:instrText>
            </w:r>
            <w:r w:rsidR="00F924DF">
              <w:rPr>
                <w:noProof/>
                <w:webHidden/>
              </w:rPr>
            </w:r>
            <w:r w:rsidR="00F924DF">
              <w:rPr>
                <w:noProof/>
                <w:webHidden/>
              </w:rPr>
              <w:fldChar w:fldCharType="separate"/>
            </w:r>
            <w:r w:rsidR="00F924DF">
              <w:rPr>
                <w:noProof/>
                <w:webHidden/>
              </w:rPr>
              <w:t>8</w:t>
            </w:r>
            <w:r w:rsidR="00F924DF">
              <w:rPr>
                <w:noProof/>
                <w:webHidden/>
              </w:rPr>
              <w:fldChar w:fldCharType="end"/>
            </w:r>
          </w:hyperlink>
        </w:p>
        <w:p w:rsidR="006972DD" w:rsidRDefault="00116FDF">
          <w:r>
            <w:fldChar w:fldCharType="end"/>
          </w:r>
        </w:p>
      </w:sdtContent>
    </w:sdt>
    <w:p w:rsidR="006972DD" w:rsidRDefault="00186E97">
      <w:pPr>
        <w:spacing w:line="276" w:lineRule="auto"/>
        <w:jc w:val="left"/>
        <w:rPr>
          <w:rFonts w:eastAsiaTheme="majorEastAsia" w:cstheme="majorBidi"/>
          <w:b/>
          <w:bCs/>
          <w:sz w:val="28"/>
          <w:szCs w:val="28"/>
        </w:rPr>
      </w:pPr>
      <w:r>
        <w:br w:type="page"/>
      </w:r>
    </w:p>
    <w:p w:rsidR="001662EE" w:rsidRDefault="00186E97" w:rsidP="006B7AB1">
      <w:pPr>
        <w:pStyle w:val="Heading1"/>
      </w:pPr>
      <w:bookmarkStart w:id="0" w:name="_Toc81416003"/>
      <w:r>
        <w:t>Introduction</w:t>
      </w:r>
      <w:bookmarkEnd w:id="0"/>
      <w:r>
        <w:t xml:space="preserve"> </w:t>
      </w:r>
    </w:p>
    <w:p w:rsidR="00D90FAC" w:rsidRDefault="00186E97" w:rsidP="00D90FAC">
      <w:r>
        <w:t xml:space="preserve">UK regime considers as one of the developed countries with cultural and social norms that also has several political controversial issues regarding colonial freedom. The impacts of such governmental disputes and instability create issues even in the community as well as the lifestyle of people. Apart from the UK government, different NGOs are there working in social modification and rectifications. Most specifically, the associations are focusing on Women's rights, child act, and child labor along with adult reformations to reduce narcotic consumption. At the same time, the government along with the different private and social NGOs helps to preserve culture and old aged people for better social reconstructions. The paper aims to discuss a social campaign that has been undertaken by UK health care NGOs for securing adults' life norms and to increase young engagement in social aspects. Moreover, the entire research study consists of two different segments, whereas the first one has overshadowed a social campaign and will be contradicted as per their motto and action point of view. </w:t>
      </w:r>
    </w:p>
    <w:p w:rsidR="00D90FAC" w:rsidRPr="007336EC" w:rsidRDefault="00186E97" w:rsidP="00D90FAC">
      <w:r>
        <w:t xml:space="preserve">In that present section, the project that has been mentioned will be assessed along with the mapping style, research methods, and another working style that has justified its approach. Most importantly, the justification and differentiation may highlight in a different section of the research for better evaluation and understanding. </w:t>
      </w:r>
    </w:p>
    <w:p w:rsidR="00C20C05" w:rsidRDefault="00186E97" w:rsidP="006B7AB1">
      <w:pPr>
        <w:pStyle w:val="Heading1"/>
      </w:pPr>
      <w:bookmarkStart w:id="1" w:name="_Toc81416004"/>
      <w:r>
        <w:t>Project overview</w:t>
      </w:r>
      <w:bookmarkEnd w:id="1"/>
      <w:r>
        <w:t xml:space="preserve"> </w:t>
      </w:r>
    </w:p>
    <w:p w:rsidR="00061B90" w:rsidRDefault="00186E97" w:rsidP="00061B90">
      <w:r>
        <w:t>In pre-Covid and post-Covid situations the working culture and style have undergoes several effective changes. In that particular time also has affected the labor market of UK and world across whereas the demand ratio of the employee as per sector has imbalanced. The major crisis of employment has overshadowed the health care sector and nursing sectors along with such different social awareness programs</w:t>
      </w:r>
      <w:r w:rsidR="00834556">
        <w:t xml:space="preserve"> (</w:t>
      </w:r>
      <w:r w:rsidR="00834556" w:rsidRPr="008017AA">
        <w:t>Johnson</w:t>
      </w:r>
      <w:r w:rsidR="00834556">
        <w:t xml:space="preserve"> </w:t>
      </w:r>
      <w:r w:rsidR="00834556" w:rsidRPr="008017AA">
        <w:t>Rubery</w:t>
      </w:r>
      <w:r w:rsidR="00834556">
        <w:t xml:space="preserve"> </w:t>
      </w:r>
      <w:r w:rsidR="00834556" w:rsidRPr="008017AA">
        <w:t>and Egan</w:t>
      </w:r>
      <w:r w:rsidR="00834556">
        <w:t xml:space="preserve"> </w:t>
      </w:r>
      <w:r w:rsidR="00834556" w:rsidRPr="008017AA">
        <w:t>2021</w:t>
      </w:r>
      <w:r w:rsidR="00834556">
        <w:t>)</w:t>
      </w:r>
      <w:r>
        <w:t>. Thus, considering the Covid situation, “</w:t>
      </w:r>
      <w:r w:rsidRPr="00E20355">
        <w:t>Health and Social Care Secretary</w:t>
      </w:r>
      <w:r>
        <w:t>”</w:t>
      </w:r>
      <w:r w:rsidRPr="00E20355">
        <w:t xml:space="preserve"> Matt Hancock </w:t>
      </w:r>
      <w:r>
        <w:t>associating with</w:t>
      </w:r>
      <w:r w:rsidRPr="00E20355">
        <w:t xml:space="preserve"> </w:t>
      </w:r>
      <w:r>
        <w:t>“</w:t>
      </w:r>
      <w:r w:rsidRPr="00E20355">
        <w:t>Care Minister</w:t>
      </w:r>
      <w:r>
        <w:t>”</w:t>
      </w:r>
      <w:r w:rsidRPr="00E20355">
        <w:t xml:space="preserve"> Helen Whately </w:t>
      </w:r>
      <w:r>
        <w:t xml:space="preserve">have been launched a national adult social care campaign. The campaign majorly focused to increase the density of the social workforce and engaging young stars zeal in their working environment. Before time, the UK government once undertakes a plan regarding the wider staff recruitment in social health care service that can have better execution on that particular situation. Therefore, the government started to motivate such young aged people to join and work accordingly for better social practice. </w:t>
      </w:r>
    </w:p>
    <w:p w:rsidR="00545019" w:rsidRDefault="00545019" w:rsidP="00926542">
      <w:pPr>
        <w:pStyle w:val="Heading1"/>
      </w:pPr>
      <w:bookmarkStart w:id="2" w:name="_Toc81416005"/>
      <w:r w:rsidRPr="00545019">
        <w:t>Difference between both projects</w:t>
      </w:r>
      <w:bookmarkEnd w:id="2"/>
    </w:p>
    <w:p w:rsidR="00041E1E" w:rsidRDefault="00186E97" w:rsidP="00041E1E">
      <w:r>
        <w:t>The selected organization under projects 1 and 2 has a differentiated approach when bringing in comparison with their overall operation. Moreover, the selected organization under project 1 is the UK-based NGO Fawcett Society. However, the respective organization gives important emphasis in the area of both Childcare and Women's development</w:t>
      </w:r>
      <w:r w:rsidR="00A977E1">
        <w:t xml:space="preserve"> (</w:t>
      </w:r>
      <w:r w:rsidR="00A977E1" w:rsidRPr="008017AA">
        <w:t>Williams</w:t>
      </w:r>
      <w:r w:rsidR="00A977E1">
        <w:t xml:space="preserve"> </w:t>
      </w:r>
      <w:r w:rsidR="00A977E1" w:rsidRPr="008017AA">
        <w:t>2020</w:t>
      </w:r>
      <w:r w:rsidR="00A977E1">
        <w:t>)</w:t>
      </w:r>
      <w:r>
        <w:t xml:space="preserve">. On the contrary, the major objective of the organization is associated with the system of launching programs for equality development among the women population. Besides this, the organization operates under the commission of the UK government that controls and manages its overall functioning. At their initial stage, Fawcett gave important focus in the area of introducing programs along with other advanced approaches against sexual harassment on girls and women. </w:t>
      </w:r>
      <w:r w:rsidR="000E238C">
        <w:t xml:space="preserve">On the other hand, Fawcett has also fought against the system of women inequality existing within the internal market of the United Kingdom. </w:t>
      </w:r>
    </w:p>
    <w:p w:rsidR="00D22F96" w:rsidRDefault="00186E97" w:rsidP="00041E1E">
      <w:r>
        <w:t>According to both operational and functional aspects associated with the organization Fawcett, their major stakeholders are the women residing in the UK kingdom. The main reason is that their complete function is based on the system of launching a strategic approach for women engagement, women empowerment along with preventing any mode of inequalities among the women population in the UK. However, during the year 1907 Fawcett have launched a campaign for the part of eradicating sexual harassment in the UK</w:t>
      </w:r>
      <w:r w:rsidR="00A977E1">
        <w:t xml:space="preserve"> (</w:t>
      </w:r>
      <w:r w:rsidR="00A977E1" w:rsidRPr="008017AA">
        <w:t>Renjith</w:t>
      </w:r>
      <w:r w:rsidR="00A977E1">
        <w:t xml:space="preserve"> </w:t>
      </w:r>
      <w:r w:rsidR="00A977E1" w:rsidRPr="008017AA">
        <w:t>and Tawash</w:t>
      </w:r>
      <w:r w:rsidR="00A977E1">
        <w:t xml:space="preserve"> </w:t>
      </w:r>
      <w:r w:rsidR="00A977E1" w:rsidRPr="008017AA">
        <w:t>2021</w:t>
      </w:r>
      <w:r w:rsidR="00A977E1">
        <w:t>)</w:t>
      </w:r>
      <w:r>
        <w:t xml:space="preserve">. On the other hand, within the respective segment, their important emphasis was associated with the system of identifying the reason the male workers refused to operate within the female workers. During the respective point of time, the major complication faced by the UK population was associated with the system of gender discrimination in the region. </w:t>
      </w:r>
    </w:p>
    <w:p w:rsidR="000E238C" w:rsidRDefault="00186E97" w:rsidP="00041E1E">
      <w:r>
        <w:t xml:space="preserve">Moreover, for the part of controlling the same in the current and future perspectives, Fawcett has introduced workplace campaigns </w:t>
      </w:r>
      <w:r w:rsidR="00D22F96">
        <w:t xml:space="preserve">that offered a strong system of support for the female workers within the internal market of the UK. </w:t>
      </w:r>
      <w:r w:rsidR="00702C90">
        <w:t>On the other hand, the organization has also launched other campaigns like the MeToo movement</w:t>
      </w:r>
      <w:r w:rsidR="00F26799">
        <w:t xml:space="preserve"> (</w:t>
      </w:r>
      <w:r w:rsidR="00F26799" w:rsidRPr="008017AA">
        <w:t>Ogan</w:t>
      </w:r>
      <w:r w:rsidR="00F26799">
        <w:t xml:space="preserve"> </w:t>
      </w:r>
      <w:r w:rsidR="00F26799" w:rsidRPr="008017AA">
        <w:t>and Baş</w:t>
      </w:r>
      <w:r w:rsidR="00F26799">
        <w:t xml:space="preserve"> </w:t>
      </w:r>
      <w:r w:rsidR="00F26799" w:rsidRPr="008017AA">
        <w:t>2020</w:t>
      </w:r>
      <w:r w:rsidR="00F26799">
        <w:t>)</w:t>
      </w:r>
      <w:r w:rsidR="00702C90">
        <w:t>. It gave important focus in the area of preventing women harassment along with launching other regulatory campaigns for the part of eradication the issue completely. Moreover, under this, numerous social media campaigns were started for spreading awareness regarding the complication of sexual harassment spread within the nation. It has played an important role in controlling the problem within the UK for the upcoming times.</w:t>
      </w:r>
    </w:p>
    <w:p w:rsidR="00545019" w:rsidRDefault="00545019" w:rsidP="00926542">
      <w:pPr>
        <w:pStyle w:val="Heading1"/>
      </w:pPr>
      <w:bookmarkStart w:id="3" w:name="_Toc81416006"/>
      <w:r>
        <w:t>What differences effective communication, active stakeholders’ participation, and inclusion</w:t>
      </w:r>
      <w:r w:rsidR="00926542">
        <w:t xml:space="preserve"> </w:t>
      </w:r>
      <w:r>
        <w:t>can make in community engagement.</w:t>
      </w:r>
      <w:bookmarkEnd w:id="3"/>
    </w:p>
    <w:p w:rsidR="00702C90" w:rsidRDefault="00186E97" w:rsidP="00041E1E">
      <w:r>
        <w:t>In this, when bringing in comparison with project 1, project 2 has adopted a unique and differentiated approach from the launched campaigns in the UK. Moreover, the name of the campaign is CARE FOR OTHERS</w:t>
      </w:r>
      <w:r w:rsidR="00244B95">
        <w:t>. However, the main objective of the campaign is to offer a strong system of support for the people present under the social care sector</w:t>
      </w:r>
      <w:r w:rsidR="009A3A43">
        <w:t xml:space="preserve"> (</w:t>
      </w:r>
      <w:r w:rsidR="009A3A43" w:rsidRPr="008017AA">
        <w:t>Harmer</w:t>
      </w:r>
      <w:r w:rsidR="009A3A43">
        <w:t xml:space="preserve"> and Southern </w:t>
      </w:r>
      <w:r w:rsidR="009A3A43" w:rsidRPr="008017AA">
        <w:t>2020</w:t>
      </w:r>
      <w:r w:rsidR="009A3A43">
        <w:t>)</w:t>
      </w:r>
      <w:r w:rsidR="00244B95">
        <w:t>. On the contrary, it has played a vital role in the area of offering a better system of support for the social care workers within the UK region during the time of pandemic</w:t>
      </w:r>
      <w:r w:rsidR="005A1DAE">
        <w:t xml:space="preserve"> (</w:t>
      </w:r>
      <w:r w:rsidR="005A1DAE" w:rsidRPr="008017AA">
        <w:t>Wills</w:t>
      </w:r>
      <w:r w:rsidR="005A1DAE">
        <w:t xml:space="preserve"> </w:t>
      </w:r>
      <w:r w:rsidR="005A1DAE" w:rsidRPr="008017AA">
        <w:t>Hancock</w:t>
      </w:r>
      <w:r w:rsidR="005A1DAE">
        <w:t xml:space="preserve"> and Nuttall </w:t>
      </w:r>
      <w:r w:rsidR="005A1DAE" w:rsidRPr="008017AA">
        <w:t>2020</w:t>
      </w:r>
      <w:r w:rsidR="005A1DAE">
        <w:t>)</w:t>
      </w:r>
      <w:r w:rsidR="00244B95">
        <w:t>. On the other hand, it also offered long-term opportunities for the population working in care. For the upcoming times, the core objective of the organization is to launch and develop a strong system of training and development programs for the part of implementing the system in the near future. Moreover, within the respective segment, their core initiative is to inspire the public along with offering and launching a strong system of opportunities in the area of childcare.</w:t>
      </w:r>
    </w:p>
    <w:p w:rsidR="007277DD" w:rsidRDefault="00186E97" w:rsidP="00592C8D">
      <w:r>
        <w:t>However, within the complete process, the respective campaign includes the system of new Care brand introduced for the system of social care</w:t>
      </w:r>
      <w:r w:rsidR="00F52F7E">
        <w:t xml:space="preserve">. Moreover, the respective system gave important emphasis in the area of the care profession. On the other hand, when bringing in comparison with the strategic approach launched by both project 1 and project 2 the objective of the </w:t>
      </w:r>
      <w:r w:rsidR="00592C8D">
        <w:t>project illustrate a different approach in the market of the UK. Though both the launched campaigns have played a vital role in the market project 2 was considered to be effective as it has played a competitive part during the time of pandemic</w:t>
      </w:r>
      <w:r w:rsidR="000816BA">
        <w:t xml:space="preserve"> (</w:t>
      </w:r>
      <w:r w:rsidR="000816BA" w:rsidRPr="008017AA">
        <w:t>Zaloznaya</w:t>
      </w:r>
      <w:r w:rsidR="000816BA">
        <w:t xml:space="preserve"> </w:t>
      </w:r>
      <w:r w:rsidR="000816BA" w:rsidRPr="008017AA">
        <w:t>and Gerber</w:t>
      </w:r>
      <w:r w:rsidR="000816BA">
        <w:t xml:space="preserve"> </w:t>
      </w:r>
      <w:r w:rsidR="000816BA" w:rsidRPr="008017AA">
        <w:t>2021</w:t>
      </w:r>
      <w:r w:rsidR="000816BA">
        <w:t>)</w:t>
      </w:r>
      <w:r w:rsidR="00592C8D">
        <w:t xml:space="preserve">. The beneficial part for the same included the system of offering an adequate mode of e-learning courses along with availing webinars for the local authorities and other staff associated with the care-providing communities. </w:t>
      </w:r>
    </w:p>
    <w:p w:rsidR="00592C8D" w:rsidRPr="007277DD" w:rsidRDefault="00186E97" w:rsidP="00592C8D">
      <w:r>
        <w:t>Some of the launched strategies within the respective segment included the system of introducing person-centered care units, the Mental Capacity Act along launching supporting care programs for the part of reducing and managing the pressure of NHS workers.</w:t>
      </w:r>
      <w:r w:rsidR="007277DD">
        <w:t xml:space="preserve"> </w:t>
      </w:r>
      <w:r>
        <w:t>Project 1 included the application of existing strategies and approaches during the time of initiating suitable plans during the time of pandemic</w:t>
      </w:r>
      <w:r w:rsidR="007E3A75">
        <w:t xml:space="preserve"> (</w:t>
      </w:r>
      <w:r w:rsidR="007E3A75" w:rsidRPr="008017AA">
        <w:t>Kavanagh</w:t>
      </w:r>
      <w:r w:rsidR="007E3A75">
        <w:t xml:space="preserve"> </w:t>
      </w:r>
      <w:r w:rsidR="007E3A75" w:rsidRPr="008017AA">
        <w:t>2021</w:t>
      </w:r>
      <w:r w:rsidR="007E3A75">
        <w:t>)</w:t>
      </w:r>
      <w:r>
        <w:t xml:space="preserve">. On the other hand, project 2 major </w:t>
      </w:r>
      <w:r w:rsidR="007277DD">
        <w:t>focuses</w:t>
      </w:r>
      <w:r>
        <w:t xml:space="preserve"> on highlighting innovative ideas for the part of controlling and managing the complications during the time of the pandemic. </w:t>
      </w:r>
      <w:r w:rsidR="007277DD">
        <w:t xml:space="preserve">Through both, the campaigns have played a vital and essential part in the market of UK project 2 is considered to be effective and sustainable under the current condition. </w:t>
      </w:r>
    </w:p>
    <w:p w:rsidR="00545019" w:rsidRDefault="00545019" w:rsidP="00926542">
      <w:pPr>
        <w:pStyle w:val="Heading1"/>
      </w:pPr>
      <w:bookmarkStart w:id="4" w:name="_Toc81416007"/>
      <w:r w:rsidRPr="00545019">
        <w:t>Community mapping</w:t>
      </w:r>
      <w:bookmarkEnd w:id="4"/>
    </w:p>
    <w:p w:rsidR="00BC682A" w:rsidRDefault="00186E97" w:rsidP="00BC682A">
      <w:r>
        <w:t>The project has as well as the board of campaign has mapped their community plan through targeting an audience or a particular group of people to make their project execution perfect and successful. Moreover, with the survey process, the organization targeted the 20-39 age groups as their audience for joining the campaigns and work forwardly. Social care makes the real values as their agenda to inspire young talents and efforts in their campaign</w:t>
      </w:r>
      <w:r w:rsidR="00F26799">
        <w:t xml:space="preserve"> (</w:t>
      </w:r>
      <w:r w:rsidR="00F26799" w:rsidRPr="008017AA">
        <w:t>Daly</w:t>
      </w:r>
      <w:r w:rsidR="00F26799">
        <w:t xml:space="preserve"> </w:t>
      </w:r>
      <w:r w:rsidR="00F26799" w:rsidRPr="008017AA">
        <w:t>2020</w:t>
      </w:r>
      <w:r w:rsidR="00F26799">
        <w:t>)</w:t>
      </w:r>
      <w:r>
        <w:t xml:space="preserve">. As per the statement of CEO, Oonagh the people are invited and trained according to their social and moral ethics to attain their social commitments. On the other hand, during the time of mapping the actual community service, the organizers consider the unemployment ratio for better advertisement. </w:t>
      </w:r>
    </w:p>
    <w:p w:rsidR="00545019" w:rsidRDefault="00545019" w:rsidP="00926542">
      <w:pPr>
        <w:pStyle w:val="Heading1"/>
      </w:pPr>
      <w:bookmarkStart w:id="5" w:name="_Toc81416008"/>
      <w:r>
        <w:t>Research for community and advertisement</w:t>
      </w:r>
      <w:bookmarkEnd w:id="5"/>
      <w:r>
        <w:t xml:space="preserve"> </w:t>
      </w:r>
    </w:p>
    <w:p w:rsidR="00BC682A" w:rsidRDefault="00186E97" w:rsidP="00BC682A">
      <w:r>
        <w:t>In fact, the advertising strategy that it has followed is enough manipulating and strong to boost the vision and objectives of the campaign. The most effective part of the campaign is the slogan; the directors are used to advertise their actions. The slogan it using for the practice is; "</w:t>
      </w:r>
      <w:r w:rsidRPr="00025F0B">
        <w:t>Care for others. Make a difference</w:t>
      </w:r>
      <w:r>
        <w:t>". The major aspect of the content is using through highlighting the condition of post covid. Moreover, at the same time, the authority is using social media for covering a wide area and to get more target customers for their social campaign. In fact, in that part of practice the social health care is using film content to get more attractive</w:t>
      </w:r>
      <w:r w:rsidR="00F26799">
        <w:t xml:space="preserve"> (Fresnillo Sallan </w:t>
      </w:r>
      <w:r w:rsidR="00F26799" w:rsidRPr="008017AA">
        <w:t>2020</w:t>
      </w:r>
      <w:r w:rsidR="00F26799">
        <w:t>)</w:t>
      </w:r>
      <w:r>
        <w:t xml:space="preserve">. </w:t>
      </w:r>
    </w:p>
    <w:p w:rsidR="00545019" w:rsidRDefault="00545019" w:rsidP="00926542">
      <w:pPr>
        <w:pStyle w:val="Heading1"/>
      </w:pPr>
      <w:bookmarkStart w:id="6" w:name="_Toc81416009"/>
      <w:r>
        <w:t>Justification of approach and practice</w:t>
      </w:r>
      <w:bookmarkEnd w:id="6"/>
      <w:r>
        <w:t xml:space="preserve"> </w:t>
      </w:r>
    </w:p>
    <w:p w:rsidR="00545019" w:rsidRDefault="006A7CE3" w:rsidP="00545019">
      <w:r>
        <w:t>The primary objective of the program is</w:t>
      </w:r>
      <w:r w:rsidR="00545019">
        <w:t xml:space="preserve"> not only to promote their campaign or to get an audience but also for building a strong stakeholder base such advertisement campaigns are going on. It is understandable that when bringing in comparison with both the projects in UK project 2 is effective and competitive. The main reason is that it has given the important emphasis on the factor of new ideas and development initiatives for the part of making the strategy advanced in the near future.</w:t>
      </w:r>
      <w:r w:rsidR="00926542">
        <w:t xml:space="preserve"> </w:t>
      </w:r>
    </w:p>
    <w:p w:rsidR="00926542" w:rsidRPr="00D90FAC" w:rsidRDefault="00926542" w:rsidP="00926542">
      <w:r>
        <w:t>The plan or campaign is supposed to cover a wide range of areas across the UK, rather primarily focused in England. The organizational directors occasionally launch their campaign with the board of management to get people their actual values. The campaign during the time uses the NHS logo for better and professional attributes (</w:t>
      </w:r>
      <w:r w:rsidRPr="008017AA">
        <w:t>Baginsky</w:t>
      </w:r>
      <w:r>
        <w:t xml:space="preserve"> </w:t>
      </w:r>
      <w:r w:rsidRPr="008017AA">
        <w:t>and Manthorpe</w:t>
      </w:r>
      <w:r>
        <w:t xml:space="preserve"> </w:t>
      </w:r>
      <w:r w:rsidRPr="008017AA">
        <w:t>2021</w:t>
      </w:r>
      <w:r>
        <w:t>). Unlike, the other campaigns the health board not only target audience for attaining the campaign rather it has targeted the audience for participating in different health care activity as social manpower. The board used to direct their existing workers too for moving their actions accordingly and to manage the action of campaigns. Apart from this, the campaigns are using different film content and social media resources to get more workers and to help people to recognize their working criteria. Most importantly, the campaigns work to hire social workers in terms of the vaccination process and spreading of awareness.</w:t>
      </w:r>
    </w:p>
    <w:p w:rsidR="00C20C05" w:rsidRDefault="00186E97" w:rsidP="006B7AB1">
      <w:pPr>
        <w:pStyle w:val="Heading1"/>
      </w:pPr>
      <w:bookmarkStart w:id="7" w:name="_Toc81416010"/>
      <w:r>
        <w:t>Conclusion</w:t>
      </w:r>
      <w:bookmarkEnd w:id="7"/>
    </w:p>
    <w:p w:rsidR="00F51F82" w:rsidRDefault="00186E97" w:rsidP="00F51F82">
      <w:r>
        <w:t>It can be concluded that project 1 is the UK-based NGO Fawcett Society. On the contrary, the respective organization gives important emphasis in the area of both Childcare and Women's development. Moreover, the main reason is that their complete function is based on the system of launching a strategic approach for women engagement, women empowerment along with preventing any mode of inequalities among the women population in the UK. On the other hand, for the part of controlling the same in the current and future perspectives, Fawcett has introduced workplace campaigns that offered a strong system of support for the female workers within the internal market of the UK.</w:t>
      </w:r>
      <w:r w:rsidR="005A0AB5">
        <w:t xml:space="preserve"> However,</w:t>
      </w:r>
      <w:r>
        <w:t xml:space="preserve"> when bringing in comparison with the strategic approach launched by both project 1 and project 2 the objective of the project illustrate a different approach in the market of the UK.</w:t>
      </w:r>
      <w:r w:rsidR="005A0AB5">
        <w:t xml:space="preserve"> Besides this,</w:t>
      </w:r>
      <w:r>
        <w:t xml:space="preserve"> it has played a vital role in the area of offering a better system of support for the social care workers within the UK region during the time of the pandemic. </w:t>
      </w:r>
      <w:r w:rsidR="005A0AB5">
        <w:t xml:space="preserve">However, </w:t>
      </w:r>
      <w:r>
        <w:t xml:space="preserve">within the respective segment, their core initiative is to inspire the public along with offering and launching a strong system of opportunities in the area of childcare. </w:t>
      </w:r>
    </w:p>
    <w:p w:rsidR="007277DD" w:rsidRPr="007277DD" w:rsidRDefault="00186E97" w:rsidP="00F51F82">
      <w:r>
        <w:t>Furthermore, both the launched campaigns have played a vital role in the market project 2 was considered to be effective as it has played a competitive part during the time of the pandemic. On the contrary, it gave important focus in the area of preventing women harassment along with launching other regulatory campaigns for the part of eradication the issue completely. Besides this, within the respective segment, their important emphasis was associated with the system of identifying the reason the male workers refused to operate within the female workers. Understandably, both the campaigns have played an essential part in the market of the UK. However</w:t>
      </w:r>
      <w:r w:rsidR="00F51F82">
        <w:t>, project</w:t>
      </w:r>
      <w:r>
        <w:t xml:space="preserve"> 2 is considered to be effective under the current condition when bringing in comparison with project 1. </w:t>
      </w:r>
    </w:p>
    <w:p w:rsidR="0048136D" w:rsidRDefault="00186E97">
      <w:pPr>
        <w:spacing w:line="276" w:lineRule="auto"/>
        <w:jc w:val="left"/>
        <w:rPr>
          <w:rFonts w:eastAsiaTheme="majorEastAsia" w:cstheme="majorBidi"/>
          <w:b/>
          <w:bCs/>
          <w:sz w:val="28"/>
          <w:szCs w:val="28"/>
        </w:rPr>
      </w:pPr>
      <w:r>
        <w:br w:type="page"/>
      </w:r>
    </w:p>
    <w:p w:rsidR="00C20C05" w:rsidRDefault="00186E97" w:rsidP="00BA3C51">
      <w:pPr>
        <w:pStyle w:val="Heading1"/>
      </w:pPr>
      <w:bookmarkStart w:id="8" w:name="_Toc81416011"/>
      <w:r>
        <w:t>References</w:t>
      </w:r>
      <w:bookmarkEnd w:id="8"/>
      <w:r>
        <w:t xml:space="preserve"> </w:t>
      </w:r>
    </w:p>
    <w:p w:rsidR="0048136D" w:rsidRDefault="00186E97" w:rsidP="0048136D">
      <w:r w:rsidRPr="008017AA">
        <w:t>Baginsky, M. and Manthorpe, J., 2021. The impact of COVID-19 on Children’s Social Care in England. </w:t>
      </w:r>
      <w:r w:rsidRPr="008017AA">
        <w:rPr>
          <w:i/>
          <w:iCs/>
        </w:rPr>
        <w:t>Child Abuse &amp; Neglect</w:t>
      </w:r>
      <w:r w:rsidRPr="008017AA">
        <w:t>, </w:t>
      </w:r>
      <w:r w:rsidRPr="008017AA">
        <w:rPr>
          <w:i/>
          <w:iCs/>
        </w:rPr>
        <w:t>116</w:t>
      </w:r>
      <w:r w:rsidRPr="008017AA">
        <w:t>, p.104739.</w:t>
      </w:r>
    </w:p>
    <w:p w:rsidR="0048136D" w:rsidRDefault="00186E97" w:rsidP="0048136D">
      <w:r w:rsidRPr="008017AA">
        <w:t>Daly, M., 2020. COVID</w:t>
      </w:r>
      <w:r w:rsidRPr="008017AA">
        <w:rPr>
          <w:rFonts w:ascii="Cambria Math" w:hAnsi="Cambria Math" w:cs="Cambria Math"/>
        </w:rPr>
        <w:t>‐</w:t>
      </w:r>
      <w:r w:rsidRPr="008017AA">
        <w:rPr>
          <w:rFonts w:cs="Times New Roman"/>
        </w:rPr>
        <w:t>19 and care homes in England: What happened and why?. </w:t>
      </w:r>
      <w:r w:rsidRPr="008017AA">
        <w:rPr>
          <w:i/>
          <w:iCs/>
        </w:rPr>
        <w:t>Social Policy &amp; Administration</w:t>
      </w:r>
      <w:r w:rsidRPr="008017AA">
        <w:t>, </w:t>
      </w:r>
      <w:r w:rsidRPr="008017AA">
        <w:rPr>
          <w:i/>
          <w:iCs/>
        </w:rPr>
        <w:t>54</w:t>
      </w:r>
      <w:r w:rsidRPr="008017AA">
        <w:t>(7), pp.985-998.</w:t>
      </w:r>
    </w:p>
    <w:p w:rsidR="0048136D" w:rsidRDefault="00186E97" w:rsidP="0048136D">
      <w:r w:rsidRPr="008017AA">
        <w:t>Fresnillo Sallan, I., 2020. Debt and climate: Entangled emergencies derailing women’s rights and gender justice. </w:t>
      </w:r>
      <w:r w:rsidRPr="008017AA">
        <w:rPr>
          <w:i/>
          <w:iCs/>
        </w:rPr>
        <w:t>Gender &amp; Development</w:t>
      </w:r>
      <w:r w:rsidRPr="008017AA">
        <w:t>, </w:t>
      </w:r>
      <w:r w:rsidRPr="008017AA">
        <w:rPr>
          <w:i/>
          <w:iCs/>
        </w:rPr>
        <w:t>28</w:t>
      </w:r>
      <w:r w:rsidRPr="008017AA">
        <w:t>(3), pp.499-513.</w:t>
      </w:r>
    </w:p>
    <w:p w:rsidR="0048136D" w:rsidRDefault="00186E97" w:rsidP="0048136D">
      <w:r w:rsidRPr="008017AA">
        <w:t>Harmer, E. and Southern, R., 2020. ‘Girly Swots’ and the Most Diverse Parliament Ever: Women’s Representation, Voters and Issues in the 2019 Election Campaign. </w:t>
      </w:r>
      <w:r w:rsidRPr="008017AA">
        <w:rPr>
          <w:i/>
          <w:iCs/>
        </w:rPr>
        <w:t>Parliamentary Affairs</w:t>
      </w:r>
      <w:r w:rsidRPr="008017AA">
        <w:t>, </w:t>
      </w:r>
      <w:r w:rsidRPr="008017AA">
        <w:rPr>
          <w:i/>
          <w:iCs/>
        </w:rPr>
        <w:t>73</w:t>
      </w:r>
      <w:r w:rsidRPr="008017AA">
        <w:t>(Supplement_1), pp.243-258.</w:t>
      </w:r>
    </w:p>
    <w:p w:rsidR="0048136D" w:rsidRDefault="00186E97" w:rsidP="0048136D">
      <w:r w:rsidRPr="008017AA">
        <w:t>Johnson, M., Rubery, J. and Egan, M., 2021. Raising the bar? The impact of the UNISON ethical care campaign in UK domiciliary care. </w:t>
      </w:r>
      <w:r w:rsidRPr="008017AA">
        <w:rPr>
          <w:i/>
          <w:iCs/>
        </w:rPr>
        <w:t>Transfer: European Review of Labour and Research</w:t>
      </w:r>
      <w:r w:rsidRPr="008017AA">
        <w:t>, p.10242589211028460.</w:t>
      </w:r>
    </w:p>
    <w:p w:rsidR="0048136D" w:rsidRDefault="00186E97" w:rsidP="0048136D">
      <w:r w:rsidRPr="008017AA">
        <w:t xml:space="preserve">Kavanagh, A., Dickinson, H., Carey, G., Llewellyn, G., Emerson, E., Disney, G., and Hatton, C., 2021. Improving health care for disabled people in COVID-19 and beyond: lessons from Australia and England. </w:t>
      </w:r>
      <w:r w:rsidRPr="008017AA">
        <w:rPr>
          <w:i/>
          <w:iCs/>
        </w:rPr>
        <w:t>Disability and Health Journal</w:t>
      </w:r>
      <w:r w:rsidRPr="008017AA">
        <w:t>, </w:t>
      </w:r>
      <w:r w:rsidRPr="008017AA">
        <w:rPr>
          <w:i/>
          <w:iCs/>
        </w:rPr>
        <w:t>14</w:t>
      </w:r>
      <w:r w:rsidRPr="008017AA">
        <w:t>(2), p.101050.</w:t>
      </w:r>
    </w:p>
    <w:p w:rsidR="0048136D" w:rsidRDefault="00186E97" w:rsidP="0048136D">
      <w:r w:rsidRPr="008017AA">
        <w:t>Ogan, C.L. and Baş, Ö., 2020. Women’s Rights and Gender Equality in Turkey| Use of Social Media in the Struggle Surrounding Violence Against Turkish Women. </w:t>
      </w:r>
      <w:r w:rsidRPr="008017AA">
        <w:rPr>
          <w:i/>
          <w:iCs/>
        </w:rPr>
        <w:t>International Journal of Communication</w:t>
      </w:r>
      <w:r w:rsidRPr="008017AA">
        <w:t>, </w:t>
      </w:r>
      <w:r w:rsidRPr="008017AA">
        <w:rPr>
          <w:i/>
          <w:iCs/>
        </w:rPr>
        <w:t>14</w:t>
      </w:r>
      <w:r w:rsidRPr="008017AA">
        <w:t>, p.19.</w:t>
      </w:r>
    </w:p>
    <w:p w:rsidR="0048136D" w:rsidRDefault="00186E97" w:rsidP="0048136D">
      <w:r w:rsidRPr="008017AA">
        <w:t>Partain, L.P., 2021. Speaking emissaries: Lebanese women’s rights NGO KAFA and its media use for audience mobilization. </w:t>
      </w:r>
      <w:r w:rsidRPr="008017AA">
        <w:rPr>
          <w:i/>
          <w:iCs/>
        </w:rPr>
        <w:t>Gender, Place &amp; Culture</w:t>
      </w:r>
      <w:r w:rsidRPr="008017AA">
        <w:t>, </w:t>
      </w:r>
      <w:r w:rsidRPr="008017AA">
        <w:rPr>
          <w:i/>
          <w:iCs/>
        </w:rPr>
        <w:t>28</w:t>
      </w:r>
      <w:r w:rsidRPr="008017AA">
        <w:t>(2), pp.253-276.</w:t>
      </w:r>
    </w:p>
    <w:p w:rsidR="0048136D" w:rsidRDefault="00186E97" w:rsidP="0048136D">
      <w:r w:rsidRPr="008017AA">
        <w:t>Renjith, V. and Tawash, E., 2021. The International Year of the Nurse and the Midwife. Bahrain Medical Bulletin, 43(1).</w:t>
      </w:r>
    </w:p>
    <w:p w:rsidR="0048136D" w:rsidRDefault="00186E97" w:rsidP="0048136D">
      <w:r w:rsidRPr="008017AA">
        <w:t xml:space="preserve">Williams, G.A., Maier, C.B., Scarpetti, G., de Belvis, A.G., Fattore, G., Morsella, A., Pastorino, G., Poscia, A., Ricciardi, W. and Silenzi, A., 2020. What strategies are countries using to expand health workforce surge capacity? </w:t>
      </w:r>
      <w:r w:rsidRPr="008017AA">
        <w:rPr>
          <w:i/>
          <w:iCs/>
        </w:rPr>
        <w:t>TEN</w:t>
      </w:r>
      <w:r w:rsidRPr="008017AA">
        <w:t>, </w:t>
      </w:r>
      <w:r w:rsidRPr="008017AA">
        <w:rPr>
          <w:i/>
          <w:iCs/>
        </w:rPr>
        <w:t>26</w:t>
      </w:r>
      <w:r w:rsidRPr="008017AA">
        <w:t>(2), p.51.</w:t>
      </w:r>
    </w:p>
    <w:p w:rsidR="0048136D" w:rsidRDefault="00186E97" w:rsidP="0048136D">
      <w:r w:rsidRPr="008017AA">
        <w:t xml:space="preserve">Wills, J., Hancock, C., and Nuttall, M., 2020. The health of the nursing workforce. A survey of National Nurse Associations. </w:t>
      </w:r>
      <w:r w:rsidRPr="008017AA">
        <w:rPr>
          <w:i/>
          <w:iCs/>
        </w:rPr>
        <w:t>International Nursing Review</w:t>
      </w:r>
      <w:r w:rsidRPr="008017AA">
        <w:t>, </w:t>
      </w:r>
      <w:r w:rsidRPr="008017AA">
        <w:rPr>
          <w:i/>
          <w:iCs/>
        </w:rPr>
        <w:t>67</w:t>
      </w:r>
      <w:r w:rsidRPr="008017AA">
        <w:t>(2), pp.294-299.</w:t>
      </w:r>
    </w:p>
    <w:p w:rsidR="0048136D" w:rsidRDefault="00186E97" w:rsidP="0048136D">
      <w:r w:rsidRPr="008017AA">
        <w:t>Zaloznaya, M. and Gerber, T.P., 2021. Social Issues in Contemporary Russia: Women's Rights, Corruption, and Immigration Through Three Sociological Lenses. </w:t>
      </w:r>
      <w:r w:rsidRPr="008017AA">
        <w:rPr>
          <w:i/>
          <w:iCs/>
        </w:rPr>
        <w:t>Annual Review of Sociology</w:t>
      </w:r>
      <w:r w:rsidRPr="008017AA">
        <w:t>, </w:t>
      </w:r>
      <w:r w:rsidRPr="008017AA">
        <w:rPr>
          <w:i/>
          <w:iCs/>
        </w:rPr>
        <w:t>47</w:t>
      </w:r>
      <w:r w:rsidRPr="008017AA">
        <w:t>.</w:t>
      </w:r>
    </w:p>
    <w:p w:rsidR="00EB6D4A" w:rsidRPr="00EB6D4A" w:rsidRDefault="00EB6D4A" w:rsidP="00EB6D4A"/>
    <w:p w:rsidR="00C20C05" w:rsidRDefault="00C20C05"/>
    <w:sectPr w:rsidR="00C20C05" w:rsidSect="00AF244E">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86E97" w:rsidRDefault="00186E97" w:rsidP="00116FDF">
      <w:pPr>
        <w:spacing w:after="0" w:line="240" w:lineRule="auto"/>
      </w:pPr>
      <w:r>
        <w:separator/>
      </w:r>
    </w:p>
  </w:endnote>
  <w:endnote w:type="continuationSeparator" w:id="0">
    <w:p w:rsidR="00186E97" w:rsidRDefault="00186E97" w:rsidP="00116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656308"/>
      <w:docPartObj>
        <w:docPartGallery w:val="Page Numbers (Bottom of Page)"/>
        <w:docPartUnique/>
      </w:docPartObj>
    </w:sdtPr>
    <w:sdtEndPr/>
    <w:sdtContent>
      <w:p w:rsidR="00AF244E" w:rsidRPr="00AF244E" w:rsidRDefault="00116FDF">
        <w:pPr>
          <w:pStyle w:val="Footer"/>
          <w:jc w:val="right"/>
          <w:rPr>
            <w:sz w:val="20"/>
            <w:szCs w:val="20"/>
          </w:rPr>
        </w:pPr>
        <w:r w:rsidRPr="00AF244E">
          <w:rPr>
            <w:sz w:val="20"/>
            <w:szCs w:val="20"/>
          </w:rPr>
          <w:fldChar w:fldCharType="begin"/>
        </w:r>
        <w:r w:rsidR="00186E97" w:rsidRPr="00AF244E">
          <w:rPr>
            <w:sz w:val="20"/>
            <w:szCs w:val="20"/>
          </w:rPr>
          <w:instrText xml:space="preserve"> PAGE   \* MERGEFORMAT </w:instrText>
        </w:r>
        <w:r w:rsidRPr="00AF244E">
          <w:rPr>
            <w:sz w:val="20"/>
            <w:szCs w:val="20"/>
          </w:rPr>
          <w:fldChar w:fldCharType="separate"/>
        </w:r>
        <w:r w:rsidR="00F924DF">
          <w:rPr>
            <w:noProof/>
            <w:sz w:val="20"/>
            <w:szCs w:val="20"/>
          </w:rPr>
          <w:t>1</w:t>
        </w:r>
        <w:r w:rsidRPr="00AF244E">
          <w:rPr>
            <w:sz w:val="20"/>
            <w:szCs w:val="20"/>
          </w:rPr>
          <w:fldChar w:fldCharType="end"/>
        </w:r>
      </w:p>
    </w:sdtContent>
  </w:sdt>
  <w:p w:rsidR="00AF244E" w:rsidRDefault="00AF2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86E97" w:rsidRDefault="00186E97" w:rsidP="00116FDF">
      <w:pPr>
        <w:spacing w:after="0" w:line="240" w:lineRule="auto"/>
      </w:pPr>
      <w:r>
        <w:separator/>
      </w:r>
    </w:p>
  </w:footnote>
  <w:footnote w:type="continuationSeparator" w:id="0">
    <w:p w:rsidR="00186E97" w:rsidRDefault="00186E97" w:rsidP="00116F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05"/>
    <w:rsid w:val="00013FB1"/>
    <w:rsid w:val="00025F0B"/>
    <w:rsid w:val="00041E1E"/>
    <w:rsid w:val="00061B90"/>
    <w:rsid w:val="000816BA"/>
    <w:rsid w:val="000A02E4"/>
    <w:rsid w:val="000E238C"/>
    <w:rsid w:val="00116FDF"/>
    <w:rsid w:val="00162BDD"/>
    <w:rsid w:val="001662EE"/>
    <w:rsid w:val="0018135D"/>
    <w:rsid w:val="00186E97"/>
    <w:rsid w:val="00244B95"/>
    <w:rsid w:val="003852C3"/>
    <w:rsid w:val="003A2410"/>
    <w:rsid w:val="0048136D"/>
    <w:rsid w:val="004840FB"/>
    <w:rsid w:val="005433DB"/>
    <w:rsid w:val="00545019"/>
    <w:rsid w:val="005717F8"/>
    <w:rsid w:val="00592C8D"/>
    <w:rsid w:val="005A0AB5"/>
    <w:rsid w:val="005A14AB"/>
    <w:rsid w:val="005A1DAE"/>
    <w:rsid w:val="00611699"/>
    <w:rsid w:val="00695EAC"/>
    <w:rsid w:val="006972DD"/>
    <w:rsid w:val="006A7CE3"/>
    <w:rsid w:val="006B7AB1"/>
    <w:rsid w:val="00702C90"/>
    <w:rsid w:val="00707607"/>
    <w:rsid w:val="007277DD"/>
    <w:rsid w:val="007336EC"/>
    <w:rsid w:val="00742CB9"/>
    <w:rsid w:val="007E3A75"/>
    <w:rsid w:val="007E3ED3"/>
    <w:rsid w:val="008017AA"/>
    <w:rsid w:val="00834556"/>
    <w:rsid w:val="008621EC"/>
    <w:rsid w:val="008E39F9"/>
    <w:rsid w:val="00926542"/>
    <w:rsid w:val="009779B3"/>
    <w:rsid w:val="009A3A43"/>
    <w:rsid w:val="00A14782"/>
    <w:rsid w:val="00A15840"/>
    <w:rsid w:val="00A977E1"/>
    <w:rsid w:val="00AF244E"/>
    <w:rsid w:val="00B278E1"/>
    <w:rsid w:val="00B36957"/>
    <w:rsid w:val="00BA3C51"/>
    <w:rsid w:val="00BC682A"/>
    <w:rsid w:val="00BE69C9"/>
    <w:rsid w:val="00C20C05"/>
    <w:rsid w:val="00D22F96"/>
    <w:rsid w:val="00D90FAC"/>
    <w:rsid w:val="00E20355"/>
    <w:rsid w:val="00E828FC"/>
    <w:rsid w:val="00EB6D4A"/>
    <w:rsid w:val="00F044BD"/>
    <w:rsid w:val="00F26799"/>
    <w:rsid w:val="00F329E2"/>
    <w:rsid w:val="00F51F82"/>
    <w:rsid w:val="00F52F7E"/>
    <w:rsid w:val="00F92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B423C4-B14F-2D42-B65D-371E314F8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21E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21EC"/>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92654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1EC"/>
    <w:rPr>
      <w:rFonts w:ascii="Times New Roman" w:eastAsiaTheme="majorEastAsia" w:hAnsi="Times New Roman" w:cstheme="majorBidi"/>
      <w:b/>
      <w:bCs/>
      <w:sz w:val="28"/>
      <w:szCs w:val="28"/>
    </w:rPr>
  </w:style>
  <w:style w:type="paragraph" w:styleId="Title">
    <w:name w:val="Title"/>
    <w:basedOn w:val="Normal"/>
    <w:next w:val="Normal"/>
    <w:link w:val="TitleChar"/>
    <w:uiPriority w:val="10"/>
    <w:qFormat/>
    <w:rsid w:val="006B7AB1"/>
    <w:pPr>
      <w:pBdr>
        <w:bottom w:val="single" w:sz="8" w:space="4" w:color="4F81BD" w:themeColor="accent1"/>
      </w:pBdr>
      <w:spacing w:after="300"/>
      <w:contextualSpacing/>
      <w:jc w:val="center"/>
    </w:pPr>
    <w:rPr>
      <w:rFonts w:eastAsiaTheme="majorEastAsia" w:cstheme="majorBidi"/>
      <w:b/>
      <w:caps/>
      <w:spacing w:val="5"/>
      <w:kern w:val="28"/>
      <w:sz w:val="36"/>
      <w:szCs w:val="52"/>
    </w:rPr>
  </w:style>
  <w:style w:type="character" w:customStyle="1" w:styleId="TitleChar">
    <w:name w:val="Title Char"/>
    <w:basedOn w:val="DefaultParagraphFont"/>
    <w:link w:val="Title"/>
    <w:uiPriority w:val="10"/>
    <w:rsid w:val="006B7AB1"/>
    <w:rPr>
      <w:rFonts w:ascii="Times New Roman" w:eastAsiaTheme="majorEastAsia" w:hAnsi="Times New Roman" w:cstheme="majorBidi"/>
      <w:b/>
      <w:caps/>
      <w:spacing w:val="5"/>
      <w:kern w:val="28"/>
      <w:sz w:val="36"/>
      <w:szCs w:val="52"/>
    </w:rPr>
  </w:style>
  <w:style w:type="paragraph" w:styleId="Header">
    <w:name w:val="header"/>
    <w:basedOn w:val="Normal"/>
    <w:link w:val="HeaderChar"/>
    <w:uiPriority w:val="99"/>
    <w:semiHidden/>
    <w:unhideWhenUsed/>
    <w:rsid w:val="006B7AB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B7AB1"/>
    <w:rPr>
      <w:rFonts w:ascii="Times New Roman" w:hAnsi="Times New Roman"/>
      <w:sz w:val="24"/>
    </w:rPr>
  </w:style>
  <w:style w:type="paragraph" w:styleId="Footer">
    <w:name w:val="footer"/>
    <w:basedOn w:val="Normal"/>
    <w:link w:val="FooterChar"/>
    <w:uiPriority w:val="99"/>
    <w:unhideWhenUsed/>
    <w:rsid w:val="006B7A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AB1"/>
    <w:rPr>
      <w:rFonts w:ascii="Times New Roman" w:hAnsi="Times New Roman"/>
      <w:sz w:val="24"/>
    </w:rPr>
  </w:style>
  <w:style w:type="paragraph" w:styleId="TOCHeading">
    <w:name w:val="TOC Heading"/>
    <w:basedOn w:val="Heading1"/>
    <w:next w:val="Normal"/>
    <w:uiPriority w:val="39"/>
    <w:semiHidden/>
    <w:unhideWhenUsed/>
    <w:qFormat/>
    <w:rsid w:val="006972DD"/>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6972DD"/>
    <w:pPr>
      <w:spacing w:after="100"/>
    </w:pPr>
  </w:style>
  <w:style w:type="character" w:styleId="Hyperlink">
    <w:name w:val="Hyperlink"/>
    <w:basedOn w:val="DefaultParagraphFont"/>
    <w:uiPriority w:val="99"/>
    <w:unhideWhenUsed/>
    <w:rsid w:val="006972DD"/>
    <w:rPr>
      <w:color w:val="0000FF" w:themeColor="hyperlink"/>
      <w:u w:val="single"/>
    </w:rPr>
  </w:style>
  <w:style w:type="paragraph" w:styleId="BalloonText">
    <w:name w:val="Balloon Text"/>
    <w:basedOn w:val="Normal"/>
    <w:link w:val="BalloonTextChar"/>
    <w:uiPriority w:val="99"/>
    <w:semiHidden/>
    <w:unhideWhenUsed/>
    <w:rsid w:val="006972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2DD"/>
    <w:rPr>
      <w:rFonts w:ascii="Tahoma" w:hAnsi="Tahoma" w:cs="Tahoma"/>
      <w:sz w:val="16"/>
      <w:szCs w:val="16"/>
    </w:rPr>
  </w:style>
  <w:style w:type="character" w:customStyle="1" w:styleId="Heading2Char">
    <w:name w:val="Heading 2 Char"/>
    <w:basedOn w:val="DefaultParagraphFont"/>
    <w:link w:val="Heading2"/>
    <w:uiPriority w:val="9"/>
    <w:rsid w:val="00926542"/>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5DEAF-080D-4A0B-8235-9890CB8828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2422</Words>
  <Characters>13809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Matei Cojocariu</cp:lastModifiedBy>
  <cp:revision>2</cp:revision>
  <dcterms:created xsi:type="dcterms:W3CDTF">2021-09-01T18:04:00Z</dcterms:created>
  <dcterms:modified xsi:type="dcterms:W3CDTF">2021-09-01T18:04:00Z</dcterms:modified>
</cp:coreProperties>
</file>