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4557E8" w14:textId="77777777" w:rsidR="00F91035" w:rsidRDefault="00F91035" w:rsidP="00F91035">
      <w:pPr>
        <w:spacing w:line="480" w:lineRule="auto"/>
        <w:jc w:val="center"/>
        <w:rPr>
          <w:sz w:val="28"/>
        </w:rPr>
      </w:pPr>
      <w:r>
        <w:br/>
      </w:r>
      <w:r>
        <w:br/>
      </w:r>
      <w:r>
        <w:br/>
      </w:r>
      <w:r>
        <w:br/>
      </w:r>
      <w:r>
        <w:br/>
      </w:r>
      <w:r>
        <w:br/>
      </w:r>
      <w:r>
        <w:br/>
      </w:r>
      <w:r w:rsidRPr="00F91035">
        <w:rPr>
          <w:sz w:val="24"/>
        </w:rPr>
        <w:br/>
      </w:r>
      <w:r w:rsidRPr="00F91035">
        <w:rPr>
          <w:b/>
          <w:sz w:val="36"/>
        </w:rPr>
        <w:t>There is often a link between ill health and poverty; Discuss the social, economic and environmental influences that impact psychological health and well-being.</w:t>
      </w:r>
      <w:r>
        <w:rPr>
          <w:b/>
          <w:sz w:val="32"/>
        </w:rPr>
        <w:br/>
      </w:r>
      <w:r>
        <w:rPr>
          <w:sz w:val="28"/>
        </w:rPr>
        <w:br/>
      </w:r>
      <w:r w:rsidRPr="00F91035">
        <w:rPr>
          <w:sz w:val="28"/>
        </w:rPr>
        <w:t>Bobby Farmer</w:t>
      </w:r>
      <w:r w:rsidRPr="00F91035">
        <w:rPr>
          <w:sz w:val="28"/>
        </w:rPr>
        <w:br/>
        <w:t>University of Wales Trinity St. David</w:t>
      </w:r>
    </w:p>
    <w:p w14:paraId="624A2616" w14:textId="77777777" w:rsidR="00F91035" w:rsidRDefault="00F91035">
      <w:pPr>
        <w:rPr>
          <w:sz w:val="28"/>
        </w:rPr>
      </w:pPr>
      <w:r>
        <w:rPr>
          <w:sz w:val="28"/>
        </w:rPr>
        <w:br w:type="page"/>
      </w:r>
    </w:p>
    <w:p w14:paraId="51A40CC8" w14:textId="77777777" w:rsidR="00F91035" w:rsidRDefault="00F91035" w:rsidP="00F91035">
      <w:pPr>
        <w:spacing w:line="480" w:lineRule="auto"/>
        <w:jc w:val="center"/>
      </w:pPr>
    </w:p>
    <w:p w14:paraId="1D8B38FD" w14:textId="77777777" w:rsidR="00F91035" w:rsidRPr="00F91035" w:rsidRDefault="00F91035" w:rsidP="00F91035"/>
    <w:p w14:paraId="0115FDB5" w14:textId="77777777" w:rsidR="00F91035" w:rsidRPr="00F91035" w:rsidRDefault="00F91035" w:rsidP="00F91035"/>
    <w:p w14:paraId="43B2BA48" w14:textId="77777777" w:rsidR="00F91035" w:rsidRPr="00F91035" w:rsidRDefault="00F91035" w:rsidP="00451269">
      <w:pPr>
        <w:spacing w:line="480" w:lineRule="auto"/>
      </w:pPr>
    </w:p>
    <w:p w14:paraId="379B218B" w14:textId="67A44C53" w:rsidR="00544325" w:rsidRPr="00CD183D" w:rsidRDefault="00A640F1" w:rsidP="0036798B">
      <w:pPr>
        <w:spacing w:line="480" w:lineRule="auto"/>
      </w:pPr>
      <w:r>
        <w:tab/>
      </w:r>
      <w:r w:rsidR="00F91035" w:rsidRPr="0067393F">
        <w:rPr>
          <w:sz w:val="24"/>
        </w:rPr>
        <w:t>Health and well-being</w:t>
      </w:r>
      <w:r w:rsidR="0067393F">
        <w:rPr>
          <w:sz w:val="24"/>
        </w:rPr>
        <w:t xml:space="preserve"> is a well debated topic in the current modern climate.</w:t>
      </w:r>
      <w:r w:rsidR="005E0788">
        <w:rPr>
          <w:sz w:val="24"/>
        </w:rPr>
        <w:t xml:space="preserve"> Good health and </w:t>
      </w:r>
      <w:r w:rsidR="00D06371">
        <w:rPr>
          <w:sz w:val="24"/>
        </w:rPr>
        <w:t>well-being</w:t>
      </w:r>
      <w:r w:rsidR="005E0788">
        <w:rPr>
          <w:sz w:val="24"/>
        </w:rPr>
        <w:t xml:space="preserve"> is often </w:t>
      </w:r>
      <w:r w:rsidR="001D567A">
        <w:rPr>
          <w:sz w:val="24"/>
        </w:rPr>
        <w:t>suggested to be</w:t>
      </w:r>
      <w:r w:rsidR="005E0788">
        <w:rPr>
          <w:sz w:val="24"/>
        </w:rPr>
        <w:t xml:space="preserve"> a person with no physical or visible ailments and a strong sense of mental health. However, t</w:t>
      </w:r>
      <w:r w:rsidR="0067393F">
        <w:rPr>
          <w:sz w:val="24"/>
        </w:rPr>
        <w:t>he World Health Organisation (WHO) defines health and well-being as “</w:t>
      </w:r>
      <w:r w:rsidR="0067393F" w:rsidRPr="0067393F">
        <w:rPr>
          <w:sz w:val="24"/>
        </w:rPr>
        <w:t>Health is a state of complete physical, mental and social well-being and not merely the absence of disease or infirmity</w:t>
      </w:r>
      <w:r w:rsidR="0067393F">
        <w:rPr>
          <w:sz w:val="24"/>
        </w:rPr>
        <w:t xml:space="preserve">” (1948). </w:t>
      </w:r>
      <w:r w:rsidR="001D567A">
        <w:rPr>
          <w:sz w:val="24"/>
        </w:rPr>
        <w:t>The idea of good health and well-being is different to everyone, you wouldn’t necessarily get the same response from someone with or</w:t>
      </w:r>
      <w:r w:rsidR="002919E6">
        <w:rPr>
          <w:sz w:val="24"/>
        </w:rPr>
        <w:t xml:space="preserve"> someone</w:t>
      </w:r>
      <w:r w:rsidR="001D567A">
        <w:rPr>
          <w:sz w:val="24"/>
        </w:rPr>
        <w:t xml:space="preserve"> without a physical disabilit</w:t>
      </w:r>
      <w:r w:rsidR="002919E6">
        <w:rPr>
          <w:sz w:val="24"/>
        </w:rPr>
        <w:t xml:space="preserve">y. There are lots of people living with a disability who would define themselves as having good health and well-being. To assume that </w:t>
      </w:r>
      <w:r w:rsidR="002A6E67">
        <w:rPr>
          <w:sz w:val="24"/>
        </w:rPr>
        <w:t>someone’s physical disability is detriment</w:t>
      </w:r>
      <w:r w:rsidR="00544325">
        <w:rPr>
          <w:sz w:val="24"/>
        </w:rPr>
        <w:t>al</w:t>
      </w:r>
      <w:r w:rsidR="002A6E67">
        <w:rPr>
          <w:sz w:val="24"/>
        </w:rPr>
        <w:t xml:space="preserve"> to their good health and well-being</w:t>
      </w:r>
      <w:r w:rsidR="00544325">
        <w:rPr>
          <w:sz w:val="24"/>
        </w:rPr>
        <w:t xml:space="preserve"> disregards how they define it for themselves. Good health and well-being can also be linked to employment and the individual’s financial state. </w:t>
      </w:r>
      <w:r w:rsidR="00451269">
        <w:rPr>
          <w:sz w:val="24"/>
        </w:rPr>
        <w:t>The same ideology can be applied to poverty, whilst some may assume someone living in poverty is someone living in poor conditions or having no money, a person actually living under those circumstances may not feel it applies to them.</w:t>
      </w:r>
      <w:r w:rsidR="00471125">
        <w:rPr>
          <w:sz w:val="24"/>
        </w:rPr>
        <w:t xml:space="preserve"> </w:t>
      </w:r>
    </w:p>
    <w:p w14:paraId="58F76BC0" w14:textId="77777777" w:rsidR="00451269" w:rsidRDefault="00451269" w:rsidP="0036798B">
      <w:pPr>
        <w:spacing w:line="480" w:lineRule="auto"/>
        <w:ind w:firstLine="720"/>
        <w:rPr>
          <w:sz w:val="24"/>
        </w:rPr>
      </w:pPr>
    </w:p>
    <w:p w14:paraId="5562AF15" w14:textId="44F4ED7E" w:rsidR="00F91035" w:rsidRDefault="00544325" w:rsidP="0036798B">
      <w:pPr>
        <w:spacing w:line="480" w:lineRule="auto"/>
        <w:ind w:firstLine="720"/>
        <w:rPr>
          <w:sz w:val="24"/>
        </w:rPr>
      </w:pPr>
      <w:r>
        <w:rPr>
          <w:sz w:val="24"/>
        </w:rPr>
        <w:t>Social</w:t>
      </w:r>
      <w:r w:rsidR="0076198B">
        <w:rPr>
          <w:sz w:val="24"/>
        </w:rPr>
        <w:t>, economic and environmental</w:t>
      </w:r>
      <w:r>
        <w:rPr>
          <w:sz w:val="24"/>
        </w:rPr>
        <w:t xml:space="preserve"> factors can play an integral role in an individual’s health and well-being</w:t>
      </w:r>
      <w:r w:rsidR="0027797B">
        <w:rPr>
          <w:sz w:val="24"/>
        </w:rPr>
        <w:t xml:space="preserve">. </w:t>
      </w:r>
      <w:r w:rsidR="00CB5414">
        <w:rPr>
          <w:sz w:val="24"/>
        </w:rPr>
        <w:t>Being a minority in s</w:t>
      </w:r>
      <w:r w:rsidR="000916D2">
        <w:rPr>
          <w:sz w:val="24"/>
        </w:rPr>
        <w:t>ocial-status, ethnicity</w:t>
      </w:r>
      <w:r w:rsidR="0027797B">
        <w:rPr>
          <w:sz w:val="24"/>
        </w:rPr>
        <w:t xml:space="preserve"> and sexuality can each impact both poverty and health.</w:t>
      </w:r>
      <w:r w:rsidR="0076198B">
        <w:rPr>
          <w:sz w:val="24"/>
        </w:rPr>
        <w:t xml:space="preserve"> Coming from a poor upbringing</w:t>
      </w:r>
      <w:r w:rsidR="00676034">
        <w:rPr>
          <w:sz w:val="24"/>
        </w:rPr>
        <w:t>, homelessness</w:t>
      </w:r>
      <w:r w:rsidR="0076198B">
        <w:rPr>
          <w:sz w:val="24"/>
        </w:rPr>
        <w:t xml:space="preserve"> or </w:t>
      </w:r>
      <w:r w:rsidR="00676034">
        <w:rPr>
          <w:sz w:val="24"/>
        </w:rPr>
        <w:t xml:space="preserve">a </w:t>
      </w:r>
      <w:r w:rsidR="0076198B">
        <w:rPr>
          <w:sz w:val="24"/>
        </w:rPr>
        <w:t>poorer area can also influence health and well-being.</w:t>
      </w:r>
      <w:r w:rsidR="0027797B">
        <w:rPr>
          <w:sz w:val="24"/>
        </w:rPr>
        <w:t xml:space="preserve"> There are a plethora of studies that </w:t>
      </w:r>
      <w:r w:rsidR="0027797B">
        <w:rPr>
          <w:sz w:val="24"/>
        </w:rPr>
        <w:lastRenderedPageBreak/>
        <w:t xml:space="preserve">have been conducted to </w:t>
      </w:r>
      <w:r w:rsidR="0076198B">
        <w:rPr>
          <w:sz w:val="24"/>
        </w:rPr>
        <w:t>support this. This essay looks to discuss and establish links between said factors and health and being.</w:t>
      </w:r>
      <w:r w:rsidR="00A640F1">
        <w:rPr>
          <w:sz w:val="24"/>
        </w:rPr>
        <w:br/>
      </w:r>
    </w:p>
    <w:p w14:paraId="0C386506" w14:textId="4EC33031" w:rsidR="00451269" w:rsidRDefault="0076198B" w:rsidP="0036798B">
      <w:pPr>
        <w:spacing w:line="480" w:lineRule="auto"/>
        <w:ind w:firstLine="720"/>
        <w:rPr>
          <w:sz w:val="24"/>
        </w:rPr>
      </w:pPr>
      <w:r>
        <w:rPr>
          <w:sz w:val="24"/>
        </w:rPr>
        <w:t xml:space="preserve">Studies have also been conducted to discover if there is a link between minority groups and ill health. </w:t>
      </w:r>
      <w:r w:rsidR="00A640F1">
        <w:rPr>
          <w:sz w:val="24"/>
        </w:rPr>
        <w:t>A census</w:t>
      </w:r>
      <w:sdt>
        <w:sdtPr>
          <w:rPr>
            <w:sz w:val="24"/>
          </w:rPr>
          <w:id w:val="-1430734926"/>
          <w:citation/>
        </w:sdtPr>
        <w:sdtEndPr/>
        <w:sdtContent>
          <w:r w:rsidR="00A640F1">
            <w:rPr>
              <w:sz w:val="24"/>
            </w:rPr>
            <w:fldChar w:fldCharType="begin"/>
          </w:r>
          <w:r w:rsidR="00A640F1">
            <w:rPr>
              <w:sz w:val="24"/>
            </w:rPr>
            <w:instrText xml:space="preserve"> CITATION Ken07 \l 2057 </w:instrText>
          </w:r>
          <w:r w:rsidR="00A640F1">
            <w:rPr>
              <w:sz w:val="24"/>
            </w:rPr>
            <w:fldChar w:fldCharType="separate"/>
          </w:r>
          <w:r w:rsidR="00AB15F8">
            <w:rPr>
              <w:noProof/>
              <w:sz w:val="24"/>
            </w:rPr>
            <w:t xml:space="preserve"> </w:t>
          </w:r>
          <w:r w:rsidR="00AB15F8" w:rsidRPr="00AB15F8">
            <w:rPr>
              <w:noProof/>
              <w:sz w:val="24"/>
            </w:rPr>
            <w:t>(Kenway &amp; Palmer, 2007)</w:t>
          </w:r>
          <w:r w:rsidR="00A640F1">
            <w:rPr>
              <w:sz w:val="24"/>
            </w:rPr>
            <w:fldChar w:fldCharType="end"/>
          </w:r>
        </w:sdtContent>
      </w:sdt>
      <w:r w:rsidR="00A640F1">
        <w:rPr>
          <w:sz w:val="24"/>
        </w:rPr>
        <w:t xml:space="preserve"> of the UK</w:t>
      </w:r>
      <w:r w:rsidR="004642F9">
        <w:rPr>
          <w:sz w:val="24"/>
        </w:rPr>
        <w:t xml:space="preserve"> found that 91.5% </w:t>
      </w:r>
      <w:r w:rsidR="00A640F1">
        <w:rPr>
          <w:sz w:val="24"/>
        </w:rPr>
        <w:t>of the pop</w:t>
      </w:r>
      <w:r w:rsidR="004642F9">
        <w:rPr>
          <w:sz w:val="24"/>
        </w:rPr>
        <w:t xml:space="preserve">ulation are White Britons, with the remaining 8.5% being split between the Asian (Pakistani or Indian), Black, Chinese or mixed ethnicities. The same census found that </w:t>
      </w:r>
      <w:r w:rsidR="006635B1">
        <w:rPr>
          <w:sz w:val="24"/>
        </w:rPr>
        <w:t>on average around</w:t>
      </w:r>
      <w:r w:rsidR="004642F9">
        <w:rPr>
          <w:sz w:val="24"/>
        </w:rPr>
        <w:t xml:space="preserve"> 40% of people in a minority are in financial poverty, almost double the percentage of white people.</w:t>
      </w:r>
      <w:r w:rsidR="006635B1">
        <w:rPr>
          <w:sz w:val="24"/>
        </w:rPr>
        <w:t xml:space="preserve"> </w:t>
      </w:r>
      <w:r w:rsidR="00932CCC">
        <w:rPr>
          <w:sz w:val="24"/>
        </w:rPr>
        <w:t>As much as</w:t>
      </w:r>
      <w:r w:rsidR="006635B1">
        <w:rPr>
          <w:sz w:val="24"/>
        </w:rPr>
        <w:t xml:space="preserve"> 65% of people of the Bangladeshi ethnicity are classed as being in poverty, but what is the definition of poverty?</w:t>
      </w:r>
      <w:r w:rsidR="00451269">
        <w:rPr>
          <w:sz w:val="24"/>
        </w:rPr>
        <w:br/>
      </w:r>
    </w:p>
    <w:p w14:paraId="7CA99677" w14:textId="77777777" w:rsidR="0076198B" w:rsidRDefault="00451269" w:rsidP="0036798B">
      <w:pPr>
        <w:spacing w:line="480" w:lineRule="auto"/>
        <w:ind w:firstLine="720"/>
        <w:rPr>
          <w:sz w:val="24"/>
        </w:rPr>
      </w:pPr>
      <w:r>
        <w:rPr>
          <w:sz w:val="24"/>
        </w:rPr>
        <w:t xml:space="preserve">The definition of poverty is heavily debated, many different factors influence poverty. These can include, employment, income, </w:t>
      </w:r>
      <w:r w:rsidR="0014405A">
        <w:rPr>
          <w:sz w:val="24"/>
        </w:rPr>
        <w:t xml:space="preserve">food sources, housing and even psychological well-being. The United Nations Educational, </w:t>
      </w:r>
      <w:r w:rsidR="00932CCC">
        <w:rPr>
          <w:sz w:val="24"/>
        </w:rPr>
        <w:t>Scientific</w:t>
      </w:r>
      <w:r w:rsidR="0014405A">
        <w:rPr>
          <w:sz w:val="24"/>
        </w:rPr>
        <w:t xml:space="preserve"> and Cultural Organisation (UNESCO, 2015) defines poverty as “</w:t>
      </w:r>
      <w:r w:rsidR="0014405A" w:rsidRPr="0014405A">
        <w:rPr>
          <w:sz w:val="24"/>
        </w:rPr>
        <w:t>in relation to the economic status of other members of the society: people are poor if they fall below prevailing standards of liv</w:t>
      </w:r>
      <w:r w:rsidR="00932CCC">
        <w:rPr>
          <w:sz w:val="24"/>
        </w:rPr>
        <w:t>ing in a given societal context</w:t>
      </w:r>
      <w:r w:rsidR="0014405A">
        <w:rPr>
          <w:sz w:val="24"/>
        </w:rPr>
        <w:t>”</w:t>
      </w:r>
      <w:r w:rsidR="00932CCC">
        <w:rPr>
          <w:sz w:val="24"/>
        </w:rPr>
        <w:t>. Poverty is often measured by comparing people’s incomes to the national average, anything below 50% is considered to be in extreme poverty.</w:t>
      </w:r>
      <w:r w:rsidR="0076198B">
        <w:rPr>
          <w:sz w:val="24"/>
        </w:rPr>
        <w:br/>
      </w:r>
    </w:p>
    <w:p w14:paraId="13041F36" w14:textId="45B55CFD" w:rsidR="004942B5" w:rsidRDefault="0076198B" w:rsidP="0036798B">
      <w:pPr>
        <w:spacing w:line="480" w:lineRule="auto"/>
        <w:ind w:firstLine="720"/>
        <w:rPr>
          <w:sz w:val="24"/>
        </w:rPr>
      </w:pPr>
      <w:r>
        <w:rPr>
          <w:sz w:val="24"/>
        </w:rPr>
        <w:t>Unfortunately, social factors still very much</w:t>
      </w:r>
      <w:r w:rsidR="0077049C">
        <w:rPr>
          <w:sz w:val="24"/>
        </w:rPr>
        <w:t xml:space="preserve"> play a part </w:t>
      </w:r>
      <w:r>
        <w:rPr>
          <w:sz w:val="24"/>
        </w:rPr>
        <w:t xml:space="preserve">in the current climate. The Equality Act (2010) was created with the intention to eradicate any form of discrimination </w:t>
      </w:r>
      <w:r w:rsidR="00F06651">
        <w:rPr>
          <w:sz w:val="24"/>
        </w:rPr>
        <w:t>any and to protect those who experience it, however, people in minorities would argue it still very much continues today and the</w:t>
      </w:r>
      <w:r w:rsidR="00282E64">
        <w:rPr>
          <w:sz w:val="24"/>
        </w:rPr>
        <w:t>ir reporting of it isn’t approached</w:t>
      </w:r>
      <w:r w:rsidR="00F06651">
        <w:rPr>
          <w:sz w:val="24"/>
        </w:rPr>
        <w:t xml:space="preserve"> satisfactorily.</w:t>
      </w:r>
      <w:r w:rsidR="00CE6461">
        <w:rPr>
          <w:sz w:val="24"/>
        </w:rPr>
        <w:t xml:space="preserve"> M. J</w:t>
      </w:r>
      <w:r w:rsidR="006904A5">
        <w:rPr>
          <w:sz w:val="24"/>
        </w:rPr>
        <w:t>.</w:t>
      </w:r>
      <w:r w:rsidR="00CE6461">
        <w:rPr>
          <w:sz w:val="24"/>
        </w:rPr>
        <w:t xml:space="preserve"> </w:t>
      </w:r>
      <w:r w:rsidR="00CE6461">
        <w:rPr>
          <w:sz w:val="24"/>
        </w:rPr>
        <w:lastRenderedPageBreak/>
        <w:t>Maher (2012) in her book ‘Racism and Cultural Diversity’ described the institutional racism she faced in the workplace. She was refused compassionate leave on the grounds</w:t>
      </w:r>
      <w:r w:rsidR="00F06651">
        <w:rPr>
          <w:sz w:val="24"/>
        </w:rPr>
        <w:t xml:space="preserve"> </w:t>
      </w:r>
      <w:r w:rsidR="00CE6461">
        <w:rPr>
          <w:sz w:val="24"/>
        </w:rPr>
        <w:t>that her brother who had died wasn’t considered a ‘close relative’, whereas a fellow white colleague was allowed compassionate leave after the death of their father in law. Black women often face the stereotype of being an ‘angry black woman’</w:t>
      </w:r>
      <w:r w:rsidR="0077049C">
        <w:rPr>
          <w:sz w:val="24"/>
        </w:rPr>
        <w:t>, (Sinclair, 2015) stemming from black women speaking out about their experiences of racism and the resulting ignorant dismissal of their views.</w:t>
      </w:r>
      <w:r w:rsidR="006904A5">
        <w:rPr>
          <w:sz w:val="24"/>
        </w:rPr>
        <w:t xml:space="preserve"> In the case of Maher, she took the organisations she felt were discriminatory to the Employment Tribunal twice, she won the first trial but lost the second. She wrote that both trials left her physically and mentally drained.</w:t>
      </w:r>
      <w:r w:rsidR="004B3277">
        <w:rPr>
          <w:sz w:val="24"/>
        </w:rPr>
        <w:t xml:space="preserve"> </w:t>
      </w:r>
      <w:r w:rsidR="00D84D52">
        <w:rPr>
          <w:sz w:val="24"/>
        </w:rPr>
        <w:t>She ended up living with depression and her mental health deteriorated as a consequence of the racist discrimination.</w:t>
      </w:r>
      <w:r w:rsidR="004942B5">
        <w:rPr>
          <w:sz w:val="24"/>
        </w:rPr>
        <w:br/>
      </w:r>
    </w:p>
    <w:p w14:paraId="2AA8011B" w14:textId="16E27354" w:rsidR="00282E64" w:rsidRDefault="00AB3F3A" w:rsidP="0036798B">
      <w:pPr>
        <w:spacing w:line="480" w:lineRule="auto"/>
        <w:ind w:firstLine="720"/>
        <w:rPr>
          <w:sz w:val="24"/>
        </w:rPr>
      </w:pPr>
      <w:r>
        <w:rPr>
          <w:sz w:val="24"/>
        </w:rPr>
        <w:t>The LGBT</w:t>
      </w:r>
      <w:r w:rsidR="004942B5">
        <w:rPr>
          <w:sz w:val="24"/>
        </w:rPr>
        <w:t xml:space="preserve"> community are very often victims of poverty</w:t>
      </w:r>
      <w:r>
        <w:rPr>
          <w:sz w:val="24"/>
        </w:rPr>
        <w:t xml:space="preserve"> and are potentially</w:t>
      </w:r>
      <w:r w:rsidR="004942B5">
        <w:rPr>
          <w:sz w:val="24"/>
        </w:rPr>
        <w:t xml:space="preserve"> at hi</w:t>
      </w:r>
      <w:r>
        <w:rPr>
          <w:sz w:val="24"/>
        </w:rPr>
        <w:t>gher risk to health issues. Sexuality, just like race, is covered under the Equality Act of 2010. People of the LGBT are often victims of homophobic hate crimes and assault. They also face an increased level of homelessness</w:t>
      </w:r>
      <w:r w:rsidR="001D031A">
        <w:rPr>
          <w:sz w:val="24"/>
        </w:rPr>
        <w:t xml:space="preserve"> and poverty</w:t>
      </w:r>
      <w:r>
        <w:rPr>
          <w:sz w:val="24"/>
        </w:rPr>
        <w:t xml:space="preserve">. A study by the Albert Kennedy Trust </w:t>
      </w:r>
      <w:r w:rsidR="006229F4">
        <w:rPr>
          <w:sz w:val="24"/>
        </w:rPr>
        <w:t xml:space="preserve">(2015) of housing providers found that 24% of homeless people identified as LGBT, with 69% of those having experienced rejection, abuse and violence from their families. The same study found that the LGBT homeless youth are significantly more likely to be victims of assault or abuse than their straight homeless counterparts. </w:t>
      </w:r>
      <w:r w:rsidR="00D84D52">
        <w:rPr>
          <w:sz w:val="24"/>
        </w:rPr>
        <w:t>The threat of being rejected or being assaulted, or the repercussions of having experienced those acts can create a plethora of mental health issues, depression, anxiety and panic attacks, and even suicidal thoughts.</w:t>
      </w:r>
      <w:r w:rsidR="00471125">
        <w:rPr>
          <w:sz w:val="24"/>
        </w:rPr>
        <w:t xml:space="preserve"> </w:t>
      </w:r>
      <w:r w:rsidR="00282E64">
        <w:rPr>
          <w:sz w:val="24"/>
        </w:rPr>
        <w:br/>
      </w:r>
    </w:p>
    <w:p w14:paraId="1102BCB2" w14:textId="5F5E350A" w:rsidR="000916D2" w:rsidRDefault="00282E64" w:rsidP="0036798B">
      <w:pPr>
        <w:spacing w:line="480" w:lineRule="auto"/>
        <w:ind w:firstLine="720"/>
        <w:rPr>
          <w:sz w:val="24"/>
        </w:rPr>
      </w:pPr>
      <w:r>
        <w:rPr>
          <w:sz w:val="24"/>
        </w:rPr>
        <w:lastRenderedPageBreak/>
        <w:t>A survey by one the UK’s leading LGBT charities Stonewall (2017) found that 21% of the LGBT community have been the victim of a hate crime in the last year, up 78% from 2013. Whilst a majority of these hate crimes have been verbal harassment or pestering, the survey showed 11% of the LGBT community has been a victim of physical assault, based purely on their sexuality. Up to 81% of those who were victims didn’t report it to the police, often times the supressed inability to achieve justice for discriminatory crimes</w:t>
      </w:r>
      <w:r w:rsidR="001D031A">
        <w:rPr>
          <w:sz w:val="24"/>
        </w:rPr>
        <w:t>, and the overwhelming fear of being assaulted again</w:t>
      </w:r>
      <w:r>
        <w:rPr>
          <w:sz w:val="24"/>
        </w:rPr>
        <w:t xml:space="preserve"> can lead to </w:t>
      </w:r>
      <w:r w:rsidR="001D031A">
        <w:rPr>
          <w:sz w:val="24"/>
        </w:rPr>
        <w:t>depression, anxiety, and in some cases, substance abuse.</w:t>
      </w:r>
      <w:r>
        <w:rPr>
          <w:sz w:val="24"/>
        </w:rPr>
        <w:t xml:space="preserve"> </w:t>
      </w:r>
      <w:r w:rsidR="00CD183D">
        <w:rPr>
          <w:sz w:val="24"/>
        </w:rPr>
        <w:t>LGBT people are almost 3 times more likely to engage in abuse of alcohol or drugs, stemming from depression and low self-esteem (Shaw Mind Foundation, 2016)</w:t>
      </w:r>
      <w:r w:rsidR="000916D2">
        <w:rPr>
          <w:sz w:val="24"/>
        </w:rPr>
        <w:br/>
      </w:r>
    </w:p>
    <w:p w14:paraId="798E4D07" w14:textId="3583E3F3" w:rsidR="002A0C2B" w:rsidRDefault="000916D2" w:rsidP="0036798B">
      <w:pPr>
        <w:spacing w:line="480" w:lineRule="auto"/>
        <w:ind w:firstLine="720"/>
        <w:rPr>
          <w:sz w:val="24"/>
        </w:rPr>
      </w:pPr>
      <w:r w:rsidRPr="000916D2">
        <w:rPr>
          <w:sz w:val="24"/>
        </w:rPr>
        <w:t>Whilst monumental steps have been made to combat the level of discrimination in the UK e.g. the Equality Act &amp; the Marriage (Same Sex Couples) Act in 2013, statistics show that the psychological impacts of being LGBT are not</w:t>
      </w:r>
      <w:r w:rsidR="00644CA8">
        <w:rPr>
          <w:sz w:val="24"/>
        </w:rPr>
        <w:t xml:space="preserve"> always</w:t>
      </w:r>
      <w:r w:rsidRPr="000916D2">
        <w:rPr>
          <w:sz w:val="24"/>
        </w:rPr>
        <w:t xml:space="preserve"> recognised.</w:t>
      </w:r>
      <w:r w:rsidR="00644CA8">
        <w:rPr>
          <w:sz w:val="24"/>
        </w:rPr>
        <w:t xml:space="preserve"> Another study by Stonewall</w:t>
      </w:r>
      <w:sdt>
        <w:sdtPr>
          <w:rPr>
            <w:sz w:val="24"/>
          </w:rPr>
          <w:id w:val="-1898421367"/>
          <w:citation/>
        </w:sdtPr>
        <w:sdtEndPr/>
        <w:sdtContent>
          <w:r w:rsidR="00644CA8">
            <w:rPr>
              <w:sz w:val="24"/>
            </w:rPr>
            <w:fldChar w:fldCharType="begin"/>
          </w:r>
          <w:r w:rsidR="00644CA8">
            <w:rPr>
              <w:sz w:val="24"/>
            </w:rPr>
            <w:instrText xml:space="preserve"> CITATION Sto15 \l 2057 </w:instrText>
          </w:r>
          <w:r w:rsidR="00644CA8">
            <w:rPr>
              <w:sz w:val="24"/>
            </w:rPr>
            <w:fldChar w:fldCharType="separate"/>
          </w:r>
          <w:r w:rsidR="00AB15F8">
            <w:rPr>
              <w:noProof/>
              <w:sz w:val="24"/>
            </w:rPr>
            <w:t xml:space="preserve"> </w:t>
          </w:r>
          <w:r w:rsidR="00AB15F8" w:rsidRPr="00AB15F8">
            <w:rPr>
              <w:noProof/>
              <w:sz w:val="24"/>
            </w:rPr>
            <w:t>(Stonewall, Unhealthy Attitudes, 2015)</w:t>
          </w:r>
          <w:r w:rsidR="00644CA8">
            <w:rPr>
              <w:sz w:val="24"/>
            </w:rPr>
            <w:fldChar w:fldCharType="end"/>
          </w:r>
        </w:sdtContent>
      </w:sdt>
      <w:r w:rsidR="00644CA8">
        <w:rPr>
          <w:sz w:val="24"/>
        </w:rPr>
        <w:t xml:space="preserve"> showed that on average over half of workers in the care sector (a combination of counsellors, doctors, nurses etc.) don’t </w:t>
      </w:r>
      <w:bookmarkStart w:id="0" w:name="_GoBack"/>
      <w:bookmarkEnd w:id="0"/>
      <w:r w:rsidR="00644CA8">
        <w:rPr>
          <w:sz w:val="24"/>
        </w:rPr>
        <w:t>consider sexuality as being an integral part of an individual’s health and well-being. A survey by PACE (2015) found that LGBT youth are almost twice as likely to</w:t>
      </w:r>
      <w:r w:rsidR="00CD183D">
        <w:rPr>
          <w:sz w:val="24"/>
        </w:rPr>
        <w:t xml:space="preserve"> attempt suicide straight youth, creating a clear link between sexuality and psychological health. </w:t>
      </w:r>
      <w:r w:rsidR="00CD183D">
        <w:rPr>
          <w:sz w:val="24"/>
        </w:rPr>
        <w:br/>
      </w:r>
      <w:r w:rsidR="002A0C2B">
        <w:rPr>
          <w:sz w:val="24"/>
        </w:rPr>
        <w:br/>
      </w:r>
    </w:p>
    <w:p w14:paraId="5043C7D8" w14:textId="77777777" w:rsidR="002A0C2B" w:rsidRDefault="00CE6461" w:rsidP="0036798B">
      <w:pPr>
        <w:spacing w:line="480" w:lineRule="auto"/>
        <w:ind w:firstLine="720"/>
        <w:rPr>
          <w:sz w:val="24"/>
        </w:rPr>
      </w:pPr>
      <w:r>
        <w:rPr>
          <w:sz w:val="24"/>
        </w:rPr>
        <w:t xml:space="preserve"> </w:t>
      </w:r>
      <w:r w:rsidR="00F06651">
        <w:rPr>
          <w:sz w:val="24"/>
        </w:rPr>
        <w:t xml:space="preserve">A census by the Office of National Statistics (2017) found that the rate of minority races in unemployment is almost double the rate of unemployment in white people. Once </w:t>
      </w:r>
      <w:r w:rsidR="00F06651">
        <w:rPr>
          <w:sz w:val="24"/>
        </w:rPr>
        <w:lastRenderedPageBreak/>
        <w:t>again the Bangladeshi and Pakistani races fare the worst, with 13% &amp; 9% of their respective races experiencing unemployment.</w:t>
      </w:r>
      <w:r w:rsidR="006904A5">
        <w:rPr>
          <w:sz w:val="24"/>
        </w:rPr>
        <w:t xml:space="preserve"> </w:t>
      </w:r>
      <w:r w:rsidR="00CC2756">
        <w:rPr>
          <w:sz w:val="24"/>
        </w:rPr>
        <w:t>Being unemployed can have a detrimental effect on a person’s health and well-being. Having insufficient funds to provide adequate food, housing and other necessities can make a person very ill.</w:t>
      </w:r>
      <w:r w:rsidR="00F06651">
        <w:rPr>
          <w:sz w:val="24"/>
        </w:rPr>
        <w:t xml:space="preserve"> </w:t>
      </w:r>
      <w:r w:rsidR="00CC2756">
        <w:rPr>
          <w:sz w:val="24"/>
        </w:rPr>
        <w:t xml:space="preserve">Often families in poverty rely on the donations of food banks to live, though pride can often divert people from using services like this. </w:t>
      </w:r>
      <w:r w:rsidR="002A0C2B">
        <w:rPr>
          <w:sz w:val="24"/>
        </w:rPr>
        <w:t xml:space="preserve">Living in poor conditions without adequate clean water and hygiene solutions, or in cold temperatures can create a number of health issues, such as gastro-intestinal disease and increased risk of hypothermia. Though there is plenty of physical illnesses that can be attributed to poor housing conditions, sometimes less discussed are the mental illnesses they can cause. </w:t>
      </w:r>
      <w:r w:rsidR="002A0C2B">
        <w:rPr>
          <w:sz w:val="24"/>
        </w:rPr>
        <w:br/>
      </w:r>
    </w:p>
    <w:p w14:paraId="70969123" w14:textId="4243A0BF" w:rsidR="006E5CAE" w:rsidRDefault="002A0C2B" w:rsidP="0036798B">
      <w:pPr>
        <w:spacing w:line="480" w:lineRule="auto"/>
        <w:ind w:firstLine="720"/>
        <w:rPr>
          <w:sz w:val="24"/>
        </w:rPr>
      </w:pPr>
      <w:r>
        <w:rPr>
          <w:sz w:val="24"/>
        </w:rPr>
        <w:t xml:space="preserve">One of the most common mental illnesses affecting the population today is stress. Stress is a </w:t>
      </w:r>
      <w:r w:rsidR="006F1B0A">
        <w:rPr>
          <w:sz w:val="24"/>
        </w:rPr>
        <w:t>debilitating and</w:t>
      </w:r>
      <w:r>
        <w:rPr>
          <w:sz w:val="24"/>
        </w:rPr>
        <w:t xml:space="preserve"> overwhelming </w:t>
      </w:r>
      <w:r w:rsidR="006F1B0A">
        <w:rPr>
          <w:sz w:val="24"/>
        </w:rPr>
        <w:t xml:space="preserve">emotion that often compiles overthinking, anxiety and worry. Exposure to excessive pressure leads to our body producing Cortisol, the primary stress hormone. </w:t>
      </w:r>
      <w:r w:rsidR="00E04315">
        <w:rPr>
          <w:sz w:val="24"/>
        </w:rPr>
        <w:t xml:space="preserve">Stress can be caused by a number of issues, be it family life, bereavement, </w:t>
      </w:r>
      <w:r w:rsidR="006E5CAE">
        <w:rPr>
          <w:sz w:val="24"/>
        </w:rPr>
        <w:t xml:space="preserve">illness, these are mostly personal issues, but it can also stem from professional environments too. </w:t>
      </w:r>
      <w:r w:rsidR="006F1B0A">
        <w:rPr>
          <w:sz w:val="24"/>
        </w:rPr>
        <w:t>Stress is very common in the workplace. A study by HSE (2017)</w:t>
      </w:r>
      <w:r w:rsidR="006065D1">
        <w:rPr>
          <w:sz w:val="24"/>
        </w:rPr>
        <w:t xml:space="preserve"> found that 526,000 workers in the UK suffered from stress in the last year, and over 12.5 million working days were lost due to work-related stress. </w:t>
      </w:r>
      <w:r w:rsidR="00511D82">
        <w:rPr>
          <w:sz w:val="24"/>
        </w:rPr>
        <w:t xml:space="preserve">Being unemployed or without adequate housing can </w:t>
      </w:r>
      <w:r w:rsidR="00BD4721">
        <w:rPr>
          <w:sz w:val="24"/>
        </w:rPr>
        <w:t xml:space="preserve">cause copious amounts of stress, which in turn can amount to more physical ailments e.g. tiredness, </w:t>
      </w:r>
      <w:r w:rsidR="00E04315">
        <w:rPr>
          <w:sz w:val="24"/>
        </w:rPr>
        <w:t>dizziness</w:t>
      </w:r>
      <w:r w:rsidR="00BD4721">
        <w:rPr>
          <w:sz w:val="24"/>
        </w:rPr>
        <w:t xml:space="preserve"> and </w:t>
      </w:r>
      <w:r w:rsidR="00E04315">
        <w:rPr>
          <w:sz w:val="24"/>
        </w:rPr>
        <w:t>muscle pain</w:t>
      </w:r>
      <w:r w:rsidR="00BD4721">
        <w:rPr>
          <w:sz w:val="24"/>
        </w:rPr>
        <w:t>.</w:t>
      </w:r>
      <w:r w:rsidR="00E04315">
        <w:rPr>
          <w:sz w:val="24"/>
        </w:rPr>
        <w:t xml:space="preserve"> Despite being extremely common, stress is woefully underestimated and misunderstood at large. </w:t>
      </w:r>
      <w:r w:rsidR="006E5CAE">
        <w:rPr>
          <w:sz w:val="24"/>
        </w:rPr>
        <w:br/>
      </w:r>
    </w:p>
    <w:p w14:paraId="73F25700" w14:textId="70C58DE1" w:rsidR="0014037D" w:rsidRDefault="006E5CAE" w:rsidP="0036798B">
      <w:pPr>
        <w:spacing w:line="480" w:lineRule="auto"/>
        <w:ind w:firstLine="720"/>
        <w:rPr>
          <w:sz w:val="24"/>
        </w:rPr>
      </w:pPr>
      <w:r>
        <w:rPr>
          <w:sz w:val="24"/>
        </w:rPr>
        <w:lastRenderedPageBreak/>
        <w:t xml:space="preserve">In recent years, treatments like mindfulness have become increasingly prevalent in treating many mental illnesses, including stress. </w:t>
      </w:r>
      <w:r w:rsidR="007C4917">
        <w:rPr>
          <w:sz w:val="24"/>
        </w:rPr>
        <w:t>Mindfulness is described as “</w:t>
      </w:r>
      <w:r w:rsidR="007C4917" w:rsidRPr="007C4917">
        <w:rPr>
          <w:sz w:val="24"/>
        </w:rPr>
        <w:t>the basic human ability to be fully present, aware of where we are and what we’re doing, and not overly reactive or overwhelm</w:t>
      </w:r>
      <w:r w:rsidR="007C4917">
        <w:rPr>
          <w:sz w:val="24"/>
        </w:rPr>
        <w:t>ed by what’s going on around us”</w:t>
      </w:r>
      <w:sdt>
        <w:sdtPr>
          <w:rPr>
            <w:sz w:val="24"/>
          </w:rPr>
          <w:id w:val="67472906"/>
          <w:citation/>
        </w:sdtPr>
        <w:sdtEndPr/>
        <w:sdtContent>
          <w:r w:rsidR="007C4917">
            <w:rPr>
              <w:sz w:val="24"/>
            </w:rPr>
            <w:fldChar w:fldCharType="begin"/>
          </w:r>
          <w:r w:rsidR="007C4917">
            <w:rPr>
              <w:sz w:val="24"/>
            </w:rPr>
            <w:instrText xml:space="preserve"> CITATION Min14 \l 2057 </w:instrText>
          </w:r>
          <w:r w:rsidR="007C4917">
            <w:rPr>
              <w:sz w:val="24"/>
            </w:rPr>
            <w:fldChar w:fldCharType="separate"/>
          </w:r>
          <w:r w:rsidR="00AB15F8">
            <w:rPr>
              <w:noProof/>
              <w:sz w:val="24"/>
            </w:rPr>
            <w:t xml:space="preserve"> </w:t>
          </w:r>
          <w:r w:rsidR="00AB15F8" w:rsidRPr="00AB15F8">
            <w:rPr>
              <w:noProof/>
              <w:sz w:val="24"/>
            </w:rPr>
            <w:t>(Staff, 2014)</w:t>
          </w:r>
          <w:r w:rsidR="007C4917">
            <w:rPr>
              <w:sz w:val="24"/>
            </w:rPr>
            <w:fldChar w:fldCharType="end"/>
          </w:r>
        </w:sdtContent>
      </w:sdt>
      <w:r w:rsidR="007C4917">
        <w:rPr>
          <w:sz w:val="24"/>
        </w:rPr>
        <w:t>. Its level of accessibility with apps like ‘Headspace’ make it an increasin</w:t>
      </w:r>
      <w:r w:rsidR="004942B5">
        <w:rPr>
          <w:sz w:val="24"/>
        </w:rPr>
        <w:t xml:space="preserve">gly adapted method of treatment, with organisations such as MiSP (Mindfulness in Schools Project) campaigning for the practice to be taught in schools. A review by the APA found that mindfulness helps to regulate emotions, improve relationships and decrease stress and anxiety </w:t>
      </w:r>
      <w:sdt>
        <w:sdtPr>
          <w:rPr>
            <w:sz w:val="24"/>
          </w:rPr>
          <w:id w:val="-1473969723"/>
          <w:citation/>
        </w:sdtPr>
        <w:sdtEndPr/>
        <w:sdtContent>
          <w:r w:rsidR="004942B5">
            <w:rPr>
              <w:sz w:val="24"/>
            </w:rPr>
            <w:fldChar w:fldCharType="begin"/>
          </w:r>
          <w:r w:rsidR="004942B5">
            <w:rPr>
              <w:sz w:val="24"/>
            </w:rPr>
            <w:instrText xml:space="preserve"> CITATION Dav11 \l 2057 </w:instrText>
          </w:r>
          <w:r w:rsidR="004942B5">
            <w:rPr>
              <w:sz w:val="24"/>
            </w:rPr>
            <w:fldChar w:fldCharType="separate"/>
          </w:r>
          <w:r w:rsidR="00AB15F8" w:rsidRPr="00AB15F8">
            <w:rPr>
              <w:noProof/>
              <w:sz w:val="24"/>
            </w:rPr>
            <w:t>(Davis &amp; Hayes, 2011)</w:t>
          </w:r>
          <w:r w:rsidR="004942B5">
            <w:rPr>
              <w:sz w:val="24"/>
            </w:rPr>
            <w:fldChar w:fldCharType="end"/>
          </w:r>
        </w:sdtContent>
      </w:sdt>
      <w:r w:rsidR="004942B5">
        <w:rPr>
          <w:sz w:val="24"/>
        </w:rPr>
        <w:t>.</w:t>
      </w:r>
      <w:r w:rsidR="00D84D52">
        <w:rPr>
          <w:sz w:val="24"/>
        </w:rPr>
        <w:t xml:space="preserve"> By giving the individual the tools they need to rebalance and organise their negative thoughts, they</w:t>
      </w:r>
      <w:r w:rsidR="0014037D">
        <w:rPr>
          <w:sz w:val="24"/>
        </w:rPr>
        <w:t xml:space="preserve"> can go on to then live a normal life, but what is the idea of normal?</w:t>
      </w:r>
      <w:r w:rsidR="0014037D">
        <w:rPr>
          <w:sz w:val="24"/>
        </w:rPr>
        <w:br/>
      </w:r>
    </w:p>
    <w:p w14:paraId="2308E511" w14:textId="035A5A9F" w:rsidR="00676034" w:rsidRDefault="0014037D" w:rsidP="0036798B">
      <w:pPr>
        <w:spacing w:line="480" w:lineRule="auto"/>
        <w:ind w:firstLine="720"/>
        <w:rPr>
          <w:sz w:val="24"/>
        </w:rPr>
      </w:pPr>
      <w:r>
        <w:rPr>
          <w:sz w:val="24"/>
        </w:rPr>
        <w:t>The idea of ‘normal’ has been a highly contested idea over time. The battle between adhering to the social norms conflicting with the reality of how ones self experiences life is still a huge factor that influences health and well-being</w:t>
      </w:r>
      <w:r w:rsidR="00676034">
        <w:rPr>
          <w:sz w:val="24"/>
        </w:rPr>
        <w:t xml:space="preserve">. The problematic thriving to appear ‘normal’ is an issue </w:t>
      </w:r>
      <w:r>
        <w:rPr>
          <w:sz w:val="24"/>
        </w:rPr>
        <w:t>that encompasses the 3 factors of this essay. Presenting an inauthentic perception of yourself to adhere to social norms can be mentally exhausting and can usually stem from unaddressed low self-esteem.</w:t>
      </w:r>
      <w:r w:rsidR="00676034">
        <w:rPr>
          <w:sz w:val="24"/>
        </w:rPr>
        <w:t xml:space="preserve"> </w:t>
      </w:r>
      <w:r w:rsidR="00D05516">
        <w:rPr>
          <w:sz w:val="24"/>
        </w:rPr>
        <w:t>Often times our own definition of what normal means, or even if we acknowledge the idea to be normal, is key to how we cope with the challenges of life.</w:t>
      </w:r>
      <w:r w:rsidR="00676034">
        <w:rPr>
          <w:sz w:val="24"/>
        </w:rPr>
        <w:br/>
      </w:r>
    </w:p>
    <w:p w14:paraId="2A408EA4" w14:textId="77777777" w:rsidR="00D05516" w:rsidRDefault="00676034" w:rsidP="0036798B">
      <w:pPr>
        <w:spacing w:line="480" w:lineRule="auto"/>
        <w:ind w:firstLine="720"/>
        <w:rPr>
          <w:sz w:val="24"/>
        </w:rPr>
      </w:pPr>
      <w:r>
        <w:rPr>
          <w:sz w:val="24"/>
        </w:rPr>
        <w:t xml:space="preserve">In conclusion, social, economic and environmental factors influence many of the mental health issues diagnosed today, and lots of links can be made to people living in poverty to the diagnosis of a mental health disorder. However, they are not always </w:t>
      </w:r>
      <w:r>
        <w:rPr>
          <w:sz w:val="24"/>
        </w:rPr>
        <w:lastRenderedPageBreak/>
        <w:t xml:space="preserve">addressed effectively, and lots of people still are not given the knowledge and representation they require. It has also been proven that a lot of the professional practitioners in the industry are not always knowledgeable of how certain factors can influence a person’s health and well-being. There are however plans in action to </w:t>
      </w:r>
      <w:r w:rsidR="00D05516">
        <w:rPr>
          <w:sz w:val="24"/>
        </w:rPr>
        <w:t>combat this.</w:t>
      </w:r>
      <w:r w:rsidR="00D05516">
        <w:rPr>
          <w:sz w:val="24"/>
        </w:rPr>
        <w:br/>
      </w:r>
    </w:p>
    <w:p w14:paraId="692202AF" w14:textId="28570792" w:rsidR="00D84D52" w:rsidRDefault="00D05516" w:rsidP="0036798B">
      <w:pPr>
        <w:spacing w:line="480" w:lineRule="auto"/>
        <w:ind w:firstLine="720"/>
        <w:rPr>
          <w:sz w:val="24"/>
        </w:rPr>
      </w:pPr>
      <w:r>
        <w:rPr>
          <w:sz w:val="24"/>
        </w:rPr>
        <w:t>The Welsh Government has set up the Tackling Poverty Action Plan (2016) to directly address the increasing number of people in poverty. They have also created the ‘Together for Mental Health Delivery Plan’ (2016), falling under the ‘Well-being of Future Generations (Wales) Act (2015), acknowledging the increasing epidemic that is mental health, and providing increased funding to mental health services.</w:t>
      </w:r>
      <w:r w:rsidR="00AB15F8">
        <w:rPr>
          <w:sz w:val="24"/>
        </w:rPr>
        <w:t xml:space="preserve"> The legislation is of great importance and is planned out over the span of 10 years. Mental health and coping mechanisms are also now being taught in schools from a young age, with the idea that providing young people with the vital tools and education to face mental health, will help them in the long term and can potentially be passed on to future generations to come. </w:t>
      </w:r>
      <w:r w:rsidR="00D84D52">
        <w:rPr>
          <w:sz w:val="24"/>
        </w:rPr>
        <w:br/>
      </w:r>
    </w:p>
    <w:p w14:paraId="473E7ADA" w14:textId="6CCC4B5B" w:rsidR="00D84D52" w:rsidRDefault="00D84D52" w:rsidP="00D84D52">
      <w:pPr>
        <w:ind w:firstLine="720"/>
        <w:rPr>
          <w:sz w:val="24"/>
        </w:rPr>
      </w:pPr>
      <w:r>
        <w:rPr>
          <w:sz w:val="24"/>
        </w:rPr>
        <w:br/>
      </w:r>
    </w:p>
    <w:p w14:paraId="1C385001" w14:textId="454D5201" w:rsidR="00D84D52" w:rsidRDefault="00D84D52" w:rsidP="00D84D52">
      <w:pPr>
        <w:ind w:firstLine="720"/>
        <w:rPr>
          <w:sz w:val="24"/>
        </w:rPr>
      </w:pPr>
    </w:p>
    <w:p w14:paraId="20E094C2" w14:textId="7412C542" w:rsidR="00451269" w:rsidRDefault="00BD4721" w:rsidP="00C75A21">
      <w:pPr>
        <w:ind w:firstLine="720"/>
        <w:rPr>
          <w:sz w:val="24"/>
        </w:rPr>
      </w:pPr>
      <w:r>
        <w:rPr>
          <w:sz w:val="24"/>
        </w:rPr>
        <w:t xml:space="preserve"> </w:t>
      </w:r>
      <w:r w:rsidR="00932CCC">
        <w:rPr>
          <w:sz w:val="24"/>
        </w:rPr>
        <w:br/>
      </w:r>
    </w:p>
    <w:p w14:paraId="110F5089" w14:textId="4C637EF8" w:rsidR="00932CCC" w:rsidRDefault="00932CCC" w:rsidP="00451269">
      <w:pPr>
        <w:ind w:firstLine="720"/>
        <w:rPr>
          <w:sz w:val="24"/>
        </w:rPr>
      </w:pPr>
    </w:p>
    <w:p w14:paraId="344B8FC8" w14:textId="7FA235B2" w:rsidR="00451269" w:rsidRDefault="00451269" w:rsidP="00451269">
      <w:pPr>
        <w:rPr>
          <w:sz w:val="24"/>
        </w:rPr>
      </w:pPr>
    </w:p>
    <w:sdt>
      <w:sdtPr>
        <w:id w:val="-13248208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C786F3E" w14:textId="181A60CD" w:rsidR="00AB15F8" w:rsidRDefault="00AB15F8" w:rsidP="00AB15F8">
          <w:pPr>
            <w:pStyle w:val="Heading1"/>
          </w:pPr>
        </w:p>
        <w:p w14:paraId="33509A0E" w14:textId="6AE459D7" w:rsidR="00AB15F8" w:rsidRDefault="00AB15F8" w:rsidP="00AB15F8"/>
      </w:sdtContent>
    </w:sdt>
    <w:p w14:paraId="7FD26294" w14:textId="4C67847A" w:rsidR="00AB15F8" w:rsidRDefault="006635B1" w:rsidP="00451269">
      <w:pPr>
        <w:ind w:firstLine="720"/>
        <w:rPr>
          <w:sz w:val="24"/>
        </w:rPr>
      </w:pPr>
      <w:r>
        <w:rPr>
          <w:sz w:val="24"/>
        </w:rPr>
        <w:lastRenderedPageBreak/>
        <w:t xml:space="preserve"> </w:t>
      </w:r>
    </w:p>
    <w:sdt>
      <w:sdtPr>
        <w:id w:val="-22583422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3DF8C24" w14:textId="5127A730" w:rsidR="00471125" w:rsidRDefault="00471125">
          <w:pPr>
            <w:pStyle w:val="Heading1"/>
          </w:pPr>
          <w:r>
            <w:t>References</w:t>
          </w:r>
        </w:p>
        <w:sdt>
          <w:sdtPr>
            <w:id w:val="-573587230"/>
            <w:bibliography/>
          </w:sdtPr>
          <w:sdtContent>
            <w:p w14:paraId="06F09DBC" w14:textId="77777777" w:rsidR="00471125" w:rsidRDefault="00471125" w:rsidP="0047112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Davis, D. M., &amp; Hayes, J. A. (2011). What Are the Benefits of Mindfulness? A Practice Review of Psychotherapy-related Research. </w:t>
              </w:r>
              <w:r>
                <w:rPr>
                  <w:i/>
                  <w:iCs/>
                  <w:noProof/>
                  <w:lang w:val="en-US"/>
                </w:rPr>
                <w:t>Psychotherapy</w:t>
              </w:r>
              <w:r>
                <w:rPr>
                  <w:noProof/>
                  <w:lang w:val="en-US"/>
                </w:rPr>
                <w:t>, 198-208.</w:t>
              </w:r>
            </w:p>
            <w:p w14:paraId="57DFE181" w14:textId="08537D85" w:rsidR="00471125" w:rsidRDefault="00471125" w:rsidP="00471125">
              <w:pPr>
                <w:pStyle w:val="Bibliography"/>
                <w:ind w:left="720" w:hanging="720"/>
                <w:rPr>
                  <w:noProof/>
                  <w:lang w:val="en-US"/>
                </w:rPr>
              </w:pPr>
              <w:r>
                <w:rPr>
                  <w:noProof/>
                  <w:lang w:val="en-US"/>
                </w:rPr>
                <w:t xml:space="preserve">Health and Safety Executive (2017). </w:t>
              </w:r>
              <w:r>
                <w:rPr>
                  <w:i/>
                  <w:iCs/>
                  <w:noProof/>
                  <w:lang w:val="en-US"/>
                </w:rPr>
                <w:t>Work-related Stress, Depression or Anxiety: Statistics in Great Britain 2017.</w:t>
              </w:r>
              <w:r>
                <w:rPr>
                  <w:noProof/>
                  <w:lang w:val="en-US"/>
                </w:rPr>
                <w:t xml:space="preserve"> London: Health and Safety Executive.</w:t>
              </w:r>
            </w:p>
            <w:p w14:paraId="42DAF225" w14:textId="21179B0A" w:rsidR="00471125" w:rsidRDefault="00471125" w:rsidP="00471125">
              <w:pPr>
                <w:pStyle w:val="Bibliography"/>
                <w:ind w:left="720" w:hanging="720"/>
                <w:rPr>
                  <w:noProof/>
                  <w:lang w:val="en-US"/>
                </w:rPr>
              </w:pPr>
              <w:r>
                <w:rPr>
                  <w:noProof/>
                  <w:lang w:val="en-US"/>
                </w:rPr>
                <w:t xml:space="preserve">Welsh Government. (2016). </w:t>
              </w:r>
              <w:r>
                <w:rPr>
                  <w:i/>
                  <w:iCs/>
                  <w:noProof/>
                  <w:lang w:val="en-US"/>
                </w:rPr>
                <w:t>Together for Mental Health Delivery Plan 2016-2019.</w:t>
              </w:r>
              <w:r>
                <w:rPr>
                  <w:noProof/>
                  <w:lang w:val="en-US"/>
                </w:rPr>
                <w:t xml:space="preserve"> Welsh Government.</w:t>
              </w:r>
            </w:p>
            <w:p w14:paraId="64885EF0" w14:textId="77777777" w:rsidR="00471125" w:rsidRDefault="00471125" w:rsidP="00471125">
              <w:pPr>
                <w:pStyle w:val="Bibliography"/>
                <w:ind w:left="720" w:hanging="720"/>
                <w:rPr>
                  <w:noProof/>
                  <w:lang w:val="en-US"/>
                </w:rPr>
              </w:pPr>
              <w:r>
                <w:rPr>
                  <w:noProof/>
                  <w:lang w:val="en-US"/>
                </w:rPr>
                <w:t xml:space="preserve">Kenway, P., &amp; Palmer, G. (2007). Poverty among ethnic groups, how and why does it differ? </w:t>
              </w:r>
              <w:r>
                <w:rPr>
                  <w:i/>
                  <w:iCs/>
                  <w:noProof/>
                  <w:lang w:val="en-US"/>
                </w:rPr>
                <w:t>New Policy Institute</w:t>
              </w:r>
              <w:r>
                <w:rPr>
                  <w:noProof/>
                  <w:lang w:val="en-US"/>
                </w:rPr>
                <w:t>, 1-40.</w:t>
              </w:r>
            </w:p>
            <w:p w14:paraId="5EAF13CC" w14:textId="77777777" w:rsidR="00471125" w:rsidRDefault="00471125" w:rsidP="00471125">
              <w:pPr>
                <w:pStyle w:val="Bibliography"/>
                <w:ind w:left="720" w:hanging="720"/>
                <w:rPr>
                  <w:noProof/>
                  <w:lang w:val="en-US"/>
                </w:rPr>
              </w:pPr>
              <w:r>
                <w:rPr>
                  <w:noProof/>
                  <w:lang w:val="en-US"/>
                </w:rPr>
                <w:t xml:space="preserve">Maher, M. J. (2012). </w:t>
              </w:r>
              <w:r>
                <w:rPr>
                  <w:i/>
                  <w:iCs/>
                  <w:noProof/>
                  <w:lang w:val="en-US"/>
                </w:rPr>
                <w:t>Racism and Cultural Diversity: Cultivating Racial Harmony through Counselling, Group Analysis, and Psychotherapy.</w:t>
              </w:r>
              <w:r>
                <w:rPr>
                  <w:noProof/>
                  <w:lang w:val="en-US"/>
                </w:rPr>
                <w:t xml:space="preserve"> London: Karnac Books.</w:t>
              </w:r>
            </w:p>
            <w:p w14:paraId="7D97678D" w14:textId="77777777" w:rsidR="00471125" w:rsidRDefault="00471125" w:rsidP="00471125">
              <w:pPr>
                <w:pStyle w:val="Bibliography"/>
                <w:ind w:left="720" w:hanging="720"/>
                <w:rPr>
                  <w:noProof/>
                  <w:lang w:val="en-US"/>
                </w:rPr>
              </w:pPr>
              <w:r>
                <w:rPr>
                  <w:noProof/>
                  <w:lang w:val="en-US"/>
                </w:rPr>
                <w:t xml:space="preserve">Nodin, N., Peel, E., Tyler, A., &amp; Rivers, I. (2015). </w:t>
              </w:r>
              <w:r>
                <w:rPr>
                  <w:i/>
                  <w:iCs/>
                  <w:noProof/>
                  <w:lang w:val="en-US"/>
                </w:rPr>
                <w:t>The RaRE Research Report.</w:t>
              </w:r>
              <w:r>
                <w:rPr>
                  <w:noProof/>
                  <w:lang w:val="en-US"/>
                </w:rPr>
                <w:t xml:space="preserve"> London: PACE.</w:t>
              </w:r>
            </w:p>
            <w:p w14:paraId="346C8263" w14:textId="365C0D84" w:rsidR="00471125" w:rsidRDefault="00471125" w:rsidP="00471125">
              <w:pPr>
                <w:pStyle w:val="Bibliography"/>
                <w:ind w:left="720" w:hanging="720"/>
                <w:rPr>
                  <w:noProof/>
                  <w:lang w:val="en-US"/>
                </w:rPr>
              </w:pPr>
              <w:r>
                <w:rPr>
                  <w:noProof/>
                  <w:lang w:val="en-US"/>
                </w:rPr>
                <w:t>World Health Orgnisation (1948). Constitution of the World Health Organisation. 1.</w:t>
              </w:r>
            </w:p>
            <w:p w14:paraId="41D2D4AD" w14:textId="77777777" w:rsidR="00471125" w:rsidRDefault="00471125" w:rsidP="00471125">
              <w:pPr>
                <w:pStyle w:val="Bibliography"/>
                <w:ind w:left="720" w:hanging="720"/>
                <w:rPr>
                  <w:noProof/>
                  <w:lang w:val="en-US"/>
                </w:rPr>
              </w:pPr>
              <w:r>
                <w:rPr>
                  <w:noProof/>
                  <w:lang w:val="en-US"/>
                </w:rPr>
                <w:t xml:space="preserve">Sinclair, L. (2015). </w:t>
              </w:r>
              <w:r>
                <w:rPr>
                  <w:i/>
                  <w:iCs/>
                  <w:noProof/>
                  <w:lang w:val="en-US"/>
                </w:rPr>
                <w:t>The ‘angry black girl’ stereotype shows just how little we are respected.</w:t>
              </w:r>
              <w:r>
                <w:rPr>
                  <w:noProof/>
                  <w:lang w:val="en-US"/>
                </w:rPr>
                <w:t xml:space="preserve"> London: The Guardian.</w:t>
              </w:r>
            </w:p>
            <w:p w14:paraId="5035B9FA" w14:textId="579C2829" w:rsidR="00471125" w:rsidRDefault="00471125" w:rsidP="00471125">
              <w:pPr>
                <w:pStyle w:val="Bibliography"/>
                <w:ind w:left="720" w:hanging="720"/>
                <w:rPr>
                  <w:noProof/>
                  <w:lang w:val="en-US"/>
                </w:rPr>
              </w:pPr>
              <w:r>
                <w:rPr>
                  <w:noProof/>
                  <w:lang w:val="en-US"/>
                </w:rPr>
                <w:t xml:space="preserve">Staff of Mindful.org. (2014, October 8). </w:t>
              </w:r>
              <w:r>
                <w:rPr>
                  <w:i/>
                  <w:iCs/>
                  <w:noProof/>
                  <w:lang w:val="en-US"/>
                </w:rPr>
                <w:t>What is Mindfulness</w:t>
              </w:r>
              <w:r>
                <w:rPr>
                  <w:noProof/>
                  <w:lang w:val="en-US"/>
                </w:rPr>
                <w:t>. Retrieved from Mindful.org: https://www.mindful.org/what-is-mindfulness/</w:t>
              </w:r>
            </w:p>
            <w:p w14:paraId="382C9073" w14:textId="51B6203C" w:rsidR="00471125" w:rsidRDefault="00471125" w:rsidP="00471125">
              <w:pPr>
                <w:pStyle w:val="Bibliography"/>
                <w:ind w:left="720" w:hanging="720"/>
                <w:rPr>
                  <w:noProof/>
                  <w:lang w:val="en-US"/>
                </w:rPr>
              </w:pPr>
              <w:r>
                <w:rPr>
                  <w:noProof/>
                  <w:lang w:val="en-US"/>
                </w:rPr>
                <w:t xml:space="preserve">Office of National Statistics (2017). Unemployment by Ethnic Background. </w:t>
              </w:r>
              <w:r>
                <w:rPr>
                  <w:i/>
                  <w:iCs/>
                  <w:noProof/>
                  <w:lang w:val="en-US"/>
                </w:rPr>
                <w:t>Annual Population Survey</w:t>
              </w:r>
              <w:r>
                <w:rPr>
                  <w:noProof/>
                  <w:lang w:val="en-US"/>
                </w:rPr>
                <w:t>.</w:t>
              </w:r>
            </w:p>
            <w:p w14:paraId="20AE6372" w14:textId="77777777" w:rsidR="00471125" w:rsidRDefault="00471125" w:rsidP="00471125">
              <w:pPr>
                <w:pStyle w:val="Bibliography"/>
                <w:ind w:left="720" w:hanging="720"/>
                <w:rPr>
                  <w:noProof/>
                  <w:lang w:val="en-US"/>
                </w:rPr>
              </w:pPr>
              <w:r>
                <w:rPr>
                  <w:noProof/>
                  <w:lang w:val="en-US"/>
                </w:rPr>
                <w:t xml:space="preserve">Stonewall. (2015). </w:t>
              </w:r>
              <w:r>
                <w:rPr>
                  <w:i/>
                  <w:iCs/>
                  <w:noProof/>
                  <w:lang w:val="en-US"/>
                </w:rPr>
                <w:t>Unhealthy Attitudes.</w:t>
              </w:r>
              <w:r>
                <w:rPr>
                  <w:noProof/>
                  <w:lang w:val="en-US"/>
                </w:rPr>
                <w:t xml:space="preserve"> London: Stonewall.</w:t>
              </w:r>
            </w:p>
            <w:p w14:paraId="5D29D3D2" w14:textId="77777777" w:rsidR="00471125" w:rsidRDefault="00471125" w:rsidP="00471125">
              <w:pPr>
                <w:pStyle w:val="Bibliography"/>
                <w:ind w:left="720" w:hanging="720"/>
                <w:rPr>
                  <w:noProof/>
                  <w:lang w:val="en-US"/>
                </w:rPr>
              </w:pPr>
              <w:r>
                <w:rPr>
                  <w:noProof/>
                  <w:lang w:val="en-US"/>
                </w:rPr>
                <w:t xml:space="preserve">Stonewall. (2017). </w:t>
              </w:r>
              <w:r>
                <w:rPr>
                  <w:i/>
                  <w:iCs/>
                  <w:noProof/>
                  <w:lang w:val="en-US"/>
                </w:rPr>
                <w:t>LGBT in Britain; Hate Crime and Discrimination.</w:t>
              </w:r>
              <w:r>
                <w:rPr>
                  <w:noProof/>
                  <w:lang w:val="en-US"/>
                </w:rPr>
                <w:t xml:space="preserve"> London: Stonewall.</w:t>
              </w:r>
            </w:p>
            <w:p w14:paraId="28AFFD1A" w14:textId="5EFBC8F7" w:rsidR="00471125" w:rsidRDefault="0036798B" w:rsidP="00471125">
              <w:pPr>
                <w:pStyle w:val="Bibliography"/>
                <w:ind w:left="720" w:hanging="720"/>
                <w:rPr>
                  <w:noProof/>
                  <w:lang w:val="en-US"/>
                </w:rPr>
              </w:pPr>
              <w:r>
                <w:rPr>
                  <w:noProof/>
                  <w:lang w:val="en-US"/>
                </w:rPr>
                <w:t>Albert Kennedy Trust</w:t>
              </w:r>
              <w:r w:rsidR="00471125">
                <w:rPr>
                  <w:noProof/>
                  <w:lang w:val="en-US"/>
                </w:rPr>
                <w:t xml:space="preserve"> (2015). </w:t>
              </w:r>
              <w:r w:rsidR="00471125">
                <w:rPr>
                  <w:i/>
                  <w:iCs/>
                  <w:noProof/>
                  <w:lang w:val="en-US"/>
                </w:rPr>
                <w:t>LGBT Youth Homelessness.</w:t>
              </w:r>
              <w:r w:rsidR="00471125">
                <w:rPr>
                  <w:noProof/>
                  <w:lang w:val="en-US"/>
                </w:rPr>
                <w:t xml:space="preserve"> London: Albert Kennedy Trust.</w:t>
              </w:r>
            </w:p>
            <w:p w14:paraId="028D91CF" w14:textId="77777777" w:rsidR="00471125" w:rsidRDefault="00471125" w:rsidP="00471125">
              <w:pPr>
                <w:pStyle w:val="Bibliography"/>
                <w:ind w:left="720" w:hanging="720"/>
                <w:rPr>
                  <w:noProof/>
                  <w:lang w:val="en-US"/>
                </w:rPr>
              </w:pPr>
              <w:r>
                <w:rPr>
                  <w:noProof/>
                  <w:lang w:val="en-US"/>
                </w:rPr>
                <w:t xml:space="preserve">United Nations Educational, S. a. (2015). </w:t>
              </w:r>
              <w:r>
                <w:rPr>
                  <w:i/>
                  <w:iCs/>
                  <w:noProof/>
                  <w:lang w:val="en-US"/>
                </w:rPr>
                <w:t>Poverty</w:t>
              </w:r>
              <w:r>
                <w:rPr>
                  <w:noProof/>
                  <w:lang w:val="en-US"/>
                </w:rPr>
                <w:t>. Retrieved from UNESCO: http://www.unesco.org/new/en/social-and-human-sciences/themes/international-migration/glossary/poverty/</w:t>
              </w:r>
            </w:p>
            <w:p w14:paraId="72100A81" w14:textId="2D3E7BFF" w:rsidR="00471125" w:rsidRDefault="00471125" w:rsidP="00471125">
              <w:r>
                <w:rPr>
                  <w:b/>
                  <w:bCs/>
                  <w:noProof/>
                </w:rPr>
                <w:fldChar w:fldCharType="end"/>
              </w:r>
            </w:p>
          </w:sdtContent>
        </w:sdt>
      </w:sdtContent>
    </w:sdt>
    <w:p w14:paraId="742561E3" w14:textId="77777777" w:rsidR="00AB15F8" w:rsidRPr="00AB15F8" w:rsidRDefault="00AB15F8" w:rsidP="0036798B">
      <w:pPr>
        <w:spacing w:line="480" w:lineRule="auto"/>
        <w:rPr>
          <w:sz w:val="24"/>
        </w:rPr>
      </w:pPr>
    </w:p>
    <w:p w14:paraId="1B4DF6F6" w14:textId="77777777" w:rsidR="00AB15F8" w:rsidRPr="00AB15F8" w:rsidRDefault="00AB15F8" w:rsidP="00AB15F8">
      <w:pPr>
        <w:rPr>
          <w:sz w:val="24"/>
        </w:rPr>
      </w:pPr>
    </w:p>
    <w:p w14:paraId="3A522AD7" w14:textId="0551F4F9" w:rsidR="00AB15F8" w:rsidRDefault="00AB15F8" w:rsidP="00AB15F8">
      <w:pPr>
        <w:rPr>
          <w:sz w:val="24"/>
        </w:rPr>
      </w:pPr>
    </w:p>
    <w:p w14:paraId="342FAF6D" w14:textId="77777777" w:rsidR="00A640F1" w:rsidRPr="00AB15F8" w:rsidRDefault="00A640F1" w:rsidP="00AB15F8">
      <w:pPr>
        <w:rPr>
          <w:sz w:val="24"/>
        </w:rPr>
      </w:pPr>
    </w:p>
    <w:sectPr w:rsidR="00A640F1" w:rsidRPr="00AB15F8" w:rsidSect="00653AE7">
      <w:headerReference w:type="default" r:id="rId7"/>
      <w:headerReference w:type="firs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D14B63" w14:textId="77777777" w:rsidR="009F2BE3" w:rsidRDefault="009F2BE3" w:rsidP="00653AE7">
      <w:pPr>
        <w:spacing w:after="0" w:line="240" w:lineRule="auto"/>
      </w:pPr>
      <w:r>
        <w:separator/>
      </w:r>
    </w:p>
  </w:endnote>
  <w:endnote w:type="continuationSeparator" w:id="0">
    <w:p w14:paraId="2568D7B6" w14:textId="77777777" w:rsidR="009F2BE3" w:rsidRDefault="009F2BE3" w:rsidP="00653AE7">
      <w:pPr>
        <w:spacing w:after="0" w:line="240" w:lineRule="auto"/>
      </w:pPr>
      <w:r>
        <w:continuationSeparator/>
      </w:r>
    </w:p>
  </w:endnote>
  <w:endnote w:type="continuationNotice" w:id="1">
    <w:p w14:paraId="788DEDCD" w14:textId="77777777" w:rsidR="003F70B0" w:rsidRDefault="003F70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E9D4F6" w14:textId="77777777" w:rsidR="009F2BE3" w:rsidRDefault="009F2BE3">
    <w:pPr>
      <w:pStyle w:val="Footer"/>
    </w:pPr>
    <w:r>
      <w:t>1702887</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0A63F0" w14:textId="77777777" w:rsidR="009F2BE3" w:rsidRDefault="009F2BE3" w:rsidP="00653AE7">
      <w:pPr>
        <w:spacing w:after="0" w:line="240" w:lineRule="auto"/>
      </w:pPr>
      <w:r>
        <w:separator/>
      </w:r>
    </w:p>
  </w:footnote>
  <w:footnote w:type="continuationSeparator" w:id="0">
    <w:p w14:paraId="40F2F814" w14:textId="77777777" w:rsidR="009F2BE3" w:rsidRDefault="009F2BE3" w:rsidP="00653AE7">
      <w:pPr>
        <w:spacing w:after="0" w:line="240" w:lineRule="auto"/>
      </w:pPr>
      <w:r>
        <w:continuationSeparator/>
      </w:r>
    </w:p>
  </w:footnote>
  <w:footnote w:type="continuationNotice" w:id="1">
    <w:p w14:paraId="4ED07A3A" w14:textId="77777777" w:rsidR="003F70B0" w:rsidRDefault="003F70B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7EC10B" w14:textId="4251B8C7" w:rsidR="009F2BE3" w:rsidRDefault="009F2BE3">
    <w:pPr>
      <w:pStyle w:val="Header"/>
    </w:pPr>
    <w:r>
      <w:t>DISCUSS THE SOCIAL, ECONOMIC AND ENVIRONMENTAL INFLEUNCES ON HEALTH AND WELL BEING.</w:t>
    </w:r>
    <w:r>
      <w:ptab w:relativeTo="margin" w:alignment="right" w:leader="none"/>
    </w:r>
    <w:r w:rsidRPr="00F91035">
      <w:fldChar w:fldCharType="begin"/>
    </w:r>
    <w:r w:rsidRPr="00F91035">
      <w:instrText xml:space="preserve"> PAGE   \* MERGEFORMAT </w:instrText>
    </w:r>
    <w:r w:rsidRPr="00F91035">
      <w:fldChar w:fldCharType="separate"/>
    </w:r>
    <w:r w:rsidR="0036798B">
      <w:rPr>
        <w:noProof/>
      </w:rPr>
      <w:t>9</w:t>
    </w:r>
    <w:r w:rsidRPr="00F91035">
      <w:rPr>
        <w:noProof/>
      </w:rPr>
      <w:fldChar w:fldCharType="end"/>
    </w:r>
    <w:r>
      <w:ptab w:relativeTo="margin" w:alignment="center" w:leader="none"/>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782AF1" w14:textId="1F47D99D" w:rsidR="009F2BE3" w:rsidRDefault="009F2BE3" w:rsidP="00653AE7">
    <w:pPr>
      <w:pStyle w:val="Header"/>
    </w:pPr>
    <w:r>
      <w:t>RUNNING HEAD: DISCUSS THE SOCIAL, ECONOMIC AND ENVIRONMENTAL INFLUENCES ON HEALTH AND WELL-BEING</w:t>
    </w:r>
    <w:r>
      <w:ptab w:relativeTo="margin" w:alignment="right" w:leader="none"/>
    </w:r>
    <w:r w:rsidRPr="00653AE7">
      <w:fldChar w:fldCharType="begin"/>
    </w:r>
    <w:r w:rsidRPr="00653AE7">
      <w:instrText xml:space="preserve"> PAGE   \* MERGEFORMAT </w:instrText>
    </w:r>
    <w:r w:rsidRPr="00653AE7">
      <w:fldChar w:fldCharType="separate"/>
    </w:r>
    <w:r w:rsidR="0036798B">
      <w:rPr>
        <w:noProof/>
      </w:rPr>
      <w:t>1</w:t>
    </w:r>
    <w:r w:rsidRPr="00653AE7">
      <w:rPr>
        <w:noProof/>
      </w:rPr>
      <w:fldChar w:fldCharType="end"/>
    </w:r>
    <w:r>
      <w:ptab w:relativeTo="margin" w:alignment="right" w:leader="none"/>
    </w:r>
    <w:r>
      <w:ptab w:relativeTo="margin" w:alignment="lef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AE7"/>
    <w:rsid w:val="000916D2"/>
    <w:rsid w:val="0014037D"/>
    <w:rsid w:val="0014405A"/>
    <w:rsid w:val="001D031A"/>
    <w:rsid w:val="001D567A"/>
    <w:rsid w:val="0027797B"/>
    <w:rsid w:val="00282E64"/>
    <w:rsid w:val="002919E6"/>
    <w:rsid w:val="002A0C2B"/>
    <w:rsid w:val="002A6E67"/>
    <w:rsid w:val="0036798B"/>
    <w:rsid w:val="003F70B0"/>
    <w:rsid w:val="00451269"/>
    <w:rsid w:val="004642F9"/>
    <w:rsid w:val="00471125"/>
    <w:rsid w:val="004942B5"/>
    <w:rsid w:val="004B3277"/>
    <w:rsid w:val="00511D82"/>
    <w:rsid w:val="00544325"/>
    <w:rsid w:val="005E0788"/>
    <w:rsid w:val="006065D1"/>
    <w:rsid w:val="006229F4"/>
    <w:rsid w:val="00644CA8"/>
    <w:rsid w:val="00653AE7"/>
    <w:rsid w:val="006635B1"/>
    <w:rsid w:val="0067393F"/>
    <w:rsid w:val="00676034"/>
    <w:rsid w:val="006904A5"/>
    <w:rsid w:val="006E5CAE"/>
    <w:rsid w:val="006F1B0A"/>
    <w:rsid w:val="007220FC"/>
    <w:rsid w:val="0076198B"/>
    <w:rsid w:val="0077049C"/>
    <w:rsid w:val="007C4917"/>
    <w:rsid w:val="00932CCC"/>
    <w:rsid w:val="009F2BE3"/>
    <w:rsid w:val="00A640F1"/>
    <w:rsid w:val="00AB15F8"/>
    <w:rsid w:val="00AB3F3A"/>
    <w:rsid w:val="00BD4721"/>
    <w:rsid w:val="00C75A21"/>
    <w:rsid w:val="00CB5414"/>
    <w:rsid w:val="00CC2756"/>
    <w:rsid w:val="00CD183D"/>
    <w:rsid w:val="00CE6461"/>
    <w:rsid w:val="00D05516"/>
    <w:rsid w:val="00D06371"/>
    <w:rsid w:val="00D84D52"/>
    <w:rsid w:val="00E04315"/>
    <w:rsid w:val="00F06651"/>
    <w:rsid w:val="00F9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07D6236"/>
  <w15:chartTrackingRefBased/>
  <w15:docId w15:val="{26261BDD-17CE-4F95-B853-A0D4B400C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B15F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3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AE7"/>
  </w:style>
  <w:style w:type="paragraph" w:styleId="Footer">
    <w:name w:val="footer"/>
    <w:basedOn w:val="Normal"/>
    <w:link w:val="FooterChar"/>
    <w:uiPriority w:val="99"/>
    <w:unhideWhenUsed/>
    <w:rsid w:val="00653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AE7"/>
  </w:style>
  <w:style w:type="character" w:customStyle="1" w:styleId="Heading1Char">
    <w:name w:val="Heading 1 Char"/>
    <w:basedOn w:val="DefaultParagraphFont"/>
    <w:link w:val="Heading1"/>
    <w:uiPriority w:val="9"/>
    <w:rsid w:val="00AB15F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B15F8"/>
  </w:style>
  <w:style w:type="paragraph" w:styleId="BalloonText">
    <w:name w:val="Balloon Text"/>
    <w:basedOn w:val="Normal"/>
    <w:link w:val="BalloonTextChar"/>
    <w:uiPriority w:val="99"/>
    <w:semiHidden/>
    <w:unhideWhenUsed/>
    <w:rsid w:val="00AB15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15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4115612">
      <w:bodyDiv w:val="1"/>
      <w:marLeft w:val="0"/>
      <w:marRight w:val="0"/>
      <w:marTop w:val="0"/>
      <w:marBottom w:val="0"/>
      <w:divBdr>
        <w:top w:val="none" w:sz="0" w:space="0" w:color="auto"/>
        <w:left w:val="none" w:sz="0" w:space="0" w:color="auto"/>
        <w:bottom w:val="none" w:sz="0" w:space="0" w:color="auto"/>
        <w:right w:val="none" w:sz="0" w:space="0" w:color="auto"/>
      </w:divBdr>
    </w:div>
    <w:div w:id="392002620">
      <w:bodyDiv w:val="1"/>
      <w:marLeft w:val="0"/>
      <w:marRight w:val="0"/>
      <w:marTop w:val="0"/>
      <w:marBottom w:val="0"/>
      <w:divBdr>
        <w:top w:val="none" w:sz="0" w:space="0" w:color="auto"/>
        <w:left w:val="none" w:sz="0" w:space="0" w:color="auto"/>
        <w:bottom w:val="none" w:sz="0" w:space="0" w:color="auto"/>
        <w:right w:val="none" w:sz="0" w:space="0" w:color="auto"/>
      </w:divBdr>
    </w:div>
    <w:div w:id="393890633">
      <w:bodyDiv w:val="1"/>
      <w:marLeft w:val="0"/>
      <w:marRight w:val="0"/>
      <w:marTop w:val="0"/>
      <w:marBottom w:val="0"/>
      <w:divBdr>
        <w:top w:val="none" w:sz="0" w:space="0" w:color="auto"/>
        <w:left w:val="none" w:sz="0" w:space="0" w:color="auto"/>
        <w:bottom w:val="none" w:sz="0" w:space="0" w:color="auto"/>
        <w:right w:val="none" w:sz="0" w:space="0" w:color="auto"/>
      </w:divBdr>
    </w:div>
    <w:div w:id="549145587">
      <w:bodyDiv w:val="1"/>
      <w:marLeft w:val="0"/>
      <w:marRight w:val="0"/>
      <w:marTop w:val="0"/>
      <w:marBottom w:val="0"/>
      <w:divBdr>
        <w:top w:val="none" w:sz="0" w:space="0" w:color="auto"/>
        <w:left w:val="none" w:sz="0" w:space="0" w:color="auto"/>
        <w:bottom w:val="none" w:sz="0" w:space="0" w:color="auto"/>
        <w:right w:val="none" w:sz="0" w:space="0" w:color="auto"/>
      </w:divBdr>
    </w:div>
    <w:div w:id="553932716">
      <w:bodyDiv w:val="1"/>
      <w:marLeft w:val="0"/>
      <w:marRight w:val="0"/>
      <w:marTop w:val="0"/>
      <w:marBottom w:val="0"/>
      <w:divBdr>
        <w:top w:val="none" w:sz="0" w:space="0" w:color="auto"/>
        <w:left w:val="none" w:sz="0" w:space="0" w:color="auto"/>
        <w:bottom w:val="none" w:sz="0" w:space="0" w:color="auto"/>
        <w:right w:val="none" w:sz="0" w:space="0" w:color="auto"/>
      </w:divBdr>
    </w:div>
    <w:div w:id="650906044">
      <w:bodyDiv w:val="1"/>
      <w:marLeft w:val="0"/>
      <w:marRight w:val="0"/>
      <w:marTop w:val="0"/>
      <w:marBottom w:val="0"/>
      <w:divBdr>
        <w:top w:val="none" w:sz="0" w:space="0" w:color="auto"/>
        <w:left w:val="none" w:sz="0" w:space="0" w:color="auto"/>
        <w:bottom w:val="none" w:sz="0" w:space="0" w:color="auto"/>
        <w:right w:val="none" w:sz="0" w:space="0" w:color="auto"/>
      </w:divBdr>
    </w:div>
    <w:div w:id="684939564">
      <w:bodyDiv w:val="1"/>
      <w:marLeft w:val="0"/>
      <w:marRight w:val="0"/>
      <w:marTop w:val="0"/>
      <w:marBottom w:val="0"/>
      <w:divBdr>
        <w:top w:val="none" w:sz="0" w:space="0" w:color="auto"/>
        <w:left w:val="none" w:sz="0" w:space="0" w:color="auto"/>
        <w:bottom w:val="none" w:sz="0" w:space="0" w:color="auto"/>
        <w:right w:val="none" w:sz="0" w:space="0" w:color="auto"/>
      </w:divBdr>
    </w:div>
    <w:div w:id="696389341">
      <w:bodyDiv w:val="1"/>
      <w:marLeft w:val="0"/>
      <w:marRight w:val="0"/>
      <w:marTop w:val="0"/>
      <w:marBottom w:val="0"/>
      <w:divBdr>
        <w:top w:val="none" w:sz="0" w:space="0" w:color="auto"/>
        <w:left w:val="none" w:sz="0" w:space="0" w:color="auto"/>
        <w:bottom w:val="none" w:sz="0" w:space="0" w:color="auto"/>
        <w:right w:val="none" w:sz="0" w:space="0" w:color="auto"/>
      </w:divBdr>
    </w:div>
    <w:div w:id="767702149">
      <w:bodyDiv w:val="1"/>
      <w:marLeft w:val="0"/>
      <w:marRight w:val="0"/>
      <w:marTop w:val="0"/>
      <w:marBottom w:val="0"/>
      <w:divBdr>
        <w:top w:val="none" w:sz="0" w:space="0" w:color="auto"/>
        <w:left w:val="none" w:sz="0" w:space="0" w:color="auto"/>
        <w:bottom w:val="none" w:sz="0" w:space="0" w:color="auto"/>
        <w:right w:val="none" w:sz="0" w:space="0" w:color="auto"/>
      </w:divBdr>
    </w:div>
    <w:div w:id="796221005">
      <w:bodyDiv w:val="1"/>
      <w:marLeft w:val="0"/>
      <w:marRight w:val="0"/>
      <w:marTop w:val="0"/>
      <w:marBottom w:val="0"/>
      <w:divBdr>
        <w:top w:val="none" w:sz="0" w:space="0" w:color="auto"/>
        <w:left w:val="none" w:sz="0" w:space="0" w:color="auto"/>
        <w:bottom w:val="none" w:sz="0" w:space="0" w:color="auto"/>
        <w:right w:val="none" w:sz="0" w:space="0" w:color="auto"/>
      </w:divBdr>
    </w:div>
    <w:div w:id="825753987">
      <w:bodyDiv w:val="1"/>
      <w:marLeft w:val="0"/>
      <w:marRight w:val="0"/>
      <w:marTop w:val="0"/>
      <w:marBottom w:val="0"/>
      <w:divBdr>
        <w:top w:val="none" w:sz="0" w:space="0" w:color="auto"/>
        <w:left w:val="none" w:sz="0" w:space="0" w:color="auto"/>
        <w:bottom w:val="none" w:sz="0" w:space="0" w:color="auto"/>
        <w:right w:val="none" w:sz="0" w:space="0" w:color="auto"/>
      </w:divBdr>
    </w:div>
    <w:div w:id="909269220">
      <w:bodyDiv w:val="1"/>
      <w:marLeft w:val="0"/>
      <w:marRight w:val="0"/>
      <w:marTop w:val="0"/>
      <w:marBottom w:val="0"/>
      <w:divBdr>
        <w:top w:val="none" w:sz="0" w:space="0" w:color="auto"/>
        <w:left w:val="none" w:sz="0" w:space="0" w:color="auto"/>
        <w:bottom w:val="none" w:sz="0" w:space="0" w:color="auto"/>
        <w:right w:val="none" w:sz="0" w:space="0" w:color="auto"/>
      </w:divBdr>
    </w:div>
    <w:div w:id="1149009641">
      <w:bodyDiv w:val="1"/>
      <w:marLeft w:val="0"/>
      <w:marRight w:val="0"/>
      <w:marTop w:val="0"/>
      <w:marBottom w:val="0"/>
      <w:divBdr>
        <w:top w:val="none" w:sz="0" w:space="0" w:color="auto"/>
        <w:left w:val="none" w:sz="0" w:space="0" w:color="auto"/>
        <w:bottom w:val="none" w:sz="0" w:space="0" w:color="auto"/>
        <w:right w:val="none" w:sz="0" w:space="0" w:color="auto"/>
      </w:divBdr>
    </w:div>
    <w:div w:id="1203784576">
      <w:bodyDiv w:val="1"/>
      <w:marLeft w:val="0"/>
      <w:marRight w:val="0"/>
      <w:marTop w:val="0"/>
      <w:marBottom w:val="0"/>
      <w:divBdr>
        <w:top w:val="none" w:sz="0" w:space="0" w:color="auto"/>
        <w:left w:val="none" w:sz="0" w:space="0" w:color="auto"/>
        <w:bottom w:val="none" w:sz="0" w:space="0" w:color="auto"/>
        <w:right w:val="none" w:sz="0" w:space="0" w:color="auto"/>
      </w:divBdr>
    </w:div>
    <w:div w:id="1272126050">
      <w:bodyDiv w:val="1"/>
      <w:marLeft w:val="0"/>
      <w:marRight w:val="0"/>
      <w:marTop w:val="0"/>
      <w:marBottom w:val="0"/>
      <w:divBdr>
        <w:top w:val="none" w:sz="0" w:space="0" w:color="auto"/>
        <w:left w:val="none" w:sz="0" w:space="0" w:color="auto"/>
        <w:bottom w:val="none" w:sz="0" w:space="0" w:color="auto"/>
        <w:right w:val="none" w:sz="0" w:space="0" w:color="auto"/>
      </w:divBdr>
    </w:div>
    <w:div w:id="1574849237">
      <w:bodyDiv w:val="1"/>
      <w:marLeft w:val="0"/>
      <w:marRight w:val="0"/>
      <w:marTop w:val="0"/>
      <w:marBottom w:val="0"/>
      <w:divBdr>
        <w:top w:val="none" w:sz="0" w:space="0" w:color="auto"/>
        <w:left w:val="none" w:sz="0" w:space="0" w:color="auto"/>
        <w:bottom w:val="none" w:sz="0" w:space="0" w:color="auto"/>
        <w:right w:val="none" w:sz="0" w:space="0" w:color="auto"/>
      </w:divBdr>
    </w:div>
    <w:div w:id="1606496495">
      <w:bodyDiv w:val="1"/>
      <w:marLeft w:val="0"/>
      <w:marRight w:val="0"/>
      <w:marTop w:val="0"/>
      <w:marBottom w:val="0"/>
      <w:divBdr>
        <w:top w:val="none" w:sz="0" w:space="0" w:color="auto"/>
        <w:left w:val="none" w:sz="0" w:space="0" w:color="auto"/>
        <w:bottom w:val="none" w:sz="0" w:space="0" w:color="auto"/>
        <w:right w:val="none" w:sz="0" w:space="0" w:color="auto"/>
      </w:divBdr>
    </w:div>
    <w:div w:id="1819221618">
      <w:bodyDiv w:val="1"/>
      <w:marLeft w:val="0"/>
      <w:marRight w:val="0"/>
      <w:marTop w:val="0"/>
      <w:marBottom w:val="0"/>
      <w:divBdr>
        <w:top w:val="none" w:sz="0" w:space="0" w:color="auto"/>
        <w:left w:val="none" w:sz="0" w:space="0" w:color="auto"/>
        <w:bottom w:val="none" w:sz="0" w:space="0" w:color="auto"/>
        <w:right w:val="none" w:sz="0" w:space="0" w:color="auto"/>
      </w:divBdr>
    </w:div>
    <w:div w:id="2084254816">
      <w:bodyDiv w:val="1"/>
      <w:marLeft w:val="0"/>
      <w:marRight w:val="0"/>
      <w:marTop w:val="0"/>
      <w:marBottom w:val="0"/>
      <w:divBdr>
        <w:top w:val="none" w:sz="0" w:space="0" w:color="auto"/>
        <w:left w:val="none" w:sz="0" w:space="0" w:color="auto"/>
        <w:bottom w:val="none" w:sz="0" w:space="0" w:color="auto"/>
        <w:right w:val="none" w:sz="0" w:space="0" w:color="auto"/>
      </w:divBdr>
    </w:div>
    <w:div w:id="212502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Ken07</b:Tag>
    <b:SourceType>JournalArticle</b:SourceType>
    <b:Guid>{E8254DE6-4E82-4675-9775-AF8ADDE46DDF}</b:Guid>
    <b:Author>
      <b:Author>
        <b:NameList>
          <b:Person>
            <b:Last>Kenway</b:Last>
            <b:First>P</b:First>
          </b:Person>
          <b:Person>
            <b:Last>Palmer</b:Last>
            <b:First>G</b:First>
          </b:Person>
        </b:NameList>
      </b:Author>
    </b:Author>
    <b:Title>Poverty among ethnic groups, how and why does it differ?</b:Title>
    <b:JournalName>New Policy Institute</b:JournalName>
    <b:Year>2007</b:Year>
    <b:Pages>1-40</b:Pages>
    <b:RefOrder>1</b:RefOrder>
  </b:Source>
  <b:Source>
    <b:Tag>Uni15</b:Tag>
    <b:SourceType>InternetSite</b:SourceType>
    <b:Guid>{1C6356F5-3604-4216-86E4-D3A1B70A73ED}</b:Guid>
    <b:Title>Poverty</b:Title>
    <b:Year>2015</b:Year>
    <b:Author>
      <b:Author>
        <b:NameList>
          <b:Person>
            <b:Last>United Nations Educational</b:Last>
            <b:First>Scientific</b:First>
            <b:Middle>and Cultural Organisation</b:Middle>
          </b:Person>
        </b:NameList>
      </b:Author>
    </b:Author>
    <b:InternetSiteTitle>UNESCO</b:InternetSiteTitle>
    <b:URL>http://www.unesco.org/new/en/social-and-human-sciences/themes/international-migration/glossary/poverty/</b:URL>
    <b:RefOrder>5</b:RefOrder>
  </b:Source>
  <b:Source>
    <b:Tag>Off17</b:Tag>
    <b:SourceType>JournalArticle</b:SourceType>
    <b:Guid>{19594332-D13F-4D48-AF7A-8BC4143F262B}</b:Guid>
    <b:Title>Unemployment by Ethnic Background</b:Title>
    <b:Year>2017</b:Year>
    <b:Author>
      <b:Author>
        <b:NameList>
          <b:Person>
            <b:Last>Statistics</b:Last>
            <b:First>Office</b:First>
            <b:Middle>of National</b:Middle>
          </b:Person>
        </b:NameList>
      </b:Author>
    </b:Author>
    <b:JournalName>Annual Population Survey</b:JournalName>
    <b:RefOrder>6</b:RefOrder>
  </b:Source>
  <b:Source>
    <b:Tag>Sin15</b:Tag>
    <b:SourceType>Report</b:SourceType>
    <b:Guid>{70216752-AC63-46DE-B74C-571A88CBE8F0}</b:Guid>
    <b:Author>
      <b:Author>
        <b:NameList>
          <b:Person>
            <b:Last>Sinclair</b:Last>
            <b:First>Leah</b:First>
          </b:Person>
        </b:NameList>
      </b:Author>
    </b:Author>
    <b:Title>The ‘angry black girl’ stereotype shows just how little we are respected</b:Title>
    <b:JournalName>The Guardian</b:JournalName>
    <b:Year>2015</b:Year>
    <b:Publisher>The Guardian</b:Publisher>
    <b:City>London</b:City>
    <b:RefOrder>7</b:RefOrder>
  </b:Source>
  <b:Source>
    <b:Tag>Mah12</b:Tag>
    <b:SourceType>Book</b:SourceType>
    <b:Guid>{26CEEE41-3953-44AF-A937-EA9861F83A99}</b:Guid>
    <b:Title>Racism and Cultural Diversity: Cultivating Racial Harmony through Counselling, Group Analysis, and Psychotherapy</b:Title>
    <b:Year>2012</b:Year>
    <b:Publisher>Karnac Books</b:Publisher>
    <b:City>London</b:City>
    <b:Author>
      <b:Author>
        <b:NameList>
          <b:Person>
            <b:Last>Maher</b:Last>
            <b:First>M.</b:First>
            <b:Middle>J.</b:Middle>
          </b:Person>
        </b:NameList>
      </b:Author>
    </b:Author>
    <b:RefOrder>8</b:RefOrder>
  </b:Source>
  <b:Source>
    <b:Tag>Min14</b:Tag>
    <b:SourceType>InternetSite</b:SourceType>
    <b:Guid>{3B32E1C8-4A02-4BC1-81E3-1D8E5570CDA9}</b:Guid>
    <b:Title>What is Mindfulness</b:Title>
    <b:Year>2014</b:Year>
    <b:Author>
      <b:Author>
        <b:NameList>
          <b:Person>
            <b:Last>Staff</b:Last>
            <b:First>Mindful</b:First>
          </b:Person>
        </b:NameList>
      </b:Author>
    </b:Author>
    <b:InternetSiteTitle>Mindful.org</b:InternetSiteTitle>
    <b:Month>October</b:Month>
    <b:Day>8</b:Day>
    <b:URL>https://www.mindful.org/what-is-mindfulness/</b:URL>
    <b:RefOrder>3</b:RefOrder>
  </b:Source>
  <b:Source>
    <b:Tag>Dav11</b:Tag>
    <b:SourceType>JournalArticle</b:SourceType>
    <b:Guid>{9A7F30A2-327A-4CCB-8E9F-BDAB1BFD560C}</b:Guid>
    <b:Title>What Are the Benefits of Mindfulness? A Practice Review of Psychotherapy-related Research</b:Title>
    <b:Year>2011</b:Year>
    <b:Author>
      <b:Author>
        <b:NameList>
          <b:Person>
            <b:Last>Davis</b:Last>
            <b:First>D.</b:First>
            <b:Middle>M.</b:Middle>
          </b:Person>
          <b:Person>
            <b:Last>Hayes</b:Last>
            <b:First>J.</b:First>
            <b:Middle>A.</b:Middle>
          </b:Person>
        </b:NameList>
      </b:Author>
    </b:Author>
    <b:JournalName>Psychotherapy</b:JournalName>
    <b:Pages>198-208</b:Pages>
    <b:RefOrder>4</b:RefOrder>
  </b:Source>
  <b:Source>
    <b:Tag>Sto17</b:Tag>
    <b:SourceType>Report</b:SourceType>
    <b:Guid>{74F3A770-61C5-4C6A-A539-FFDEF082AA52}</b:Guid>
    <b:Title>LGBT in Britain; Hate Crime and Discrimination</b:Title>
    <b:Year>2017</b:Year>
    <b:Author>
      <b:Author>
        <b:NameList>
          <b:Person>
            <b:Last>Stonewall</b:Last>
          </b:Person>
        </b:NameList>
      </b:Author>
    </b:Author>
    <b:Publisher>Stonewall</b:Publisher>
    <b:City>London</b:City>
    <b:RefOrder>9</b:RefOrder>
  </b:Source>
  <b:Source>
    <b:Tag>Sto15</b:Tag>
    <b:SourceType>Report</b:SourceType>
    <b:Guid>{9698166A-0645-4BA2-8868-E2BD1CD4A78C}</b:Guid>
    <b:Author>
      <b:Author>
        <b:NameList>
          <b:Person>
            <b:Last>Stonewall</b:Last>
          </b:Person>
        </b:NameList>
      </b:Author>
    </b:Author>
    <b:Title>Unhealthy Attitudes</b:Title>
    <b:Year>2015</b:Year>
    <b:Publisher>Stonewall</b:Publisher>
    <b:City>London</b:City>
    <b:RefOrder>2</b:RefOrder>
  </b:Source>
  <b:Source>
    <b:Tag>Wel16</b:Tag>
    <b:SourceType>Report</b:SourceType>
    <b:Guid>{5815DC60-866E-41F9-9628-E165EDCC4E67}</b:Guid>
    <b:Title>Together for Mental Health Delivery Plan 2016-2019</b:Title>
    <b:Year>2016</b:Year>
    <b:Publisher>Welsh Government</b:Publisher>
    <b:Author>
      <b:Author>
        <b:NameList>
          <b:Person>
            <b:Last>Government</b:Last>
            <b:First>Welsh</b:First>
          </b:Person>
        </b:NameList>
      </b:Author>
    </b:Author>
    <b:RefOrder>10</b:RefOrder>
  </b:Source>
  <b:Source>
    <b:Tag>Hea17</b:Tag>
    <b:SourceType>Report</b:SourceType>
    <b:Guid>{F3B168ED-596A-4FCE-8490-79ED6861CF13}</b:Guid>
    <b:Author>
      <b:Author>
        <b:NameList>
          <b:Person>
            <b:Last>Executive</b:Last>
            <b:First>Health</b:First>
            <b:Middle>and Safety</b:Middle>
          </b:Person>
        </b:NameList>
      </b:Author>
    </b:Author>
    <b:Title>Work-related Stress, Depression or Anxiety: Statistics in Great Britain 2017</b:Title>
    <b:Year>2017</b:Year>
    <b:Publisher>Health and Safety Executive</b:Publisher>
    <b:City>London</b:City>
    <b:RefOrder>11</b:RefOrder>
  </b:Source>
  <b:Source>
    <b:Tag>Nod15</b:Tag>
    <b:SourceType>Report</b:SourceType>
    <b:Guid>{42749608-4BA2-4F0B-BAEF-F49360F039A3}</b:Guid>
    <b:Author>
      <b:Author>
        <b:NameList>
          <b:Person>
            <b:Last>Nodin</b:Last>
            <b:First>N</b:First>
          </b:Person>
          <b:Person>
            <b:Last>Peel</b:Last>
            <b:First>E</b:First>
          </b:Person>
          <b:Person>
            <b:Last>Tyler</b:Last>
            <b:First>A</b:First>
          </b:Person>
          <b:Person>
            <b:Last>Rivers</b:Last>
            <b:First>I</b:First>
          </b:Person>
        </b:NameList>
      </b:Author>
    </b:Author>
    <b:Title>The RaRE Research Report</b:Title>
    <b:Year>2015</b:Year>
    <b:Publisher>PACE</b:Publisher>
    <b:City>London</b:City>
    <b:RefOrder>12</b:RefOrder>
  </b:Source>
  <b:Source>
    <b:Tag>Alb15</b:Tag>
    <b:SourceType>Report</b:SourceType>
    <b:Guid>{00DEDF1D-A36F-415D-9385-055AE9F76DDE}</b:Guid>
    <b:Author>
      <b:Author>
        <b:NameList>
          <b:Person>
            <b:Last>Trust</b:Last>
            <b:First>Albert</b:First>
            <b:Middle>Kennedy</b:Middle>
          </b:Person>
        </b:NameList>
      </b:Author>
    </b:Author>
    <b:Title>LGBT Youth Homelessness</b:Title>
    <b:Year>2015</b:Year>
    <b:Publisher>Albert Kennedy Trust</b:Publisher>
    <b:City>London</b:City>
    <b:RefOrder>13</b:RefOrder>
  </b:Source>
  <b:Source>
    <b:Tag>Wor48</b:Tag>
    <b:SourceType>JournalArticle</b:SourceType>
    <b:Guid>{46F241F9-B002-437A-BFAA-B8FF74DC21FF}</b:Guid>
    <b:Title>Constitution of the World Health Organisation</b:Title>
    <b:Year>1948</b:Year>
    <b:Author>
      <b:Author>
        <b:NameList>
          <b:Person>
            <b:Last>Orgnisation</b:Last>
            <b:First>World</b:First>
            <b:Middle>Health</b:Middle>
          </b:Person>
        </b:NameList>
      </b:Author>
    </b:Author>
    <b:Pages>1</b:Pages>
    <b:RefOrder>14</b:RefOrder>
  </b:Source>
</b:Sources>
</file>

<file path=customXml/itemProps1.xml><?xml version="1.0" encoding="utf-8"?>
<ds:datastoreItem xmlns:ds="http://schemas.openxmlformats.org/officeDocument/2006/customXml" ds:itemID="{8CA160FC-9F09-43C2-8599-A62FF2CB7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9</Pages>
  <Words>1993</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4</cp:revision>
  <dcterms:created xsi:type="dcterms:W3CDTF">2017-11-28T13:29:00Z</dcterms:created>
  <dcterms:modified xsi:type="dcterms:W3CDTF">2017-12-04T16:45:00Z</dcterms:modified>
</cp:coreProperties>
</file>