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A26FC" w14:textId="4E149966" w:rsidR="009257EB" w:rsidRPr="00F8053B" w:rsidRDefault="002613A7">
      <w:pPr>
        <w:rPr>
          <w:b/>
          <w:bCs/>
          <w:sz w:val="32"/>
          <w:szCs w:val="32"/>
          <w:lang w:val="en-US"/>
        </w:rPr>
      </w:pPr>
      <w:r w:rsidRPr="00F8053B">
        <w:rPr>
          <w:b/>
          <w:bCs/>
          <w:sz w:val="32"/>
          <w:szCs w:val="32"/>
          <w:lang w:val="en-US"/>
        </w:rPr>
        <w:t>Leasehold – Questions</w:t>
      </w:r>
      <w:r w:rsidR="00397EE4">
        <w:rPr>
          <w:b/>
          <w:bCs/>
          <w:sz w:val="32"/>
          <w:szCs w:val="32"/>
          <w:lang w:val="en-US"/>
        </w:rPr>
        <w:t xml:space="preserve"> and Answers</w:t>
      </w:r>
    </w:p>
    <w:p w14:paraId="7D40D299" w14:textId="074DB700" w:rsidR="002613A7" w:rsidRDefault="002613A7" w:rsidP="002613A7">
      <w:pPr>
        <w:pStyle w:val="ListParagraph"/>
        <w:numPr>
          <w:ilvl w:val="0"/>
          <w:numId w:val="1"/>
        </w:numPr>
        <w:rPr>
          <w:sz w:val="24"/>
          <w:szCs w:val="24"/>
          <w:lang w:val="en-US"/>
        </w:rPr>
      </w:pPr>
      <w:r w:rsidRPr="00F8053B">
        <w:rPr>
          <w:sz w:val="24"/>
          <w:szCs w:val="24"/>
          <w:lang w:val="en-US"/>
        </w:rPr>
        <w:t>Fred owns Greenacres.  He has allowed his cousin Jemima, the use of his spare room for six months.  Could Jemima claim a lease?</w:t>
      </w:r>
    </w:p>
    <w:p w14:paraId="4B721F6A" w14:textId="74D69C91" w:rsidR="00397EE4" w:rsidRPr="00397EE4" w:rsidRDefault="00397EE4" w:rsidP="00397EE4">
      <w:pPr>
        <w:pStyle w:val="ListParagraph"/>
        <w:rPr>
          <w:sz w:val="24"/>
          <w:szCs w:val="24"/>
          <w:lang w:val="en-US"/>
        </w:rPr>
      </w:pPr>
      <w:r>
        <w:rPr>
          <w:sz w:val="24"/>
          <w:szCs w:val="24"/>
          <w:lang w:val="en-US"/>
        </w:rPr>
        <w:t>It is questionable whether Jemima could claim exclusive possession of the spare room.  Fred is also probably acting out of generosity (</w:t>
      </w:r>
      <w:r>
        <w:rPr>
          <w:b/>
          <w:bCs/>
          <w:i/>
          <w:iCs/>
          <w:sz w:val="24"/>
          <w:szCs w:val="24"/>
          <w:lang w:val="en-US"/>
        </w:rPr>
        <w:t>Heslop v Burns [1974]</w:t>
      </w:r>
      <w:r>
        <w:rPr>
          <w:sz w:val="24"/>
          <w:szCs w:val="24"/>
          <w:lang w:val="en-US"/>
        </w:rPr>
        <w:t>) so even if Jemima could argue exclusive possession, she would come under the category of special circumstances and so a lease would not be found.</w:t>
      </w:r>
    </w:p>
    <w:p w14:paraId="5B32197C" w14:textId="77777777" w:rsidR="00F8053B" w:rsidRPr="00F8053B" w:rsidRDefault="00F8053B" w:rsidP="00F8053B">
      <w:pPr>
        <w:pStyle w:val="ListParagraph"/>
        <w:rPr>
          <w:sz w:val="24"/>
          <w:szCs w:val="24"/>
          <w:lang w:val="en-US"/>
        </w:rPr>
      </w:pPr>
    </w:p>
    <w:p w14:paraId="6D24B2F9" w14:textId="684160E2" w:rsidR="002613A7" w:rsidRDefault="002613A7" w:rsidP="002613A7">
      <w:pPr>
        <w:pStyle w:val="ListParagraph"/>
        <w:numPr>
          <w:ilvl w:val="0"/>
          <w:numId w:val="1"/>
        </w:numPr>
        <w:rPr>
          <w:sz w:val="24"/>
          <w:szCs w:val="24"/>
          <w:lang w:val="en-US"/>
        </w:rPr>
      </w:pPr>
      <w:r w:rsidRPr="00F8053B">
        <w:rPr>
          <w:sz w:val="24"/>
          <w:szCs w:val="24"/>
          <w:lang w:val="en-US"/>
        </w:rPr>
        <w:t>If Jemima did not have a lease, what would she have?</w:t>
      </w:r>
    </w:p>
    <w:p w14:paraId="2F2EA1D5" w14:textId="42EAD0C4" w:rsidR="00397EE4" w:rsidRDefault="00397EE4" w:rsidP="00397EE4">
      <w:pPr>
        <w:pStyle w:val="ListParagraph"/>
        <w:rPr>
          <w:sz w:val="24"/>
          <w:szCs w:val="24"/>
          <w:lang w:val="en-US"/>
        </w:rPr>
      </w:pPr>
      <w:r>
        <w:rPr>
          <w:sz w:val="24"/>
          <w:szCs w:val="24"/>
          <w:lang w:val="en-US"/>
        </w:rPr>
        <w:t xml:space="preserve">She would have a </w:t>
      </w:r>
      <w:proofErr w:type="spellStart"/>
      <w:r>
        <w:rPr>
          <w:sz w:val="24"/>
          <w:szCs w:val="24"/>
          <w:lang w:val="en-US"/>
        </w:rPr>
        <w:t>licence</w:t>
      </w:r>
      <w:proofErr w:type="spellEnd"/>
      <w:r>
        <w:rPr>
          <w:sz w:val="24"/>
          <w:szCs w:val="24"/>
          <w:lang w:val="en-US"/>
        </w:rPr>
        <w:t xml:space="preserve">.  This would be a bare </w:t>
      </w:r>
      <w:proofErr w:type="spellStart"/>
      <w:r>
        <w:rPr>
          <w:sz w:val="24"/>
          <w:szCs w:val="24"/>
          <w:lang w:val="en-US"/>
        </w:rPr>
        <w:t>licence</w:t>
      </w:r>
      <w:proofErr w:type="spellEnd"/>
      <w:r>
        <w:rPr>
          <w:sz w:val="24"/>
          <w:szCs w:val="24"/>
          <w:lang w:val="en-US"/>
        </w:rPr>
        <w:t xml:space="preserve"> if she paid nothing to Fred to stay in his spare room (no consideration) or a contractual </w:t>
      </w:r>
      <w:proofErr w:type="spellStart"/>
      <w:r>
        <w:rPr>
          <w:sz w:val="24"/>
          <w:szCs w:val="24"/>
          <w:lang w:val="en-US"/>
        </w:rPr>
        <w:t>licence</w:t>
      </w:r>
      <w:proofErr w:type="spellEnd"/>
      <w:r>
        <w:rPr>
          <w:sz w:val="24"/>
          <w:szCs w:val="24"/>
          <w:lang w:val="en-US"/>
        </w:rPr>
        <w:t xml:space="preserve"> if she did pay (consideration).</w:t>
      </w:r>
    </w:p>
    <w:p w14:paraId="5EC98E7C" w14:textId="77777777" w:rsidR="00F8053B" w:rsidRPr="00F8053B" w:rsidRDefault="00F8053B" w:rsidP="00F8053B">
      <w:pPr>
        <w:rPr>
          <w:sz w:val="24"/>
          <w:szCs w:val="24"/>
          <w:lang w:val="en-US"/>
        </w:rPr>
      </w:pPr>
    </w:p>
    <w:p w14:paraId="14F4F2BA" w14:textId="4557C393" w:rsidR="002613A7" w:rsidRDefault="002613A7" w:rsidP="002613A7">
      <w:pPr>
        <w:pStyle w:val="ListParagraph"/>
        <w:numPr>
          <w:ilvl w:val="0"/>
          <w:numId w:val="1"/>
        </w:numPr>
        <w:rPr>
          <w:sz w:val="24"/>
          <w:szCs w:val="24"/>
          <w:lang w:val="en-US"/>
        </w:rPr>
      </w:pPr>
      <w:r w:rsidRPr="00F8053B">
        <w:rPr>
          <w:sz w:val="24"/>
          <w:szCs w:val="24"/>
          <w:lang w:val="en-US"/>
        </w:rPr>
        <w:t xml:space="preserve">Do you think Jemima would rather have a lease or a </w:t>
      </w:r>
      <w:proofErr w:type="spellStart"/>
      <w:r w:rsidRPr="00F8053B">
        <w:rPr>
          <w:sz w:val="24"/>
          <w:szCs w:val="24"/>
          <w:lang w:val="en-US"/>
        </w:rPr>
        <w:t>licence</w:t>
      </w:r>
      <w:proofErr w:type="spellEnd"/>
      <w:r w:rsidRPr="00F8053B">
        <w:rPr>
          <w:sz w:val="24"/>
          <w:szCs w:val="24"/>
          <w:lang w:val="en-US"/>
        </w:rPr>
        <w:t>?</w:t>
      </w:r>
    </w:p>
    <w:p w14:paraId="52F6A61C" w14:textId="76F9230D" w:rsidR="00397EE4" w:rsidRDefault="00397EE4" w:rsidP="00397EE4">
      <w:pPr>
        <w:pStyle w:val="ListParagraph"/>
        <w:rPr>
          <w:sz w:val="24"/>
          <w:szCs w:val="24"/>
          <w:lang w:val="en-US"/>
        </w:rPr>
      </w:pPr>
      <w:r>
        <w:rPr>
          <w:sz w:val="24"/>
          <w:szCs w:val="24"/>
          <w:lang w:val="en-US"/>
        </w:rPr>
        <w:t>A lease.  A lease is a proprietary right in the land and so has the capacity to bind a third party.  For example, if Fred sold the house to Peter, Jemima’s lease has the capacity to bind Peter.  Whether it does depends on any registration requirements.  Jemima might also be able to claim statutory protection under the Rents Acts.</w:t>
      </w:r>
    </w:p>
    <w:p w14:paraId="79D3EF51" w14:textId="77777777" w:rsidR="00F8053B" w:rsidRPr="00F8053B" w:rsidRDefault="00F8053B" w:rsidP="00F8053B">
      <w:pPr>
        <w:pStyle w:val="ListParagraph"/>
        <w:rPr>
          <w:sz w:val="24"/>
          <w:szCs w:val="24"/>
          <w:lang w:val="en-US"/>
        </w:rPr>
      </w:pPr>
    </w:p>
    <w:p w14:paraId="6ED844CA" w14:textId="77777777" w:rsidR="00F8053B" w:rsidRPr="00F8053B" w:rsidRDefault="00F8053B" w:rsidP="00F8053B">
      <w:pPr>
        <w:pStyle w:val="ListParagraph"/>
        <w:rPr>
          <w:sz w:val="24"/>
          <w:szCs w:val="24"/>
          <w:lang w:val="en-US"/>
        </w:rPr>
      </w:pPr>
    </w:p>
    <w:p w14:paraId="2049BA75" w14:textId="4EC2AFEB" w:rsidR="002613A7" w:rsidRDefault="002613A7" w:rsidP="002613A7">
      <w:pPr>
        <w:pStyle w:val="ListParagraph"/>
        <w:numPr>
          <w:ilvl w:val="0"/>
          <w:numId w:val="1"/>
        </w:numPr>
        <w:rPr>
          <w:sz w:val="24"/>
          <w:szCs w:val="24"/>
          <w:lang w:val="en-US"/>
        </w:rPr>
      </w:pPr>
      <w:r w:rsidRPr="00F8053B">
        <w:rPr>
          <w:sz w:val="24"/>
          <w:szCs w:val="24"/>
          <w:lang w:val="en-US"/>
        </w:rPr>
        <w:t>Fred has given Amy a written agreement in which he has given her a lease of The Farm for 10 years at a yearly rent of £20,000.  Fred alone has signed the agreement.  Does Amy have a lease?</w:t>
      </w:r>
    </w:p>
    <w:p w14:paraId="1DE3B080" w14:textId="46E0902F" w:rsidR="00397EE4" w:rsidRDefault="00397EE4" w:rsidP="00397EE4">
      <w:pPr>
        <w:pStyle w:val="ListParagraph"/>
        <w:rPr>
          <w:sz w:val="24"/>
          <w:szCs w:val="24"/>
          <w:lang w:val="en-US"/>
        </w:rPr>
      </w:pPr>
      <w:r>
        <w:rPr>
          <w:sz w:val="24"/>
          <w:szCs w:val="24"/>
          <w:lang w:val="en-US"/>
        </w:rPr>
        <w:t>Assuming that Amy has exclusive possession, she has been given a certain term of 10 years and she pays rent, although rent is not essential for a lease to be valid.</w:t>
      </w:r>
      <w:r w:rsidR="00B727AF">
        <w:rPr>
          <w:sz w:val="24"/>
          <w:szCs w:val="24"/>
          <w:lang w:val="en-US"/>
        </w:rPr>
        <w:t xml:space="preserve">  The lease has not been granted by deed so she cannot claim a legal lease. The lease is for more that 3 years so she cannot claim a legal lease created under s54(2) LPA 1925.  She has not signed the agreement so does not have an equitable lease because she does not meet the requirements of s2 LP(MP)A 1989.  She could claim an implied legal yearly periodic tenancy based on the yearly rent of £20,000 created under s54(2) LPA 1925.</w:t>
      </w:r>
      <w:r>
        <w:rPr>
          <w:sz w:val="24"/>
          <w:szCs w:val="24"/>
          <w:lang w:val="en-US"/>
        </w:rPr>
        <w:t xml:space="preserve">  </w:t>
      </w:r>
    </w:p>
    <w:p w14:paraId="26852976" w14:textId="77777777" w:rsidR="00F8053B" w:rsidRPr="00F8053B" w:rsidRDefault="00F8053B" w:rsidP="00F8053B">
      <w:pPr>
        <w:pStyle w:val="ListParagraph"/>
        <w:rPr>
          <w:sz w:val="24"/>
          <w:szCs w:val="24"/>
          <w:lang w:val="en-US"/>
        </w:rPr>
      </w:pPr>
    </w:p>
    <w:p w14:paraId="643DACFE" w14:textId="5D946B75" w:rsidR="002613A7" w:rsidRDefault="002613A7" w:rsidP="002613A7">
      <w:pPr>
        <w:pStyle w:val="ListParagraph"/>
        <w:numPr>
          <w:ilvl w:val="0"/>
          <w:numId w:val="1"/>
        </w:numPr>
        <w:rPr>
          <w:sz w:val="24"/>
          <w:szCs w:val="24"/>
          <w:lang w:val="en-US"/>
        </w:rPr>
      </w:pPr>
      <w:r w:rsidRPr="00F8053B">
        <w:rPr>
          <w:sz w:val="24"/>
          <w:szCs w:val="24"/>
          <w:lang w:val="en-US"/>
        </w:rPr>
        <w:t>Would your answer be different if both Amy and Fred had signed the agreement?</w:t>
      </w:r>
    </w:p>
    <w:p w14:paraId="5B27E844" w14:textId="24B1BC07" w:rsidR="00F8053B" w:rsidRPr="00074D5F" w:rsidRDefault="00B727AF" w:rsidP="00F8053B">
      <w:pPr>
        <w:pStyle w:val="ListParagraph"/>
        <w:rPr>
          <w:sz w:val="24"/>
          <w:szCs w:val="24"/>
          <w:lang w:val="en-US"/>
        </w:rPr>
      </w:pPr>
      <w:r>
        <w:rPr>
          <w:sz w:val="24"/>
          <w:szCs w:val="24"/>
          <w:lang w:val="en-US"/>
        </w:rPr>
        <w:t xml:space="preserve">Assuming all the expressed terms of the lease were in the agreement, it would satisfy s2 LP(MP)A 1989, giving Amy an equitable lease.  She would </w:t>
      </w:r>
      <w:r w:rsidR="00074D5F">
        <w:rPr>
          <w:sz w:val="24"/>
          <w:szCs w:val="24"/>
          <w:lang w:val="en-US"/>
        </w:rPr>
        <w:t>also still be able to claim the implied yearly periodic tenancy.  The terms of the equitable lease would prevail (</w:t>
      </w:r>
      <w:r w:rsidR="00074D5F">
        <w:rPr>
          <w:b/>
          <w:bCs/>
          <w:i/>
          <w:iCs/>
          <w:sz w:val="24"/>
          <w:szCs w:val="24"/>
          <w:lang w:val="en-US"/>
        </w:rPr>
        <w:t>Walsh v Lonsdale [1882]</w:t>
      </w:r>
      <w:r w:rsidR="00074D5F">
        <w:rPr>
          <w:sz w:val="24"/>
          <w:szCs w:val="24"/>
          <w:lang w:val="en-US"/>
        </w:rPr>
        <w:t>).</w:t>
      </w:r>
    </w:p>
    <w:p w14:paraId="21EB4E4F" w14:textId="77777777" w:rsidR="00F8053B" w:rsidRPr="00F8053B" w:rsidRDefault="00F8053B" w:rsidP="00F8053B">
      <w:pPr>
        <w:pStyle w:val="ListParagraph"/>
        <w:rPr>
          <w:sz w:val="24"/>
          <w:szCs w:val="24"/>
          <w:lang w:val="en-US"/>
        </w:rPr>
      </w:pPr>
    </w:p>
    <w:p w14:paraId="46DF54C2" w14:textId="51870F64" w:rsidR="002613A7" w:rsidRDefault="002613A7" w:rsidP="002613A7">
      <w:pPr>
        <w:pStyle w:val="ListParagraph"/>
        <w:numPr>
          <w:ilvl w:val="0"/>
          <w:numId w:val="1"/>
        </w:numPr>
        <w:rPr>
          <w:sz w:val="24"/>
          <w:szCs w:val="24"/>
          <w:lang w:val="en-US"/>
        </w:rPr>
      </w:pPr>
      <w:r w:rsidRPr="00F8053B">
        <w:rPr>
          <w:sz w:val="24"/>
          <w:szCs w:val="24"/>
          <w:lang w:val="en-US"/>
        </w:rPr>
        <w:t>In what circumstances will a tenant who has assigned a lease remain liable on the leasehold covenants in a lease that has been created on or after 1 January 1996?</w:t>
      </w:r>
    </w:p>
    <w:p w14:paraId="456647AB" w14:textId="72986656" w:rsidR="00074D5F" w:rsidRPr="00F8053B" w:rsidRDefault="00074D5F" w:rsidP="00074D5F">
      <w:pPr>
        <w:pStyle w:val="ListParagraph"/>
        <w:rPr>
          <w:sz w:val="24"/>
          <w:szCs w:val="24"/>
          <w:lang w:val="en-US"/>
        </w:rPr>
      </w:pPr>
      <w:r>
        <w:rPr>
          <w:sz w:val="24"/>
          <w:szCs w:val="24"/>
          <w:lang w:val="en-US"/>
        </w:rPr>
        <w:t>The tenant will remain liable if he has entered into an authorized guarantee agreement or if a covenant was expressed to be personal.</w:t>
      </w:r>
    </w:p>
    <w:sectPr w:rsidR="00074D5F" w:rsidRPr="00F805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5359A6"/>
    <w:multiLevelType w:val="hybridMultilevel"/>
    <w:tmpl w:val="79FEA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3A7"/>
    <w:rsid w:val="00074D5F"/>
    <w:rsid w:val="002613A7"/>
    <w:rsid w:val="00397EE4"/>
    <w:rsid w:val="009257EB"/>
    <w:rsid w:val="00B727AF"/>
    <w:rsid w:val="00F80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3F354"/>
  <w15:chartTrackingRefBased/>
  <w15:docId w15:val="{586689D0-E7B6-4F76-BF10-DEDBDFD37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2021-03-03T13:59:00Z</dcterms:created>
  <dcterms:modified xsi:type="dcterms:W3CDTF">2021-03-03T13:59:00Z</dcterms:modified>
</cp:coreProperties>
</file>