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10687516" w:rsidR="005D44EA" w:rsidRPr="00FE5325" w:rsidRDefault="00AB345F" w:rsidP="00EB1726">
      <w:pPr>
        <w:spacing w:line="360" w:lineRule="auto"/>
        <w:rPr>
          <w:rFonts w:asciiTheme="majorHAnsi" w:hAnsiTheme="majorHAnsi" w:cstheme="majorHAnsi"/>
          <w:b/>
          <w:bCs/>
          <w:sz w:val="32"/>
          <w:szCs w:val="32"/>
        </w:rPr>
      </w:pPr>
      <w:proofErr w:type="spellStart"/>
      <w:r w:rsidRPr="00FE5325">
        <w:rPr>
          <w:rFonts w:asciiTheme="majorHAnsi" w:hAnsiTheme="majorHAnsi" w:cstheme="majorHAnsi"/>
          <w:b/>
          <w:bCs/>
          <w:sz w:val="32"/>
          <w:szCs w:val="32"/>
        </w:rPr>
        <w:t>Organisational</w:t>
      </w:r>
      <w:proofErr w:type="spellEnd"/>
      <w:r w:rsidRPr="00FE5325">
        <w:rPr>
          <w:rFonts w:asciiTheme="majorHAnsi" w:hAnsiTheme="majorHAnsi" w:cstheme="majorHAnsi"/>
          <w:b/>
          <w:bCs/>
          <w:sz w:val="32"/>
          <w:szCs w:val="32"/>
        </w:rPr>
        <w:t xml:space="preserve"> Culture</w:t>
      </w:r>
      <w:r w:rsidR="004424B8" w:rsidRPr="00FE5325">
        <w:rPr>
          <w:rFonts w:asciiTheme="majorHAnsi" w:hAnsiTheme="majorHAnsi" w:cstheme="majorHAnsi"/>
          <w:b/>
          <w:bCs/>
          <w:sz w:val="32"/>
          <w:szCs w:val="32"/>
        </w:rPr>
        <w:t>: Individual report</w:t>
      </w:r>
      <w:r w:rsidRPr="00FE5325">
        <w:rPr>
          <w:rFonts w:asciiTheme="majorHAnsi" w:hAnsiTheme="majorHAnsi" w:cstheme="majorHAnsi"/>
          <w:b/>
          <w:bCs/>
          <w:sz w:val="32"/>
          <w:szCs w:val="32"/>
        </w:rPr>
        <w:t xml:space="preserve"> </w:t>
      </w:r>
      <w:r w:rsidR="00F866E2">
        <w:rPr>
          <w:rFonts w:asciiTheme="majorHAnsi" w:hAnsiTheme="majorHAnsi" w:cstheme="majorHAnsi"/>
          <w:b/>
          <w:bCs/>
          <w:sz w:val="32"/>
          <w:szCs w:val="32"/>
        </w:rPr>
        <w:t>Toyota</w:t>
      </w:r>
    </w:p>
    <w:p w14:paraId="2F0A9B38" w14:textId="77777777" w:rsidR="004424B8" w:rsidRDefault="004424B8" w:rsidP="00EB1726">
      <w:pPr>
        <w:spacing w:line="360" w:lineRule="auto"/>
      </w:pPr>
    </w:p>
    <w:p w14:paraId="7DFC4132" w14:textId="3B610C1E" w:rsidR="004424B8" w:rsidRDefault="004424B8" w:rsidP="00EB1726">
      <w:pPr>
        <w:spacing w:line="360" w:lineRule="auto"/>
      </w:pPr>
      <w:r>
        <w:t xml:space="preserve">Assessment Component 1 </w:t>
      </w:r>
    </w:p>
    <w:p w14:paraId="22C57177" w14:textId="77777777" w:rsidR="004424B8" w:rsidRDefault="004424B8" w:rsidP="00EB1726">
      <w:pPr>
        <w:spacing w:line="360" w:lineRule="auto"/>
      </w:pPr>
    </w:p>
    <w:p w14:paraId="34CB951C" w14:textId="6EBAD8DF" w:rsidR="005D44EA" w:rsidRDefault="00AB345F" w:rsidP="00EB1726">
      <w:pPr>
        <w:spacing w:line="360" w:lineRule="auto"/>
      </w:pPr>
      <w:r>
        <w:t xml:space="preserve">Student Name: </w:t>
      </w:r>
      <w:r w:rsidR="00F866E2">
        <w:t>Adrian Geru</w:t>
      </w:r>
      <w:r w:rsidR="00F866E2">
        <w:tab/>
      </w:r>
      <w:r w:rsidR="00F866E2">
        <w:tab/>
      </w:r>
    </w:p>
    <w:p w14:paraId="0124223A" w14:textId="667C10F4" w:rsidR="005D44EA" w:rsidRDefault="00AB345F" w:rsidP="00EB1726">
      <w:pPr>
        <w:spacing w:line="360" w:lineRule="auto"/>
      </w:pPr>
      <w:r>
        <w:t xml:space="preserve">Student ID: </w:t>
      </w:r>
      <w:r w:rsidR="00F866E2">
        <w:t>2319635</w:t>
      </w:r>
    </w:p>
    <w:p w14:paraId="6241B062" w14:textId="77777777" w:rsidR="005D44EA" w:rsidRDefault="00AB345F" w:rsidP="00EB1726">
      <w:pPr>
        <w:spacing w:line="360" w:lineRule="auto"/>
      </w:pPr>
      <w:r>
        <w:t>Module: LCLM 5005 – Organisational Culture</w:t>
      </w:r>
    </w:p>
    <w:p w14:paraId="0D188AFA" w14:textId="64E219C2" w:rsidR="005D44EA" w:rsidRDefault="00AB345F" w:rsidP="00EB1726">
      <w:pPr>
        <w:spacing w:line="360" w:lineRule="auto"/>
      </w:pPr>
      <w:r>
        <w:t>Word Count:</w:t>
      </w:r>
      <w:r w:rsidR="00F866E2">
        <w:t>3000</w:t>
      </w:r>
    </w:p>
    <w:p w14:paraId="019862EE" w14:textId="134280A8" w:rsidR="005D44EA" w:rsidRPr="00F866E2" w:rsidRDefault="00AB345F" w:rsidP="00EB1726">
      <w:pPr>
        <w:spacing w:line="360" w:lineRule="auto"/>
        <w:rPr>
          <w:lang w:val="en-GB"/>
        </w:rPr>
      </w:pPr>
      <w:r>
        <w:t>Submission Date:</w:t>
      </w:r>
      <w:r w:rsidR="00F866E2" w:rsidRPr="00F866E2">
        <w:rPr>
          <w:rFonts w:ascii="Arial" w:eastAsia="Arial" w:hAnsi="Arial" w:cs="Arial"/>
          <w:b/>
          <w:bCs/>
          <w:sz w:val="21"/>
          <w:szCs w:val="21"/>
          <w:lang w:val="en-GB"/>
        </w:rPr>
        <w:t xml:space="preserve"> </w:t>
      </w:r>
      <w:r w:rsidR="00F866E2" w:rsidRPr="00F866E2">
        <w:rPr>
          <w:lang w:val="en-GB"/>
        </w:rPr>
        <w:t>11</w:t>
      </w:r>
      <w:r w:rsidR="00F866E2" w:rsidRPr="00F866E2">
        <w:rPr>
          <w:vertAlign w:val="superscript"/>
          <w:lang w:val="en-GB"/>
        </w:rPr>
        <w:t>th</w:t>
      </w:r>
      <w:r w:rsidR="00F866E2" w:rsidRPr="00F866E2">
        <w:rPr>
          <w:lang w:val="en-GB"/>
        </w:rPr>
        <w:t xml:space="preserve"> November 2025</w:t>
      </w:r>
      <w:r w:rsidR="00F866E2">
        <w:rPr>
          <w:lang w:val="en-GB"/>
        </w:rPr>
        <w:t xml:space="preserve"> </w:t>
      </w:r>
      <w:r w:rsidR="00F866E2" w:rsidRPr="00F866E2">
        <w:rPr>
          <w:lang w:val="en-GB"/>
        </w:rPr>
        <w:t>14:00</w:t>
      </w:r>
    </w:p>
    <w:p w14:paraId="6CE8C176" w14:textId="77777777" w:rsidR="004424B8" w:rsidRDefault="004424B8" w:rsidP="00EB1726">
      <w:pPr>
        <w:spacing w:line="360" w:lineRule="auto"/>
      </w:pPr>
    </w:p>
    <w:p w14:paraId="58AE3FD7" w14:textId="3FFB159E" w:rsidR="004424B8" w:rsidRDefault="00F866E2" w:rsidP="00EB1726">
      <w:pPr>
        <w:spacing w:line="360" w:lineRule="auto"/>
      </w:pPr>
      <w:r w:rsidRPr="000D0F02">
        <w:rPr>
          <w:noProof/>
        </w:rPr>
        <w:drawing>
          <wp:inline distT="0" distB="0" distL="0" distR="0" wp14:anchorId="1E7914E9" wp14:editId="2623DF33">
            <wp:extent cx="4514850" cy="2362200"/>
            <wp:effectExtent l="0" t="0" r="0" b="0"/>
            <wp:docPr id="823705075"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05075" name="Picture 1" descr="A blue and white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14850" cy="2362200"/>
                    </a:xfrm>
                    <a:prstGeom prst="rect">
                      <a:avLst/>
                    </a:prstGeom>
                  </pic:spPr>
                </pic:pic>
              </a:graphicData>
            </a:graphic>
          </wp:inline>
        </w:drawing>
      </w:r>
    </w:p>
    <w:p w14:paraId="7399405D" w14:textId="77777777" w:rsidR="004424B8" w:rsidRDefault="004424B8" w:rsidP="00EB1726">
      <w:pPr>
        <w:spacing w:line="360" w:lineRule="auto"/>
      </w:pPr>
    </w:p>
    <w:p w14:paraId="1B452BDE" w14:textId="77777777" w:rsidR="004424B8" w:rsidRDefault="004424B8" w:rsidP="00EB1726">
      <w:pPr>
        <w:spacing w:line="360" w:lineRule="auto"/>
      </w:pPr>
    </w:p>
    <w:p w14:paraId="218610D5" w14:textId="77777777" w:rsidR="004424B8" w:rsidRDefault="004424B8" w:rsidP="00EB1726">
      <w:pPr>
        <w:spacing w:line="360" w:lineRule="auto"/>
      </w:pPr>
    </w:p>
    <w:p w14:paraId="3C0AB100" w14:textId="77777777" w:rsidR="004424B8" w:rsidRDefault="004424B8" w:rsidP="00EB1726">
      <w:pPr>
        <w:spacing w:line="360" w:lineRule="auto"/>
      </w:pPr>
    </w:p>
    <w:p w14:paraId="6C84F5C7" w14:textId="77777777" w:rsidR="004424B8" w:rsidRDefault="004424B8" w:rsidP="00EB1726">
      <w:pPr>
        <w:spacing w:line="360" w:lineRule="auto"/>
      </w:pPr>
    </w:p>
    <w:p w14:paraId="7C9B525E" w14:textId="77777777" w:rsidR="004424B8" w:rsidRDefault="004424B8" w:rsidP="00EB1726">
      <w:pPr>
        <w:spacing w:line="360" w:lineRule="auto"/>
      </w:pPr>
    </w:p>
    <w:p w14:paraId="292E48F5" w14:textId="77777777" w:rsidR="004424B8" w:rsidRDefault="004424B8" w:rsidP="00EB1726">
      <w:pPr>
        <w:spacing w:line="360" w:lineRule="auto"/>
      </w:pPr>
    </w:p>
    <w:p w14:paraId="1EF0FB9B" w14:textId="77777777" w:rsidR="00F866E2" w:rsidRDefault="00F866E2" w:rsidP="00EB1726">
      <w:pPr>
        <w:spacing w:line="360" w:lineRule="auto"/>
      </w:pPr>
    </w:p>
    <w:p w14:paraId="4E17EA39" w14:textId="2E14880A" w:rsidR="005D44EA" w:rsidRPr="00F866E2" w:rsidRDefault="00F866E2" w:rsidP="00EB1726">
      <w:pPr>
        <w:spacing w:line="360" w:lineRule="auto"/>
        <w:rPr>
          <w:rFonts w:asciiTheme="majorHAnsi" w:hAnsiTheme="majorHAnsi" w:cstheme="majorHAnsi"/>
          <w:b/>
          <w:bCs/>
          <w:color w:val="1F497D" w:themeColor="text2"/>
          <w:sz w:val="44"/>
          <w:szCs w:val="44"/>
        </w:rPr>
      </w:pPr>
      <w:r>
        <w:rPr>
          <w:rFonts w:asciiTheme="majorHAnsi" w:hAnsiTheme="majorHAnsi" w:cstheme="majorHAnsi"/>
          <w:b/>
          <w:bCs/>
          <w:color w:val="1F497D" w:themeColor="text2"/>
          <w:sz w:val="44"/>
          <w:szCs w:val="44"/>
        </w:rPr>
        <w:t xml:space="preserve">                          </w:t>
      </w:r>
      <w:r w:rsidR="00AB345F" w:rsidRPr="00F866E2">
        <w:rPr>
          <w:rFonts w:asciiTheme="majorHAnsi" w:hAnsiTheme="majorHAnsi" w:cstheme="majorHAnsi"/>
          <w:b/>
          <w:bCs/>
          <w:color w:val="1F497D" w:themeColor="text2"/>
          <w:sz w:val="44"/>
          <w:szCs w:val="44"/>
        </w:rPr>
        <w:t>Table of Contents</w:t>
      </w:r>
    </w:p>
    <w:p w14:paraId="4E7DBC2A" w14:textId="7D9F3EED" w:rsidR="004424B8" w:rsidRDefault="00F866E2" w:rsidP="00EB1726">
      <w:pPr>
        <w:pStyle w:val="Heading1"/>
        <w:spacing w:line="360" w:lineRule="auto"/>
      </w:pPr>
      <w:r>
        <w:t>1. Introduction</w:t>
      </w:r>
    </w:p>
    <w:p w14:paraId="39B6D39A" w14:textId="0FC6E753" w:rsidR="00F866E2" w:rsidRDefault="00F866E2" w:rsidP="00EB1726">
      <w:pPr>
        <w:pStyle w:val="Heading1"/>
        <w:spacing w:line="360" w:lineRule="auto"/>
      </w:pPr>
      <w:r>
        <w:t>2.</w:t>
      </w:r>
      <w:r w:rsidRPr="00F866E2">
        <w:t xml:space="preserve"> How </w:t>
      </w:r>
      <w:proofErr w:type="spellStart"/>
      <w:r w:rsidRPr="00F866E2">
        <w:t>Organisational</w:t>
      </w:r>
      <w:proofErr w:type="spellEnd"/>
      <w:r w:rsidRPr="00F866E2">
        <w:t xml:space="preserve"> Culture Shapes Toyota's Structure and Decision-Making</w:t>
      </w:r>
    </w:p>
    <w:p w14:paraId="022FB070" w14:textId="63CD0110" w:rsidR="004424B8" w:rsidRDefault="00F866E2" w:rsidP="00EB1726">
      <w:pPr>
        <w:pStyle w:val="Heading1"/>
        <w:spacing w:line="360" w:lineRule="auto"/>
      </w:pPr>
      <w:r>
        <w:t>3.</w:t>
      </w:r>
      <w:r w:rsidRPr="00F866E2">
        <w:t xml:space="preserve"> Identifying and </w:t>
      </w:r>
      <w:proofErr w:type="spellStart"/>
      <w:r w:rsidRPr="00F866E2">
        <w:t>Analysing</w:t>
      </w:r>
      <w:proofErr w:type="spellEnd"/>
      <w:r w:rsidRPr="00F866E2">
        <w:t xml:space="preserve"> Toyota’s </w:t>
      </w:r>
      <w:proofErr w:type="spellStart"/>
      <w:r w:rsidRPr="00F866E2">
        <w:t>Organisational</w:t>
      </w:r>
      <w:proofErr w:type="spellEnd"/>
      <w:r w:rsidRPr="00F866E2">
        <w:t xml:space="preserve"> Culture Using Relevant Frameworks</w:t>
      </w:r>
    </w:p>
    <w:p w14:paraId="4FF91944" w14:textId="13D9C799" w:rsidR="00F866E2" w:rsidRPr="00F866E2" w:rsidRDefault="00F866E2" w:rsidP="00EB1726">
      <w:pPr>
        <w:spacing w:line="360" w:lineRule="auto"/>
        <w:rPr>
          <w:b/>
          <w:bCs/>
          <w:color w:val="1F497D" w:themeColor="text2"/>
        </w:rPr>
      </w:pPr>
      <w:r w:rsidRPr="00F866E2">
        <w:rPr>
          <w:b/>
          <w:bCs/>
          <w:color w:val="1F497D" w:themeColor="text2"/>
        </w:rPr>
        <w:t xml:space="preserve">3.1. Schein’s Model of </w:t>
      </w:r>
      <w:proofErr w:type="spellStart"/>
      <w:r w:rsidRPr="00F866E2">
        <w:rPr>
          <w:b/>
          <w:bCs/>
          <w:color w:val="1F497D" w:themeColor="text2"/>
        </w:rPr>
        <w:t>Organisational</w:t>
      </w:r>
      <w:proofErr w:type="spellEnd"/>
      <w:r w:rsidRPr="00F866E2">
        <w:rPr>
          <w:b/>
          <w:bCs/>
          <w:color w:val="1F497D" w:themeColor="text2"/>
        </w:rPr>
        <w:t xml:space="preserve"> Culture</w:t>
      </w:r>
    </w:p>
    <w:p w14:paraId="55323185" w14:textId="4F3665E9" w:rsidR="00F866E2" w:rsidRPr="00F866E2" w:rsidRDefault="00F866E2" w:rsidP="00EB1726">
      <w:pPr>
        <w:spacing w:line="360" w:lineRule="auto"/>
        <w:rPr>
          <w:b/>
          <w:bCs/>
          <w:color w:val="1F497D" w:themeColor="text2"/>
        </w:rPr>
      </w:pPr>
      <w:r w:rsidRPr="00F866E2">
        <w:rPr>
          <w:b/>
          <w:bCs/>
          <w:color w:val="1F497D" w:themeColor="text2"/>
        </w:rPr>
        <w:t>3.2. Hofstede’s Cultural Dimensions</w:t>
      </w:r>
    </w:p>
    <w:p w14:paraId="665FC9FB" w14:textId="7AAEB7F2" w:rsidR="00F866E2" w:rsidRPr="00F866E2" w:rsidRDefault="00F866E2" w:rsidP="00EB1726">
      <w:pPr>
        <w:spacing w:line="360" w:lineRule="auto"/>
        <w:rPr>
          <w:b/>
          <w:bCs/>
          <w:color w:val="1F497D" w:themeColor="text2"/>
        </w:rPr>
      </w:pPr>
      <w:r w:rsidRPr="00F866E2">
        <w:rPr>
          <w:b/>
          <w:bCs/>
          <w:color w:val="1F497D" w:themeColor="text2"/>
        </w:rPr>
        <w:t>3.3. Handy’s Cultural Typology</w:t>
      </w:r>
    </w:p>
    <w:p w14:paraId="4BFEBD62" w14:textId="51B96233" w:rsidR="00F866E2" w:rsidRDefault="00F866E2" w:rsidP="00EB1726">
      <w:pPr>
        <w:pStyle w:val="Heading1"/>
        <w:spacing w:line="360" w:lineRule="auto"/>
      </w:pPr>
      <w:r>
        <w:t>4.</w:t>
      </w:r>
      <w:r w:rsidRPr="00F866E2">
        <w:t xml:space="preserve"> Using </w:t>
      </w:r>
      <w:proofErr w:type="spellStart"/>
      <w:r w:rsidRPr="00F866E2">
        <w:t>Organisational</w:t>
      </w:r>
      <w:proofErr w:type="spellEnd"/>
      <w:r w:rsidRPr="00F866E2">
        <w:t xml:space="preserve"> Culture to Adapt to the External Environment</w:t>
      </w:r>
    </w:p>
    <w:p w14:paraId="11223DFB" w14:textId="18A9D6E4" w:rsidR="004424B8" w:rsidRDefault="00F866E2" w:rsidP="00EB1726">
      <w:pPr>
        <w:pStyle w:val="Heading1"/>
        <w:spacing w:line="360" w:lineRule="auto"/>
      </w:pPr>
      <w:r>
        <w:t>5.</w:t>
      </w:r>
      <w:r w:rsidRPr="00F866E2">
        <w:t xml:space="preserve"> </w:t>
      </w:r>
      <w:proofErr w:type="spellStart"/>
      <w:r w:rsidRPr="00F866E2">
        <w:t>Organisational</w:t>
      </w:r>
      <w:proofErr w:type="spellEnd"/>
      <w:r w:rsidRPr="00F866E2">
        <w:t xml:space="preserve"> Culture as a Barrier to Effective Functioning</w:t>
      </w:r>
    </w:p>
    <w:p w14:paraId="30F068D0" w14:textId="14384300" w:rsidR="004424B8" w:rsidRDefault="00F866E2" w:rsidP="00EB1726">
      <w:pPr>
        <w:pStyle w:val="Heading1"/>
        <w:spacing w:line="360" w:lineRule="auto"/>
      </w:pPr>
      <w:r>
        <w:t>6.</w:t>
      </w:r>
      <w:r w:rsidRPr="00F866E2">
        <w:t xml:space="preserve"> Impact of </w:t>
      </w:r>
      <w:proofErr w:type="spellStart"/>
      <w:r w:rsidRPr="00F866E2">
        <w:t>Organisational</w:t>
      </w:r>
      <w:proofErr w:type="spellEnd"/>
      <w:r w:rsidRPr="00F866E2">
        <w:t xml:space="preserve"> Culture on Performance and Recommendations</w:t>
      </w:r>
    </w:p>
    <w:p w14:paraId="4F838CD5" w14:textId="613DF458" w:rsidR="00F866E2" w:rsidRDefault="00F866E2" w:rsidP="00EB1726">
      <w:pPr>
        <w:pStyle w:val="Heading1"/>
        <w:spacing w:line="360" w:lineRule="auto"/>
      </w:pPr>
      <w:r>
        <w:t>7. Conclusion</w:t>
      </w:r>
    </w:p>
    <w:p w14:paraId="4EF34DBA" w14:textId="6D5ADC11" w:rsidR="00F866E2" w:rsidRDefault="00F866E2" w:rsidP="00EB1726">
      <w:pPr>
        <w:pStyle w:val="Heading1"/>
        <w:spacing w:line="360" w:lineRule="auto"/>
      </w:pPr>
      <w:r>
        <w:t xml:space="preserve">8. References </w:t>
      </w:r>
    </w:p>
    <w:p w14:paraId="0C4DF4A5" w14:textId="77777777" w:rsidR="00F866E2" w:rsidRDefault="00F866E2" w:rsidP="00EB1726">
      <w:pPr>
        <w:spacing w:line="360" w:lineRule="auto"/>
        <w:rPr>
          <w:rFonts w:asciiTheme="majorHAnsi" w:hAnsiTheme="majorHAnsi" w:cstheme="majorHAnsi"/>
          <w:b/>
          <w:bCs/>
          <w:sz w:val="24"/>
          <w:szCs w:val="24"/>
        </w:rPr>
      </w:pPr>
    </w:p>
    <w:p w14:paraId="5BDB276A" w14:textId="77777777" w:rsidR="00EB1726" w:rsidRDefault="00EB1726" w:rsidP="00EB1726">
      <w:pPr>
        <w:spacing w:line="360" w:lineRule="auto"/>
        <w:rPr>
          <w:rFonts w:asciiTheme="majorHAnsi" w:hAnsiTheme="majorHAnsi" w:cstheme="majorHAnsi"/>
          <w:b/>
          <w:bCs/>
          <w:sz w:val="24"/>
          <w:szCs w:val="24"/>
        </w:rPr>
      </w:pPr>
    </w:p>
    <w:p w14:paraId="786DD36B" w14:textId="5CFA1224" w:rsidR="005D44EA" w:rsidRPr="008F0224" w:rsidRDefault="00AB345F" w:rsidP="00EB1726">
      <w:pPr>
        <w:pStyle w:val="ListParagraph"/>
        <w:numPr>
          <w:ilvl w:val="0"/>
          <w:numId w:val="14"/>
        </w:numPr>
        <w:spacing w:line="360" w:lineRule="auto"/>
        <w:rPr>
          <w:rFonts w:ascii="Arial" w:hAnsi="Arial" w:cs="Arial"/>
          <w:b/>
          <w:bCs/>
        </w:rPr>
      </w:pPr>
      <w:r w:rsidRPr="008F0224">
        <w:rPr>
          <w:rFonts w:ascii="Arial" w:hAnsi="Arial" w:cs="Arial"/>
          <w:b/>
          <w:bCs/>
        </w:rPr>
        <w:lastRenderedPageBreak/>
        <w:t>Introduction</w:t>
      </w:r>
    </w:p>
    <w:p w14:paraId="5729CBC9" w14:textId="0400570A" w:rsidR="008F0224" w:rsidRPr="008F0224" w:rsidRDefault="008F0224" w:rsidP="008F0224">
      <w:pPr>
        <w:spacing w:line="360" w:lineRule="auto"/>
        <w:rPr>
          <w:rFonts w:ascii="Arial" w:hAnsi="Arial" w:cs="Arial"/>
        </w:rPr>
      </w:pPr>
      <w:proofErr w:type="spellStart"/>
      <w:r w:rsidRPr="008F0224">
        <w:rPr>
          <w:rFonts w:ascii="Arial" w:hAnsi="Arial" w:cs="Arial"/>
        </w:rPr>
        <w:t>Organisational</w:t>
      </w:r>
      <w:proofErr w:type="spellEnd"/>
      <w:r w:rsidRPr="008F0224">
        <w:rPr>
          <w:rFonts w:ascii="Arial" w:hAnsi="Arial" w:cs="Arial"/>
        </w:rPr>
        <w:t xml:space="preserve"> culture has become one of the most critical factors that shape identity, strategy, and performance in an </w:t>
      </w:r>
      <w:proofErr w:type="spellStart"/>
      <w:r w:rsidRPr="008F0224">
        <w:rPr>
          <w:rFonts w:ascii="Arial" w:hAnsi="Arial" w:cs="Arial"/>
        </w:rPr>
        <w:t>organisation</w:t>
      </w:r>
      <w:proofErr w:type="spellEnd"/>
      <w:r w:rsidRPr="008F0224">
        <w:rPr>
          <w:rFonts w:ascii="Arial" w:hAnsi="Arial" w:cs="Arial"/>
        </w:rPr>
        <w:t xml:space="preserve"> within today’s complex and </w:t>
      </w:r>
      <w:proofErr w:type="spellStart"/>
      <w:r w:rsidRPr="008F0224">
        <w:rPr>
          <w:rFonts w:ascii="Arial" w:hAnsi="Arial" w:cs="Arial"/>
        </w:rPr>
        <w:t>globalised</w:t>
      </w:r>
      <w:proofErr w:type="spellEnd"/>
      <w:r w:rsidRPr="008F0224">
        <w:rPr>
          <w:rFonts w:ascii="Arial" w:hAnsi="Arial" w:cs="Arial"/>
        </w:rPr>
        <w:t xml:space="preserve"> business environment. Culture defines “how things are done around here,” reflecting shared values, beliefs, norms, and assumptions that influence every aspect of </w:t>
      </w:r>
      <w:proofErr w:type="spellStart"/>
      <w:r w:rsidRPr="008F0224">
        <w:rPr>
          <w:rFonts w:ascii="Arial" w:hAnsi="Arial" w:cs="Arial"/>
        </w:rPr>
        <w:t>organisational</w:t>
      </w:r>
      <w:proofErr w:type="spellEnd"/>
      <w:r w:rsidRPr="008F0224">
        <w:rPr>
          <w:rFonts w:ascii="Arial" w:hAnsi="Arial" w:cs="Arial"/>
        </w:rPr>
        <w:t xml:space="preserve"> life. According to Mullins and Christy (2016, p.574), it describes how employees behave, how leaders make decisions, how </w:t>
      </w:r>
      <w:proofErr w:type="spellStart"/>
      <w:r w:rsidRPr="008F0224">
        <w:rPr>
          <w:rFonts w:ascii="Arial" w:hAnsi="Arial" w:cs="Arial"/>
        </w:rPr>
        <w:t>organisations</w:t>
      </w:r>
      <w:proofErr w:type="spellEnd"/>
      <w:r w:rsidRPr="008F0224">
        <w:rPr>
          <w:rFonts w:ascii="Arial" w:hAnsi="Arial" w:cs="Arial"/>
        </w:rPr>
        <w:t xml:space="preserve"> respond to change, and ultimately, how they perform in competitive markets. Schein (1992, p.12) describes </w:t>
      </w:r>
      <w:proofErr w:type="spellStart"/>
      <w:r w:rsidRPr="008F0224">
        <w:rPr>
          <w:rFonts w:ascii="Arial" w:hAnsi="Arial" w:cs="Arial"/>
        </w:rPr>
        <w:t>organisational</w:t>
      </w:r>
      <w:proofErr w:type="spellEnd"/>
      <w:r w:rsidRPr="008F0224">
        <w:rPr>
          <w:rFonts w:ascii="Arial" w:hAnsi="Arial" w:cs="Arial"/>
        </w:rPr>
        <w:t xml:space="preserve"> culture as “a pattern of shared basic assumptions learned by a group as it solved its problems of external adaptation and internal integration,” which has worked well enough to be considered valid and therefore taught to new members. This definition views culture as a </w:t>
      </w:r>
      <w:proofErr w:type="gramStart"/>
      <w:r w:rsidRPr="008F0224">
        <w:rPr>
          <w:rFonts w:ascii="Arial" w:hAnsi="Arial" w:cs="Arial"/>
        </w:rPr>
        <w:t>dynamic,</w:t>
      </w:r>
      <w:proofErr w:type="gramEnd"/>
      <w:r w:rsidRPr="008F0224">
        <w:rPr>
          <w:rFonts w:ascii="Arial" w:hAnsi="Arial" w:cs="Arial"/>
        </w:rPr>
        <w:t xml:space="preserve"> learning process rather than a fixed set of rules. Similarly, Alvesson (2013) describes </w:t>
      </w:r>
      <w:proofErr w:type="spellStart"/>
      <w:r w:rsidRPr="008F0224">
        <w:rPr>
          <w:rFonts w:ascii="Arial" w:hAnsi="Arial" w:cs="Arial"/>
        </w:rPr>
        <w:t>organisational</w:t>
      </w:r>
      <w:proofErr w:type="spellEnd"/>
      <w:r w:rsidRPr="008F0224">
        <w:rPr>
          <w:rFonts w:ascii="Arial" w:hAnsi="Arial" w:cs="Arial"/>
        </w:rPr>
        <w:t xml:space="preserve"> culture as a “shared and learned world of experiences, meanings, and values” which </w:t>
      </w:r>
      <w:proofErr w:type="spellStart"/>
      <w:r w:rsidRPr="008F0224">
        <w:rPr>
          <w:rFonts w:ascii="Arial" w:hAnsi="Arial" w:cs="Arial"/>
        </w:rPr>
        <w:t>moulds</w:t>
      </w:r>
      <w:proofErr w:type="spellEnd"/>
      <w:r w:rsidRPr="008F0224">
        <w:rPr>
          <w:rFonts w:ascii="Arial" w:hAnsi="Arial" w:cs="Arial"/>
        </w:rPr>
        <w:t xml:space="preserve"> the ways employees perceive and act in an </w:t>
      </w:r>
      <w:proofErr w:type="spellStart"/>
      <w:r w:rsidRPr="008F0224">
        <w:rPr>
          <w:rFonts w:ascii="Arial" w:hAnsi="Arial" w:cs="Arial"/>
        </w:rPr>
        <w:t>organisation</w:t>
      </w:r>
      <w:proofErr w:type="spellEnd"/>
      <w:r w:rsidRPr="008F0224">
        <w:rPr>
          <w:rFonts w:ascii="Arial" w:hAnsi="Arial" w:cs="Arial"/>
        </w:rPr>
        <w:t xml:space="preserve">. Hofstede, Hofstede and Minkov (2010) describe it as the “collective programming of the mind that distinguishes the members of one </w:t>
      </w:r>
      <w:proofErr w:type="spellStart"/>
      <w:r w:rsidRPr="008F0224">
        <w:rPr>
          <w:rFonts w:ascii="Arial" w:hAnsi="Arial" w:cs="Arial"/>
        </w:rPr>
        <w:t>organisation</w:t>
      </w:r>
      <w:proofErr w:type="spellEnd"/>
      <w:r w:rsidRPr="008F0224">
        <w:rPr>
          <w:rFonts w:ascii="Arial" w:hAnsi="Arial" w:cs="Arial"/>
        </w:rPr>
        <w:t xml:space="preserve"> from another.” Their definitions, also reflected in the Week 1 lecture slides, outline that culture exceeds formal policies or procedures. Rather, it is an invisible but powerful social force enabling a given interpretation of how people interpret their surroundings, interact with one another, and approach problem-solving. According to O’Reilly, Chatman and Caldwell (1991), </w:t>
      </w:r>
      <w:proofErr w:type="spellStart"/>
      <w:r w:rsidRPr="008F0224">
        <w:rPr>
          <w:rFonts w:ascii="Arial" w:hAnsi="Arial" w:cs="Arial"/>
        </w:rPr>
        <w:t>organisational</w:t>
      </w:r>
      <w:proofErr w:type="spellEnd"/>
      <w:r w:rsidRPr="008F0224">
        <w:rPr>
          <w:rFonts w:ascii="Arial" w:hAnsi="Arial" w:cs="Arial"/>
        </w:rPr>
        <w:t xml:space="preserve"> culture can serve as a source of informal control, in which the influence of </w:t>
      </w:r>
      <w:proofErr w:type="spellStart"/>
      <w:r w:rsidRPr="008F0224">
        <w:rPr>
          <w:rFonts w:ascii="Arial" w:hAnsi="Arial" w:cs="Arial"/>
        </w:rPr>
        <w:t>behaviour</w:t>
      </w:r>
      <w:proofErr w:type="spellEnd"/>
      <w:r w:rsidRPr="008F0224">
        <w:rPr>
          <w:rFonts w:ascii="Arial" w:hAnsi="Arial" w:cs="Arial"/>
        </w:rPr>
        <w:t xml:space="preserve"> is exercised more efficiently than by managerial supervision. One </w:t>
      </w:r>
      <w:proofErr w:type="spellStart"/>
      <w:r w:rsidRPr="008F0224">
        <w:rPr>
          <w:rFonts w:ascii="Arial" w:hAnsi="Arial" w:cs="Arial"/>
        </w:rPr>
        <w:t>organisation</w:t>
      </w:r>
      <w:proofErr w:type="spellEnd"/>
      <w:r w:rsidRPr="008F0224">
        <w:rPr>
          <w:rFonts w:ascii="Arial" w:hAnsi="Arial" w:cs="Arial"/>
        </w:rPr>
        <w:t xml:space="preserve"> in which culture is credited for much of its success is the Toyota Motor Corporation. Founded in 1937, Toyota has grown to become one of the largest automotive manufacturers in the world. It has built its reputation </w:t>
      </w:r>
      <w:proofErr w:type="gramStart"/>
      <w:r w:rsidRPr="008F0224">
        <w:rPr>
          <w:rFonts w:ascii="Arial" w:hAnsi="Arial" w:cs="Arial"/>
        </w:rPr>
        <w:t>in</w:t>
      </w:r>
      <w:proofErr w:type="gramEnd"/>
      <w:r w:rsidRPr="008F0224">
        <w:rPr>
          <w:rFonts w:ascii="Arial" w:hAnsi="Arial" w:cs="Arial"/>
        </w:rPr>
        <w:t xml:space="preserve"> innovation, quality, and efficiency. The company’s unique culture, famously known as The Toyota Way, consists of two guiding principles- continuous improvement known as Kaizen, and respect for people. According to Liker (2004), these are not abstract concepts; rather, they form the very core of Toyota’s management philosophy, production system, and employee relations. Teamwork, learning, and problem-solving at all levels are encouraged by the company's culture, making it a very disciplined yet participative environment that strongly supports decision-making and operational excellence. The Toyota Way also manifests the relationship between organizational </w:t>
      </w:r>
      <w:r w:rsidRPr="008F0224">
        <w:rPr>
          <w:rFonts w:ascii="Arial" w:hAnsi="Arial" w:cs="Arial"/>
        </w:rPr>
        <w:lastRenderedPageBreak/>
        <w:t xml:space="preserve">culture and structure. According to the Week 1 lecture slides, strong cultures can be a substitute for the formal structure since this aims to develop behavioral consistency and a shared understanding of how things should be done. The culture dictates the behavior of employees of Toyota when strict hierarchical control is lacking, hence, corporate values and daily practices will be aligned as stated by Hogan and Coote (2014). Complementing the idea, Toyota's culture had to be examined in a global context. As a multinational corporation crossing so many national cultures, it needed to be in continuous adjustment of its core values to the different environments, as expressed by Bortolotti, </w:t>
      </w:r>
      <w:proofErr w:type="spellStart"/>
      <w:r w:rsidRPr="008F0224">
        <w:rPr>
          <w:rFonts w:ascii="Arial" w:hAnsi="Arial" w:cs="Arial"/>
        </w:rPr>
        <w:t>Boscari</w:t>
      </w:r>
      <w:proofErr w:type="spellEnd"/>
      <w:r w:rsidRPr="008F0224">
        <w:rPr>
          <w:rFonts w:ascii="Arial" w:hAnsi="Arial" w:cs="Arial"/>
        </w:rPr>
        <w:t xml:space="preserve"> and Danese (2015</w:t>
      </w:r>
      <w:r w:rsidRPr="008F0224">
        <w:rPr>
          <w:rFonts w:ascii="Arial" w:hAnsi="Arial" w:cs="Arial"/>
        </w:rPr>
        <w:t>). This</w:t>
      </w:r>
      <w:r w:rsidRPr="008F0224">
        <w:rPr>
          <w:rFonts w:ascii="Arial" w:hAnsi="Arial" w:cs="Arial"/>
        </w:rPr>
        <w:t xml:space="preserve"> report critically evaluates the role of </w:t>
      </w:r>
      <w:proofErr w:type="spellStart"/>
      <w:r w:rsidRPr="008F0224">
        <w:rPr>
          <w:rFonts w:ascii="Arial" w:hAnsi="Arial" w:cs="Arial"/>
        </w:rPr>
        <w:t>organisational</w:t>
      </w:r>
      <w:proofErr w:type="spellEnd"/>
      <w:r w:rsidRPr="008F0224">
        <w:rPr>
          <w:rFonts w:ascii="Arial" w:hAnsi="Arial" w:cs="Arial"/>
        </w:rPr>
        <w:t xml:space="preserve"> culture in shaping Toyota’s structure, decision-making and performance. It applies and identifies established theoretical frameworks such as Schein’s model of </w:t>
      </w:r>
      <w:proofErr w:type="spellStart"/>
      <w:r w:rsidRPr="008F0224">
        <w:rPr>
          <w:rFonts w:ascii="Arial" w:hAnsi="Arial" w:cs="Arial"/>
        </w:rPr>
        <w:t>organisational</w:t>
      </w:r>
      <w:proofErr w:type="spellEnd"/>
      <w:r w:rsidRPr="008F0224">
        <w:rPr>
          <w:rFonts w:ascii="Arial" w:hAnsi="Arial" w:cs="Arial"/>
        </w:rPr>
        <w:t xml:space="preserve"> culture, Hofstede’s cultural dimensions, and Handy’s typology to analyze and examine Toyota's cultural characteristics. The report also considers the extent to which Toyota uses its culture to adapt to its external </w:t>
      </w:r>
      <w:proofErr w:type="gramStart"/>
      <w:r w:rsidRPr="008F0224">
        <w:rPr>
          <w:rFonts w:ascii="Arial" w:hAnsi="Arial" w:cs="Arial"/>
        </w:rPr>
        <w:t>environment</w:t>
      </w:r>
      <w:proofErr w:type="gramEnd"/>
      <w:r w:rsidRPr="008F0224">
        <w:rPr>
          <w:rFonts w:ascii="Arial" w:hAnsi="Arial" w:cs="Arial"/>
        </w:rPr>
        <w:t xml:space="preserve"> assesses whether culture acts as a barrier to effectiveness, and what impact this has on overall </w:t>
      </w:r>
      <w:proofErr w:type="spellStart"/>
      <w:r w:rsidRPr="008F0224">
        <w:rPr>
          <w:rFonts w:ascii="Arial" w:hAnsi="Arial" w:cs="Arial"/>
        </w:rPr>
        <w:t>organisational</w:t>
      </w:r>
      <w:proofErr w:type="spellEnd"/>
      <w:r w:rsidRPr="008F0224">
        <w:rPr>
          <w:rFonts w:ascii="Arial" w:hAnsi="Arial" w:cs="Arial"/>
        </w:rPr>
        <w:t xml:space="preserve"> performance. It finally goes through recommendations on </w:t>
      </w:r>
      <w:proofErr w:type="gramStart"/>
      <w:r w:rsidRPr="008F0224">
        <w:rPr>
          <w:rFonts w:ascii="Arial" w:hAnsi="Arial" w:cs="Arial"/>
        </w:rPr>
        <w:t>the means by which</w:t>
      </w:r>
      <w:proofErr w:type="gramEnd"/>
      <w:r w:rsidRPr="008F0224">
        <w:rPr>
          <w:rFonts w:ascii="Arial" w:hAnsi="Arial" w:cs="Arial"/>
        </w:rPr>
        <w:t xml:space="preserve"> cultural alignment could be maintained and developed in an increasingly dynamic and globalized automotive sector.</w:t>
      </w:r>
    </w:p>
    <w:p w14:paraId="5227AF57" w14:textId="7A38B962" w:rsidR="005D44EA" w:rsidRPr="008F0224" w:rsidRDefault="00AB345F" w:rsidP="00EB1726">
      <w:pPr>
        <w:pStyle w:val="ListParagraph"/>
        <w:numPr>
          <w:ilvl w:val="0"/>
          <w:numId w:val="14"/>
        </w:numPr>
        <w:spacing w:line="360" w:lineRule="auto"/>
        <w:rPr>
          <w:rFonts w:ascii="Arial" w:hAnsi="Arial" w:cs="Arial"/>
          <w:b/>
          <w:bCs/>
        </w:rPr>
      </w:pPr>
      <w:proofErr w:type="spellStart"/>
      <w:r w:rsidRPr="008F0224">
        <w:rPr>
          <w:rFonts w:ascii="Arial" w:hAnsi="Arial" w:cs="Arial"/>
          <w:b/>
          <w:bCs/>
        </w:rPr>
        <w:t>Organisational</w:t>
      </w:r>
      <w:proofErr w:type="spellEnd"/>
      <w:r w:rsidRPr="008F0224">
        <w:rPr>
          <w:rFonts w:ascii="Arial" w:hAnsi="Arial" w:cs="Arial"/>
          <w:b/>
          <w:bCs/>
        </w:rPr>
        <w:t xml:space="preserve"> Culture of </w:t>
      </w:r>
      <w:r w:rsidR="00F866E2" w:rsidRPr="008F0224">
        <w:rPr>
          <w:rFonts w:ascii="Arial" w:hAnsi="Arial" w:cs="Arial"/>
          <w:b/>
          <w:bCs/>
        </w:rPr>
        <w:t>Toyota</w:t>
      </w:r>
    </w:p>
    <w:p w14:paraId="7A2A21E8" w14:textId="3D63C3BB" w:rsidR="00F866E2" w:rsidRPr="008F0224" w:rsidRDefault="00F866E2" w:rsidP="00EB1726">
      <w:pPr>
        <w:spacing w:line="360" w:lineRule="auto"/>
        <w:rPr>
          <w:rFonts w:ascii="Arial" w:hAnsi="Arial" w:cs="Arial"/>
        </w:rPr>
      </w:pPr>
      <w:r w:rsidRPr="008F0224">
        <w:rPr>
          <w:rFonts w:ascii="Arial" w:hAnsi="Arial" w:cs="Arial"/>
        </w:rPr>
        <w:t xml:space="preserve">How </w:t>
      </w:r>
      <w:proofErr w:type="spellStart"/>
      <w:r w:rsidRPr="008F0224">
        <w:rPr>
          <w:rFonts w:ascii="Arial" w:hAnsi="Arial" w:cs="Arial"/>
        </w:rPr>
        <w:t>Organisational</w:t>
      </w:r>
      <w:proofErr w:type="spellEnd"/>
      <w:r w:rsidRPr="008F0224">
        <w:rPr>
          <w:rFonts w:ascii="Arial" w:hAnsi="Arial" w:cs="Arial"/>
        </w:rPr>
        <w:t xml:space="preserve"> Culture Shapes Toyota's Structure and Decision-Making:</w:t>
      </w:r>
    </w:p>
    <w:p w14:paraId="3A1EB5F6" w14:textId="438DF6F9" w:rsidR="004424B8" w:rsidRPr="008F0224" w:rsidRDefault="00F866E2" w:rsidP="00EB1726">
      <w:pPr>
        <w:spacing w:line="360" w:lineRule="auto"/>
        <w:rPr>
          <w:rFonts w:ascii="Arial" w:hAnsi="Arial" w:cs="Arial"/>
        </w:rPr>
      </w:pPr>
      <w:proofErr w:type="spellStart"/>
      <w:r w:rsidRPr="008F0224">
        <w:rPr>
          <w:rFonts w:ascii="Arial" w:hAnsi="Arial" w:cs="Arial"/>
        </w:rPr>
        <w:t>Organisational</w:t>
      </w:r>
      <w:proofErr w:type="spellEnd"/>
      <w:r w:rsidRPr="008F0224">
        <w:rPr>
          <w:rFonts w:ascii="Arial" w:hAnsi="Arial" w:cs="Arial"/>
        </w:rPr>
        <w:t xml:space="preserve"> culture provides the basis for a company's structure and its decision-making (Hogan and Coote, 2014). As the Week 1 LCLM 5005 lecture notes also mention, culture acts as a system of shared meaning through which </w:t>
      </w:r>
      <w:proofErr w:type="spellStart"/>
      <w:r w:rsidRPr="008F0224">
        <w:rPr>
          <w:rFonts w:ascii="Arial" w:hAnsi="Arial" w:cs="Arial"/>
        </w:rPr>
        <w:t>behaviour</w:t>
      </w:r>
      <w:proofErr w:type="spellEnd"/>
      <w:r w:rsidRPr="008F0224">
        <w:rPr>
          <w:rFonts w:ascii="Arial" w:hAnsi="Arial" w:cs="Arial"/>
        </w:rPr>
        <w:t xml:space="preserve"> is influenced beyond formal systems and procedures (O’Reilly, Chatman and Caldwell, 1991). The structural and decision-making aspects of Toyota prominently resonate with its cultural values, most specifically: Kaizen, Genchi </w:t>
      </w:r>
      <w:proofErr w:type="spellStart"/>
      <w:r w:rsidRPr="008F0224">
        <w:rPr>
          <w:rFonts w:ascii="Arial" w:hAnsi="Arial" w:cs="Arial"/>
        </w:rPr>
        <w:t>Genbutsu</w:t>
      </w:r>
      <w:proofErr w:type="spellEnd"/>
      <w:r w:rsidRPr="008F0224">
        <w:rPr>
          <w:rFonts w:ascii="Arial" w:hAnsi="Arial" w:cs="Arial"/>
        </w:rPr>
        <w:t xml:space="preserve"> ("go and see for yourself"), and Respect for People (Liker and Hoseus, 2008</w:t>
      </w:r>
      <w:r w:rsidR="006647FF" w:rsidRPr="008F0224">
        <w:rPr>
          <w:rFonts w:ascii="Arial" w:hAnsi="Arial" w:cs="Arial"/>
        </w:rPr>
        <w:t>). Toyota</w:t>
      </w:r>
      <w:r w:rsidRPr="008F0224">
        <w:rPr>
          <w:rFonts w:ascii="Arial" w:hAnsi="Arial" w:cs="Arial"/>
        </w:rPr>
        <w:t xml:space="preserve"> has a hybrid organizational culture, which aims at a combination of hierarchy and teamwork. Though the company historically emerged from a traditional Japanese hierarchical system, its focus on teamwork and employee empowerment equips bottom-up communication and shared decision-making in teams (Ahmad and Schroeder, 2013). A decision at Toyota is generally taken by a consensus, known as the </w:t>
      </w:r>
      <w:proofErr w:type="spellStart"/>
      <w:r w:rsidRPr="008F0224">
        <w:rPr>
          <w:rFonts w:ascii="Arial" w:hAnsi="Arial" w:cs="Arial"/>
        </w:rPr>
        <w:t>ringi</w:t>
      </w:r>
      <w:proofErr w:type="spellEnd"/>
      <w:r w:rsidRPr="008F0224">
        <w:rPr>
          <w:rFonts w:ascii="Arial" w:hAnsi="Arial" w:cs="Arial"/>
        </w:rPr>
        <w:t xml:space="preserve"> approach, whereby a proposition is </w:t>
      </w:r>
      <w:r w:rsidRPr="008F0224">
        <w:rPr>
          <w:rFonts w:ascii="Arial" w:hAnsi="Arial" w:cs="Arial"/>
        </w:rPr>
        <w:lastRenderedPageBreak/>
        <w:t>circulated among members for comments, thereby finalizing it (Aoki, 2010). Participatory decision-making is consistent with the collectivist orientation of Japanese culture, where group consensus and harmony are perceived to be more important than individual authority (Hofstede, Hofstede and Minkov, 2010</w:t>
      </w:r>
      <w:proofErr w:type="gramStart"/>
      <w:r w:rsidRPr="008F0224">
        <w:rPr>
          <w:rFonts w:ascii="Arial" w:hAnsi="Arial" w:cs="Arial"/>
        </w:rPr>
        <w:t>).Another</w:t>
      </w:r>
      <w:proofErr w:type="gramEnd"/>
      <w:r w:rsidRPr="008F0224">
        <w:rPr>
          <w:rFonts w:ascii="Arial" w:hAnsi="Arial" w:cs="Arial"/>
        </w:rPr>
        <w:t xml:space="preserve"> factor influencing the behaviors and actions of Toyota is its </w:t>
      </w:r>
      <w:proofErr w:type="spellStart"/>
      <w:r w:rsidRPr="008F0224">
        <w:rPr>
          <w:rFonts w:ascii="Arial" w:hAnsi="Arial" w:cs="Arial"/>
        </w:rPr>
        <w:t>organisational</w:t>
      </w:r>
      <w:proofErr w:type="spellEnd"/>
      <w:r w:rsidRPr="008F0224">
        <w:rPr>
          <w:rFonts w:ascii="Arial" w:hAnsi="Arial" w:cs="Arial"/>
        </w:rPr>
        <w:t xml:space="preserve"> culture. </w:t>
      </w:r>
      <w:proofErr w:type="gramStart"/>
      <w:r w:rsidRPr="008F0224">
        <w:rPr>
          <w:rFonts w:ascii="Arial" w:hAnsi="Arial" w:cs="Arial"/>
        </w:rPr>
        <w:t>The Kaizen</w:t>
      </w:r>
      <w:proofErr w:type="gramEnd"/>
      <w:r w:rsidRPr="008F0224">
        <w:rPr>
          <w:rFonts w:ascii="Arial" w:hAnsi="Arial" w:cs="Arial"/>
        </w:rPr>
        <w:t xml:space="preserve"> philosophy is one of continuous, step-by-step improvement through suggestions at all levels of work. It engenders a learning </w:t>
      </w:r>
      <w:proofErr w:type="spellStart"/>
      <w:r w:rsidRPr="008F0224">
        <w:rPr>
          <w:rFonts w:ascii="Arial" w:hAnsi="Arial" w:cs="Arial"/>
        </w:rPr>
        <w:t>organisation</w:t>
      </w:r>
      <w:proofErr w:type="spellEnd"/>
      <w:r w:rsidRPr="008F0224">
        <w:rPr>
          <w:rFonts w:ascii="Arial" w:hAnsi="Arial" w:cs="Arial"/>
        </w:rPr>
        <w:t xml:space="preserve"> with innovation continuously improving. For example, Bortolotti, </w:t>
      </w:r>
      <w:proofErr w:type="spellStart"/>
      <w:r w:rsidRPr="008F0224">
        <w:rPr>
          <w:rFonts w:ascii="Arial" w:hAnsi="Arial" w:cs="Arial"/>
        </w:rPr>
        <w:t>Boscari</w:t>
      </w:r>
      <w:proofErr w:type="spellEnd"/>
      <w:r w:rsidRPr="008F0224">
        <w:rPr>
          <w:rFonts w:ascii="Arial" w:hAnsi="Arial" w:cs="Arial"/>
        </w:rPr>
        <w:t xml:space="preserve"> and Danese (2015) argue that this leads to a flexible approach to work teams and cross-functional working. Because it is less formal than some other bureaucracies, individuals are given considerable latitude to act within well-defined roles. It therefore mirrors what Handy (1993) refers to as a “role culture” supported by elements of a “task culture. “As indicated in the Week 1 slides, a strong culture increases behavioral consistency and can act as a substitute for </w:t>
      </w:r>
      <w:proofErr w:type="spellStart"/>
      <w:r w:rsidRPr="008F0224">
        <w:rPr>
          <w:rFonts w:ascii="Arial" w:hAnsi="Arial" w:cs="Arial"/>
        </w:rPr>
        <w:t>formalisation</w:t>
      </w:r>
      <w:proofErr w:type="spellEnd"/>
      <w:r w:rsidRPr="008F0224">
        <w:rPr>
          <w:rFonts w:ascii="Arial" w:hAnsi="Arial" w:cs="Arial"/>
        </w:rPr>
        <w:t xml:space="preserve">. Toyota’s culture performs this function well: rather than depending on rules, it depends on shared beliefs about quality, efficiency and respect to guide employee behavior. This cultural foundation has enabled Toyota to develop a lean </w:t>
      </w:r>
      <w:proofErr w:type="spellStart"/>
      <w:r w:rsidRPr="008F0224">
        <w:rPr>
          <w:rFonts w:ascii="Arial" w:hAnsi="Arial" w:cs="Arial"/>
        </w:rPr>
        <w:t>organisational</w:t>
      </w:r>
      <w:proofErr w:type="spellEnd"/>
      <w:r w:rsidRPr="008F0224">
        <w:rPr>
          <w:rFonts w:ascii="Arial" w:hAnsi="Arial" w:cs="Arial"/>
        </w:rPr>
        <w:t xml:space="preserve"> structure, which avoids unnecessary waste and supports high productivity (Womack, Jones and </w:t>
      </w:r>
      <w:proofErr w:type="spellStart"/>
      <w:r w:rsidRPr="008F0224">
        <w:rPr>
          <w:rFonts w:ascii="Arial" w:hAnsi="Arial" w:cs="Arial"/>
        </w:rPr>
        <w:t>Roos</w:t>
      </w:r>
      <w:proofErr w:type="spellEnd"/>
      <w:r w:rsidRPr="008F0224">
        <w:rPr>
          <w:rFonts w:ascii="Arial" w:hAnsi="Arial" w:cs="Arial"/>
        </w:rPr>
        <w:t>, 1990). Thus, culture does not simply support structure - it defines it</w:t>
      </w:r>
    </w:p>
    <w:p w14:paraId="2BB1F0EF" w14:textId="52A32703" w:rsidR="005D44EA" w:rsidRPr="008F0224" w:rsidRDefault="00AB345F" w:rsidP="00EB1726">
      <w:pPr>
        <w:pStyle w:val="ListParagraph"/>
        <w:numPr>
          <w:ilvl w:val="0"/>
          <w:numId w:val="14"/>
        </w:numPr>
        <w:spacing w:line="360" w:lineRule="auto"/>
        <w:rPr>
          <w:rFonts w:ascii="Arial" w:hAnsi="Arial" w:cs="Arial"/>
        </w:rPr>
      </w:pPr>
      <w:r w:rsidRPr="008F0224">
        <w:rPr>
          <w:rFonts w:ascii="Arial" w:hAnsi="Arial" w:cs="Arial"/>
          <w:b/>
          <w:bCs/>
        </w:rPr>
        <w:t>Identifying Cultural Types: Models and Frameworks</w:t>
      </w:r>
    </w:p>
    <w:p w14:paraId="35F8D58B" w14:textId="77777777" w:rsidR="006647FF" w:rsidRPr="008F0224" w:rsidRDefault="006647FF" w:rsidP="00EB1726">
      <w:pPr>
        <w:spacing w:line="360" w:lineRule="auto"/>
        <w:rPr>
          <w:rFonts w:ascii="Arial" w:hAnsi="Arial" w:cs="Arial"/>
        </w:rPr>
      </w:pPr>
      <w:r w:rsidRPr="008F0224">
        <w:rPr>
          <w:rFonts w:ascii="Arial" w:hAnsi="Arial" w:cs="Arial"/>
        </w:rPr>
        <w:t xml:space="preserve">Identifying and </w:t>
      </w:r>
      <w:proofErr w:type="spellStart"/>
      <w:r w:rsidRPr="008F0224">
        <w:rPr>
          <w:rFonts w:ascii="Arial" w:hAnsi="Arial" w:cs="Arial"/>
        </w:rPr>
        <w:t>Analysing</w:t>
      </w:r>
      <w:proofErr w:type="spellEnd"/>
      <w:r w:rsidRPr="008F0224">
        <w:rPr>
          <w:rFonts w:ascii="Arial" w:hAnsi="Arial" w:cs="Arial"/>
        </w:rPr>
        <w:t xml:space="preserve"> Toyota's </w:t>
      </w:r>
      <w:proofErr w:type="spellStart"/>
      <w:r w:rsidRPr="008F0224">
        <w:rPr>
          <w:rFonts w:ascii="Arial" w:hAnsi="Arial" w:cs="Arial"/>
        </w:rPr>
        <w:t>Organisational</w:t>
      </w:r>
      <w:proofErr w:type="spellEnd"/>
      <w:r w:rsidRPr="008F0224">
        <w:rPr>
          <w:rFonts w:ascii="Arial" w:hAnsi="Arial" w:cs="Arial"/>
        </w:rPr>
        <w:t xml:space="preserve"> Culture Using Relevant Frameworks</w:t>
      </w:r>
    </w:p>
    <w:p w14:paraId="21ECB90F" w14:textId="4C5D6502" w:rsidR="006647FF" w:rsidRPr="008F0224" w:rsidRDefault="006647FF" w:rsidP="00EB1726">
      <w:pPr>
        <w:spacing w:line="360" w:lineRule="auto"/>
        <w:rPr>
          <w:rFonts w:ascii="Arial" w:hAnsi="Arial" w:cs="Arial"/>
          <w:b/>
          <w:bCs/>
        </w:rPr>
      </w:pPr>
      <w:r w:rsidRPr="008F0224">
        <w:rPr>
          <w:rFonts w:ascii="Arial" w:hAnsi="Arial" w:cs="Arial"/>
          <w:b/>
          <w:bCs/>
        </w:rPr>
        <w:t>3.1 Schein's Model of Organizational Culture</w:t>
      </w:r>
    </w:p>
    <w:p w14:paraId="399DEAAC" w14:textId="5C3AF4EF" w:rsidR="006647FF" w:rsidRPr="008F0224" w:rsidRDefault="006647FF" w:rsidP="00EB1726">
      <w:pPr>
        <w:spacing w:line="360" w:lineRule="auto"/>
        <w:rPr>
          <w:rFonts w:ascii="Arial" w:hAnsi="Arial" w:cs="Arial"/>
        </w:rPr>
      </w:pPr>
      <w:r w:rsidRPr="008F0224">
        <w:rPr>
          <w:rFonts w:ascii="Arial" w:hAnsi="Arial" w:cs="Arial"/>
        </w:rPr>
        <w:t xml:space="preserve">According to Schein (2017), there are three levels of culture: the artefact, espoused values, and basic underlying assumptions. At Toyota, these show both in visible practices and deeper philosophies. Artefacts: The production system of Toyota, visual management boards, </w:t>
      </w:r>
      <w:proofErr w:type="spellStart"/>
      <w:r w:rsidRPr="008F0224">
        <w:rPr>
          <w:rFonts w:ascii="Arial" w:hAnsi="Arial" w:cs="Arial"/>
        </w:rPr>
        <w:t>standardised</w:t>
      </w:r>
      <w:proofErr w:type="spellEnd"/>
      <w:r w:rsidRPr="008F0224">
        <w:rPr>
          <w:rFonts w:ascii="Arial" w:hAnsi="Arial" w:cs="Arial"/>
        </w:rPr>
        <w:t xml:space="preserve"> work procedures, and 5S practices (Sort, Set, Shine, </w:t>
      </w:r>
      <w:proofErr w:type="spellStart"/>
      <w:r w:rsidRPr="008F0224">
        <w:rPr>
          <w:rFonts w:ascii="Arial" w:hAnsi="Arial" w:cs="Arial"/>
        </w:rPr>
        <w:t>Standardise</w:t>
      </w:r>
      <w:proofErr w:type="spellEnd"/>
      <w:r w:rsidRPr="008F0224">
        <w:rPr>
          <w:rFonts w:ascii="Arial" w:hAnsi="Arial" w:cs="Arial"/>
        </w:rPr>
        <w:t xml:space="preserve">, Sustain) are visible expressions of its culture. Espoused Values: The Toyota Way </w:t>
      </w:r>
      <w:proofErr w:type="gramStart"/>
      <w:r w:rsidRPr="008F0224">
        <w:rPr>
          <w:rFonts w:ascii="Arial" w:hAnsi="Arial" w:cs="Arial"/>
        </w:rPr>
        <w:t>values of</w:t>
      </w:r>
      <w:proofErr w:type="gramEnd"/>
      <w:r w:rsidRPr="008F0224">
        <w:rPr>
          <w:rFonts w:ascii="Arial" w:hAnsi="Arial" w:cs="Arial"/>
        </w:rPr>
        <w:t xml:space="preserve"> continuous improvement and respect for people articulate its belief in teamwork, humility, and long-term thinking. Underlying Assumptions: The belief that quality is everyone’s responsibility and that problems should be addressed at the source can be seen as part of Toyota’s deep-rooted assumptions about human potential and mutual </w:t>
      </w:r>
      <w:r w:rsidR="00B941D1" w:rsidRPr="008F0224">
        <w:rPr>
          <w:rFonts w:ascii="Arial" w:hAnsi="Arial" w:cs="Arial"/>
        </w:rPr>
        <w:t>respect. Such</w:t>
      </w:r>
      <w:r w:rsidRPr="008F0224">
        <w:rPr>
          <w:rFonts w:ascii="Arial" w:hAnsi="Arial" w:cs="Arial"/>
        </w:rPr>
        <w:t xml:space="preserve"> a multi-layered approach now aligns with the Week 1 lecture </w:t>
      </w:r>
      <w:r w:rsidRPr="008F0224">
        <w:rPr>
          <w:rFonts w:ascii="Arial" w:hAnsi="Arial" w:cs="Arial"/>
        </w:rPr>
        <w:lastRenderedPageBreak/>
        <w:t xml:space="preserve">discussion that culture shapes </w:t>
      </w:r>
      <w:proofErr w:type="spellStart"/>
      <w:r w:rsidRPr="008F0224">
        <w:rPr>
          <w:rFonts w:ascii="Arial" w:hAnsi="Arial" w:cs="Arial"/>
        </w:rPr>
        <w:t>behaviours</w:t>
      </w:r>
      <w:proofErr w:type="spellEnd"/>
      <w:r w:rsidRPr="008F0224">
        <w:rPr>
          <w:rFonts w:ascii="Arial" w:hAnsi="Arial" w:cs="Arial"/>
        </w:rPr>
        <w:t xml:space="preserve"> beyond formal control, showing how Toyota's norms influence actions at all levels of the organization.</w:t>
      </w:r>
    </w:p>
    <w:p w14:paraId="7A40AD69" w14:textId="77777777" w:rsidR="006647FF" w:rsidRPr="008F0224" w:rsidRDefault="006647FF" w:rsidP="00EB1726">
      <w:pPr>
        <w:spacing w:line="360" w:lineRule="auto"/>
        <w:rPr>
          <w:rFonts w:ascii="Arial" w:hAnsi="Arial" w:cs="Arial"/>
          <w:b/>
          <w:bCs/>
        </w:rPr>
      </w:pPr>
      <w:r w:rsidRPr="008F0224">
        <w:rPr>
          <w:rFonts w:ascii="Arial" w:hAnsi="Arial" w:cs="Arial"/>
          <w:b/>
          <w:bCs/>
        </w:rPr>
        <w:t>3.2 Hofstede's Cultural Dimensions</w:t>
      </w:r>
    </w:p>
    <w:p w14:paraId="1E4988B0" w14:textId="77777777" w:rsidR="006647FF" w:rsidRPr="008F0224" w:rsidRDefault="006647FF" w:rsidP="00EB1726">
      <w:pPr>
        <w:spacing w:line="360" w:lineRule="auto"/>
        <w:rPr>
          <w:rFonts w:ascii="Arial" w:hAnsi="Arial" w:cs="Arial"/>
        </w:rPr>
      </w:pPr>
      <w:r w:rsidRPr="008F0224">
        <w:rPr>
          <w:rFonts w:ascii="Arial" w:hAnsi="Arial" w:cs="Arial"/>
        </w:rPr>
        <w:t xml:space="preserve">Hofstede's framework explains how national culture influences </w:t>
      </w:r>
      <w:proofErr w:type="spellStart"/>
      <w:r w:rsidRPr="008F0224">
        <w:rPr>
          <w:rFonts w:ascii="Arial" w:hAnsi="Arial" w:cs="Arial"/>
        </w:rPr>
        <w:t>organisational</w:t>
      </w:r>
      <w:proofErr w:type="spellEnd"/>
      <w:r w:rsidRPr="008F0224">
        <w:rPr>
          <w:rFonts w:ascii="Arial" w:hAnsi="Arial" w:cs="Arial"/>
        </w:rPr>
        <w:t xml:space="preserve"> behavior. With a high uncertainty avoidance score, Japan reveals Toyota's attention to precision, standardization, and stability. This explains why the company is committed to quality and ensuring that errors are rare. The moderate power distance and strong collectivism found in Japan support working in teams and respect for authority. This culture supports the participative decision-making approaches followed by Toyota. The strategic patience of Toyota, its orientation toward sustainability, is driven by its high long-term orientation; by contrast, a moderate level of masculinity underlines the competitiveness and achievement-oriented culture.</w:t>
      </w:r>
    </w:p>
    <w:p w14:paraId="060D7F03" w14:textId="77777777" w:rsidR="006647FF" w:rsidRPr="008F0224" w:rsidRDefault="006647FF" w:rsidP="00EB1726">
      <w:pPr>
        <w:spacing w:line="360" w:lineRule="auto"/>
        <w:rPr>
          <w:rFonts w:ascii="Arial" w:hAnsi="Arial" w:cs="Arial"/>
          <w:b/>
          <w:bCs/>
        </w:rPr>
      </w:pPr>
      <w:r w:rsidRPr="008F0224">
        <w:rPr>
          <w:rFonts w:ascii="Arial" w:hAnsi="Arial" w:cs="Arial"/>
          <w:b/>
          <w:bCs/>
        </w:rPr>
        <w:t>3.3 Handy's Cultural Typology</w:t>
      </w:r>
    </w:p>
    <w:p w14:paraId="5C603A00" w14:textId="7A63509E" w:rsidR="002F5ED1" w:rsidRPr="008F0224" w:rsidRDefault="006647FF" w:rsidP="00EB1726">
      <w:pPr>
        <w:spacing w:line="360" w:lineRule="auto"/>
        <w:rPr>
          <w:rFonts w:ascii="Arial" w:hAnsi="Arial" w:cs="Arial"/>
        </w:rPr>
      </w:pPr>
      <w:r w:rsidRPr="008F0224">
        <w:rPr>
          <w:rFonts w:ascii="Arial" w:hAnsi="Arial" w:cs="Arial"/>
        </w:rPr>
        <w:t xml:space="preserve">According to Handy (1993), there are power culture, role culture, task culture, and person culture </w:t>
      </w:r>
      <w:proofErr w:type="spellStart"/>
      <w:r w:rsidRPr="008F0224">
        <w:rPr>
          <w:rFonts w:ascii="Arial" w:hAnsi="Arial" w:cs="Arial"/>
        </w:rPr>
        <w:t>organisational</w:t>
      </w:r>
      <w:proofErr w:type="spellEnd"/>
      <w:r w:rsidRPr="008F0224">
        <w:rPr>
          <w:rFonts w:ascii="Arial" w:hAnsi="Arial" w:cs="Arial"/>
        </w:rPr>
        <w:t xml:space="preserve"> cultures. In the case of Toyota, the role culture is dominant, with clear structures and clearly defined responsibilities, within stable systems. It also has a touch of task culture with cross-functional teams working together to resolve problems in production. This enhances reliability while not at the expense of </w:t>
      </w:r>
      <w:proofErr w:type="gramStart"/>
      <w:r w:rsidRPr="008F0224">
        <w:rPr>
          <w:rFonts w:ascii="Arial" w:hAnsi="Arial" w:cs="Arial"/>
        </w:rPr>
        <w:t>innovativeness</w:t>
      </w:r>
      <w:proofErr w:type="gramEnd"/>
      <w:r w:rsidRPr="008F0224">
        <w:rPr>
          <w:rFonts w:ascii="Arial" w:hAnsi="Arial" w:cs="Arial"/>
        </w:rPr>
        <w:t xml:space="preserve">, which again relates to the example given in the Week 3 lecture that effective cultures combine stability with </w:t>
      </w:r>
      <w:proofErr w:type="spellStart"/>
      <w:proofErr w:type="gramStart"/>
      <w:r w:rsidRPr="008F0224">
        <w:rPr>
          <w:rFonts w:ascii="Arial" w:hAnsi="Arial" w:cs="Arial"/>
        </w:rPr>
        <w:t>adaptability.By</w:t>
      </w:r>
      <w:proofErr w:type="spellEnd"/>
      <w:proofErr w:type="gramEnd"/>
      <w:r w:rsidRPr="008F0224">
        <w:rPr>
          <w:rFonts w:ascii="Arial" w:hAnsi="Arial" w:cs="Arial"/>
        </w:rPr>
        <w:t xml:space="preserve"> combining insights from these frameworks, it can be learnt that Toyota's culture strikes a balance between discipline and flexibility, authority and collaboration, standardization and innovation. Such a balance helps the organization maintain its efficiency while being responsive to the demands of the market.</w:t>
      </w:r>
    </w:p>
    <w:p w14:paraId="7101286B" w14:textId="58A773BE" w:rsidR="005D44EA" w:rsidRPr="008F0224" w:rsidRDefault="00AB345F" w:rsidP="00EB1726">
      <w:pPr>
        <w:pStyle w:val="ListParagraph"/>
        <w:numPr>
          <w:ilvl w:val="0"/>
          <w:numId w:val="14"/>
        </w:numPr>
        <w:spacing w:line="360" w:lineRule="auto"/>
        <w:rPr>
          <w:rFonts w:ascii="Arial" w:hAnsi="Arial" w:cs="Arial"/>
          <w:b/>
          <w:bCs/>
        </w:rPr>
      </w:pPr>
      <w:r w:rsidRPr="008F0224">
        <w:rPr>
          <w:rFonts w:ascii="Arial" w:hAnsi="Arial" w:cs="Arial"/>
          <w:b/>
          <w:bCs/>
        </w:rPr>
        <w:t>Culture and the External Environment</w:t>
      </w:r>
    </w:p>
    <w:p w14:paraId="097DAA67" w14:textId="227E74B9" w:rsidR="006647FF" w:rsidRPr="008F0224" w:rsidRDefault="006647FF" w:rsidP="00EB1726">
      <w:pPr>
        <w:spacing w:line="360" w:lineRule="auto"/>
        <w:rPr>
          <w:rFonts w:ascii="Arial" w:hAnsi="Arial" w:cs="Arial"/>
        </w:rPr>
      </w:pPr>
      <w:r w:rsidRPr="008F0224">
        <w:rPr>
          <w:rFonts w:ascii="Arial" w:hAnsi="Arial" w:cs="Arial"/>
        </w:rPr>
        <w:t xml:space="preserve">Using </w:t>
      </w:r>
      <w:proofErr w:type="spellStart"/>
      <w:r w:rsidRPr="008F0224">
        <w:rPr>
          <w:rFonts w:ascii="Arial" w:hAnsi="Arial" w:cs="Arial"/>
        </w:rPr>
        <w:t>Organisational</w:t>
      </w:r>
      <w:proofErr w:type="spellEnd"/>
      <w:r w:rsidRPr="008F0224">
        <w:rPr>
          <w:rFonts w:ascii="Arial" w:hAnsi="Arial" w:cs="Arial"/>
        </w:rPr>
        <w:t xml:space="preserve"> Culture to Adapt to the External Environment:</w:t>
      </w:r>
    </w:p>
    <w:p w14:paraId="68F7D6E2" w14:textId="70759D20" w:rsidR="002F5ED1" w:rsidRPr="008F0224" w:rsidRDefault="006647FF" w:rsidP="00EB1726">
      <w:pPr>
        <w:spacing w:line="360" w:lineRule="auto"/>
        <w:rPr>
          <w:rFonts w:ascii="Arial" w:hAnsi="Arial" w:cs="Arial"/>
        </w:rPr>
      </w:pPr>
      <w:r w:rsidRPr="008F0224">
        <w:rPr>
          <w:rFonts w:ascii="Arial" w:hAnsi="Arial" w:cs="Arial"/>
        </w:rPr>
        <w:t xml:space="preserve">A critical insight developed in the 2nd week of the LCLM 5005 module is that organizations should link internal culture to external environmental changes. And indeed, a master of adaptation, Toyota integrates into its core culture external pressures for continuous learning and innovation. In support of this concept is the contingency theory </w:t>
      </w:r>
      <w:r w:rsidRPr="008F0224">
        <w:rPr>
          <w:rFonts w:ascii="Arial" w:hAnsi="Arial" w:cs="Arial"/>
        </w:rPr>
        <w:lastRenderedPageBreak/>
        <w:t xml:space="preserve">of Burns and Stalker (1961), where it is emphasized that organizations in dynamic environments are best suited with flexible, </w:t>
      </w:r>
      <w:proofErr w:type="gramStart"/>
      <w:r w:rsidRPr="008F0224">
        <w:rPr>
          <w:rFonts w:ascii="Arial" w:hAnsi="Arial" w:cs="Arial"/>
        </w:rPr>
        <w:t>organic type</w:t>
      </w:r>
      <w:proofErr w:type="gramEnd"/>
      <w:r w:rsidRPr="008F0224">
        <w:rPr>
          <w:rFonts w:ascii="Arial" w:hAnsi="Arial" w:cs="Arial"/>
        </w:rPr>
        <w:t xml:space="preserve"> structures. Toyota’s Kaizen philosophy ensures responsiveness to technological and environmental shifts. For example, the early adoption by the company of hybrid technology (the Prius) and its recent investment in hydrogen and electric vehicles point to an adaptive culture (Toyota, 2023). The mission of the company revolves around sustainable mobility, reflecting the "mission" trait in the Denison model of culture, while the involvement of employees and adaptability points to other traits outlined in Week 2 slides (involvement, consistency, adaptability, mission). Furthermore, cultural adaptability for Toyota goes global. While its Japanese origins stress consensus and discipline, it allows local subsidiaries to adopt practices that best fit regional norms. For instance, Toyota UK fosters open communication and inclusiveness in the culture to suit Western cultural contexts, but with maintained global standards of quality (Ahmad and Schroeder, 2013). The cross-cultural flexibility has helped Toyota thrive amid diverse regulatory and consumer environments. Toyota also uses culture as a means of managing external uncertainty. In promoting employee empowerment and knowledge sharing, Toyota builds a learning organization -one that can innovate even amid uncertainty. According to the lecture for Week 2, managers who “model the </w:t>
      </w:r>
      <w:proofErr w:type="spellStart"/>
      <w:r w:rsidRPr="008F0224">
        <w:rPr>
          <w:rFonts w:ascii="Arial" w:hAnsi="Arial" w:cs="Arial"/>
        </w:rPr>
        <w:t>behaviour</w:t>
      </w:r>
      <w:proofErr w:type="spellEnd"/>
      <w:r w:rsidRPr="008F0224">
        <w:rPr>
          <w:rFonts w:ascii="Arial" w:hAnsi="Arial" w:cs="Arial"/>
        </w:rPr>
        <w:t xml:space="preserve"> they expect” and “communicate expectations consistently” help sustain coherence of the culture in times of change, hence, have been central to the resilience of Toyota through crises like the 2010 recall and the 2020 pandemic disruption (Adegbite, 2025).</w:t>
      </w:r>
    </w:p>
    <w:p w14:paraId="3111AFB0" w14:textId="0BA101B9" w:rsidR="005D44EA" w:rsidRPr="008F0224" w:rsidRDefault="00AB345F" w:rsidP="00EB1726">
      <w:pPr>
        <w:pStyle w:val="ListParagraph"/>
        <w:numPr>
          <w:ilvl w:val="0"/>
          <w:numId w:val="14"/>
        </w:numPr>
        <w:spacing w:line="360" w:lineRule="auto"/>
        <w:rPr>
          <w:rFonts w:ascii="Arial" w:hAnsi="Arial" w:cs="Arial"/>
          <w:b/>
          <w:bCs/>
        </w:rPr>
      </w:pPr>
      <w:proofErr w:type="spellStart"/>
      <w:r w:rsidRPr="008F0224">
        <w:rPr>
          <w:rFonts w:ascii="Arial" w:hAnsi="Arial" w:cs="Arial"/>
          <w:b/>
          <w:bCs/>
        </w:rPr>
        <w:t>Organisational</w:t>
      </w:r>
      <w:proofErr w:type="spellEnd"/>
      <w:r w:rsidRPr="008F0224">
        <w:rPr>
          <w:rFonts w:ascii="Arial" w:hAnsi="Arial" w:cs="Arial"/>
          <w:b/>
          <w:bCs/>
        </w:rPr>
        <w:t xml:space="preserve"> Culture as a Barrier</w:t>
      </w:r>
    </w:p>
    <w:p w14:paraId="6F9885D9" w14:textId="4953BFEE" w:rsidR="006647FF" w:rsidRPr="008F0224" w:rsidRDefault="006647FF" w:rsidP="00EB1726">
      <w:pPr>
        <w:spacing w:line="360" w:lineRule="auto"/>
        <w:rPr>
          <w:rFonts w:ascii="Arial" w:hAnsi="Arial" w:cs="Arial"/>
        </w:rPr>
      </w:pPr>
      <w:proofErr w:type="spellStart"/>
      <w:r w:rsidRPr="008F0224">
        <w:rPr>
          <w:rFonts w:ascii="Arial" w:hAnsi="Arial" w:cs="Arial"/>
        </w:rPr>
        <w:t>Organisational</w:t>
      </w:r>
      <w:proofErr w:type="spellEnd"/>
      <w:r w:rsidRPr="008F0224">
        <w:rPr>
          <w:rFonts w:ascii="Arial" w:hAnsi="Arial" w:cs="Arial"/>
        </w:rPr>
        <w:t xml:space="preserve"> Culture as a Barrier to Effective Functioning:</w:t>
      </w:r>
    </w:p>
    <w:p w14:paraId="64612270" w14:textId="6F62FCED" w:rsidR="002F5ED1" w:rsidRPr="008F0224" w:rsidRDefault="006647FF" w:rsidP="00EB1726">
      <w:pPr>
        <w:spacing w:line="360" w:lineRule="auto"/>
        <w:rPr>
          <w:rFonts w:ascii="Arial" w:hAnsi="Arial" w:cs="Arial"/>
        </w:rPr>
      </w:pPr>
      <w:r w:rsidRPr="008F0224">
        <w:rPr>
          <w:rFonts w:ascii="Arial" w:hAnsi="Arial" w:cs="Arial"/>
        </w:rPr>
        <w:t xml:space="preserve">While Toyota's culture has many strengths, it can become an obstacle under certain conditions. A strong culture may lead to rigidity, slow decision-making, or resistance to change. The collectivist approach at Toyota, even while promoting harmony, sometimes simply creates the potential for groupthink and hesitation in challenging the authority of others. This consensus-based </w:t>
      </w:r>
      <w:proofErr w:type="spellStart"/>
      <w:r w:rsidRPr="008F0224">
        <w:rPr>
          <w:rFonts w:ascii="Arial" w:hAnsi="Arial" w:cs="Arial"/>
        </w:rPr>
        <w:t>ringi</w:t>
      </w:r>
      <w:proofErr w:type="spellEnd"/>
      <w:r w:rsidRPr="008F0224">
        <w:rPr>
          <w:rFonts w:ascii="Arial" w:hAnsi="Arial" w:cs="Arial"/>
        </w:rPr>
        <w:t xml:space="preserve"> process, though inclusive, delays urgent decisions. As evidenced during the 2010 crisis involving the recall of vehicles, the process of slow communication resulted in reputation </w:t>
      </w:r>
      <w:r w:rsidR="00B941D1" w:rsidRPr="008F0224">
        <w:rPr>
          <w:rFonts w:ascii="Arial" w:hAnsi="Arial" w:cs="Arial"/>
        </w:rPr>
        <w:t>loss. Furthermore</w:t>
      </w:r>
      <w:r w:rsidRPr="008F0224">
        <w:rPr>
          <w:rFonts w:ascii="Arial" w:hAnsi="Arial" w:cs="Arial"/>
        </w:rPr>
        <w:t xml:space="preserve">, the long-term orientation and continuous improvement-oriented approach of Toyota may sometimes impede radical innovations. The tendency is to focus on gradual improvement rather than disruptive </w:t>
      </w:r>
      <w:r w:rsidRPr="008F0224">
        <w:rPr>
          <w:rFonts w:ascii="Arial" w:hAnsi="Arial" w:cs="Arial"/>
        </w:rPr>
        <w:lastRenderedPageBreak/>
        <w:t xml:space="preserve">change, which may be risky in the dynamic electric vehicle markets of today, as explained by Bortolotti et al., 2015. The maintenance of culture through global operations is also difficult as regional differences often make for a tug-of-war situation between headquarters and </w:t>
      </w:r>
      <w:r w:rsidR="00B941D1" w:rsidRPr="008F0224">
        <w:rPr>
          <w:rFonts w:ascii="Arial" w:hAnsi="Arial" w:cs="Arial"/>
        </w:rPr>
        <w:t>subsidiaries. These</w:t>
      </w:r>
      <w:r w:rsidRPr="008F0224">
        <w:rPr>
          <w:rFonts w:ascii="Arial" w:hAnsi="Arial" w:cs="Arial"/>
        </w:rPr>
        <w:t xml:space="preserve"> challenges do not necessarily undermine the effectiveness of Toyota; they indicate how it needs to evolve culturally. According to the slides of Week 2, for every successful organization, consistency must be balanced with adaptability. Some steps Toyota has taken regarding these issues are its decentralization and increased diversity in leadership, which shows that it is aware of how culture </w:t>
      </w:r>
      <w:proofErr w:type="gramStart"/>
      <w:r w:rsidRPr="008F0224">
        <w:rPr>
          <w:rFonts w:ascii="Arial" w:hAnsi="Arial" w:cs="Arial"/>
        </w:rPr>
        <w:t>has to</w:t>
      </w:r>
      <w:proofErr w:type="gramEnd"/>
      <w:r w:rsidRPr="008F0224">
        <w:rPr>
          <w:rFonts w:ascii="Arial" w:hAnsi="Arial" w:cs="Arial"/>
        </w:rPr>
        <w:t xml:space="preserve"> evolve to continue to be a source of competitive advantage.</w:t>
      </w:r>
    </w:p>
    <w:p w14:paraId="6DB70556" w14:textId="79FC814A" w:rsidR="005D44EA" w:rsidRPr="008F0224" w:rsidRDefault="00AB345F" w:rsidP="00EB1726">
      <w:pPr>
        <w:pStyle w:val="ListParagraph"/>
        <w:numPr>
          <w:ilvl w:val="0"/>
          <w:numId w:val="14"/>
        </w:numPr>
        <w:spacing w:line="360" w:lineRule="auto"/>
        <w:rPr>
          <w:rFonts w:ascii="Arial" w:hAnsi="Arial" w:cs="Arial"/>
          <w:b/>
          <w:bCs/>
        </w:rPr>
      </w:pPr>
      <w:r w:rsidRPr="008F0224">
        <w:rPr>
          <w:rFonts w:ascii="Arial" w:hAnsi="Arial" w:cs="Arial"/>
          <w:b/>
          <w:bCs/>
        </w:rPr>
        <w:t>Impact of Culture on Organisational Performance</w:t>
      </w:r>
    </w:p>
    <w:p w14:paraId="7D387BE3" w14:textId="77777777" w:rsidR="006647FF" w:rsidRPr="008F0224" w:rsidRDefault="006647FF" w:rsidP="00EB1726">
      <w:pPr>
        <w:spacing w:line="360" w:lineRule="auto"/>
        <w:rPr>
          <w:rFonts w:ascii="Arial" w:hAnsi="Arial" w:cs="Arial"/>
        </w:rPr>
      </w:pPr>
      <w:r w:rsidRPr="008F0224">
        <w:rPr>
          <w:rFonts w:ascii="Arial" w:hAnsi="Arial" w:cs="Arial"/>
        </w:rPr>
        <w:t>Impact of Organizational Culture on Performance and Recommendations</w:t>
      </w:r>
    </w:p>
    <w:p w14:paraId="7AF5A9D9" w14:textId="77777777" w:rsidR="006647FF" w:rsidRPr="008F0224" w:rsidRDefault="006647FF" w:rsidP="00EB1726">
      <w:pPr>
        <w:spacing w:line="360" w:lineRule="auto"/>
        <w:rPr>
          <w:rFonts w:ascii="Arial" w:hAnsi="Arial" w:cs="Arial"/>
        </w:rPr>
      </w:pPr>
      <w:r w:rsidRPr="008F0224">
        <w:rPr>
          <w:rFonts w:ascii="Arial" w:hAnsi="Arial" w:cs="Arial"/>
        </w:rPr>
        <w:t xml:space="preserve">For Toyota, its </w:t>
      </w:r>
      <w:proofErr w:type="spellStart"/>
      <w:r w:rsidRPr="008F0224">
        <w:rPr>
          <w:rFonts w:ascii="Arial" w:hAnsi="Arial" w:cs="Arial"/>
        </w:rPr>
        <w:t>organisational</w:t>
      </w:r>
      <w:proofErr w:type="spellEnd"/>
      <w:r w:rsidRPr="008F0224">
        <w:rPr>
          <w:rFonts w:ascii="Arial" w:hAnsi="Arial" w:cs="Arial"/>
        </w:rPr>
        <w:t xml:space="preserve"> culture has been a driver in performance. The TPS, a product of cultural values such as efficiency, learning, and teamwork, has revolutionized manufacturing across the world (Womack et al., 1990). Therein, </w:t>
      </w:r>
      <w:proofErr w:type="gramStart"/>
      <w:r w:rsidRPr="008F0224">
        <w:rPr>
          <w:rFonts w:ascii="Arial" w:hAnsi="Arial" w:cs="Arial"/>
        </w:rPr>
        <w:t>a number of</w:t>
      </w:r>
      <w:proofErr w:type="gramEnd"/>
      <w:r w:rsidRPr="008F0224">
        <w:rPr>
          <w:rFonts w:ascii="Arial" w:hAnsi="Arial" w:cs="Arial"/>
        </w:rPr>
        <w:t xml:space="preserve"> studies have established that strong cultures in pursuit of strategic objectives promote innovation, lead to greater employee involvement, and ultimately improve profitability levels (Hogan and Coote, 2014; Ahmad and Schroeder, 2013). At Toyota, as a culturally sensitive company, high trust engenders commitment with low turnover and very high product quality.</w:t>
      </w:r>
    </w:p>
    <w:p w14:paraId="3D81E9BC" w14:textId="294BC52F" w:rsidR="006647FF" w:rsidRPr="008F0224" w:rsidRDefault="006647FF" w:rsidP="00EB1726">
      <w:pPr>
        <w:spacing w:line="360" w:lineRule="auto"/>
        <w:rPr>
          <w:rFonts w:ascii="Arial" w:hAnsi="Arial" w:cs="Arial"/>
          <w:b/>
          <w:bCs/>
        </w:rPr>
      </w:pPr>
      <w:r w:rsidRPr="008F0224">
        <w:rPr>
          <w:rFonts w:ascii="Arial" w:hAnsi="Arial" w:cs="Arial"/>
          <w:b/>
          <w:bCs/>
        </w:rPr>
        <w:t>Positive Impacts:</w:t>
      </w:r>
    </w:p>
    <w:p w14:paraId="3BF0AD89"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Operational Efficiency: Lean culture eliminates waste and improves resource utilization.</w:t>
      </w:r>
    </w:p>
    <w:p w14:paraId="1B3E2B40"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Employee Engagement: Empowered employees can contribute ideas for the betterment of the organization, hence increasing morale and productivity.</w:t>
      </w:r>
    </w:p>
    <w:p w14:paraId="3B0DFEDB"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Reputation: Cultural consistency enhances brand trust and global recognition.</w:t>
      </w:r>
    </w:p>
    <w:p w14:paraId="4130D7A3" w14:textId="77777777" w:rsidR="006647FF" w:rsidRPr="008F0224" w:rsidRDefault="006647FF" w:rsidP="00EB1726">
      <w:pPr>
        <w:pStyle w:val="ListParagraph"/>
        <w:spacing w:line="360" w:lineRule="auto"/>
        <w:ind w:left="360"/>
        <w:rPr>
          <w:rFonts w:ascii="Arial" w:hAnsi="Arial" w:cs="Arial"/>
          <w:b/>
          <w:bCs/>
        </w:rPr>
      </w:pPr>
    </w:p>
    <w:p w14:paraId="2803A9F7" w14:textId="77777777" w:rsidR="006647FF" w:rsidRPr="008F0224" w:rsidRDefault="006647FF" w:rsidP="00EB1726">
      <w:pPr>
        <w:pStyle w:val="ListParagraph"/>
        <w:spacing w:line="360" w:lineRule="auto"/>
        <w:ind w:left="360"/>
        <w:rPr>
          <w:rFonts w:ascii="Arial" w:hAnsi="Arial" w:cs="Arial"/>
          <w:b/>
          <w:bCs/>
        </w:rPr>
      </w:pPr>
    </w:p>
    <w:p w14:paraId="22F6F1C6" w14:textId="09CD6761" w:rsidR="006647FF" w:rsidRPr="008F0224" w:rsidRDefault="006647FF" w:rsidP="00EB1726">
      <w:pPr>
        <w:pStyle w:val="ListParagraph"/>
        <w:spacing w:line="360" w:lineRule="auto"/>
        <w:ind w:left="360"/>
        <w:rPr>
          <w:rFonts w:ascii="Arial" w:hAnsi="Arial" w:cs="Arial"/>
          <w:b/>
          <w:bCs/>
        </w:rPr>
      </w:pPr>
      <w:r w:rsidRPr="008F0224">
        <w:rPr>
          <w:rFonts w:ascii="Arial" w:hAnsi="Arial" w:cs="Arial"/>
          <w:b/>
          <w:bCs/>
        </w:rPr>
        <w:t>Negative Impacts</w:t>
      </w:r>
    </w:p>
    <w:p w14:paraId="76A60714" w14:textId="5B9057EF"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Decision Delays: A strong consensus culture slows down responses to crises.</w:t>
      </w:r>
    </w:p>
    <w:p w14:paraId="5A6A7569"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Innovation Constraints: Strong emphasis on standardization could restrict radical creativity.</w:t>
      </w:r>
    </w:p>
    <w:p w14:paraId="412733C2"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lastRenderedPageBreak/>
        <w:t>Cultural Misfit: Incompatibility in Japanese-Western norms might create gaps in communication.</w:t>
      </w:r>
    </w:p>
    <w:p w14:paraId="17F9618F"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Suggestions for Improvement</w:t>
      </w:r>
    </w:p>
    <w:p w14:paraId="55207ABF"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Improve cross-cultural leadership training to help leaders understand and incorporate different cultural points of view.</w:t>
      </w:r>
    </w:p>
    <w:p w14:paraId="5A11DC62"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 xml:space="preserve">Streamline decision-making by combining </w:t>
      </w:r>
      <w:proofErr w:type="spellStart"/>
      <w:r w:rsidRPr="008F0224">
        <w:rPr>
          <w:rFonts w:ascii="Arial" w:hAnsi="Arial" w:cs="Arial"/>
        </w:rPr>
        <w:t>ringi</w:t>
      </w:r>
      <w:proofErr w:type="spellEnd"/>
      <w:r w:rsidRPr="008F0224">
        <w:rPr>
          <w:rFonts w:ascii="Arial" w:hAnsi="Arial" w:cs="Arial"/>
        </w:rPr>
        <w:t xml:space="preserve"> with faster approval mechanisms for time-sensitive issues.</w:t>
      </w:r>
    </w:p>
    <w:p w14:paraId="7A408420" w14:textId="77777777" w:rsidR="006647FF"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Promote diversity and inclusion by expanding leadership representation to promote creativity and global relevance.</w:t>
      </w:r>
    </w:p>
    <w:p w14:paraId="4B36481E" w14:textId="27D48D5F" w:rsidR="004424B8" w:rsidRPr="008F0224" w:rsidRDefault="006647FF" w:rsidP="00EB1726">
      <w:pPr>
        <w:pStyle w:val="ListParagraph"/>
        <w:numPr>
          <w:ilvl w:val="0"/>
          <w:numId w:val="12"/>
        </w:numPr>
        <w:spacing w:line="360" w:lineRule="auto"/>
        <w:rPr>
          <w:rFonts w:ascii="Arial" w:hAnsi="Arial" w:cs="Arial"/>
        </w:rPr>
      </w:pPr>
      <w:r w:rsidRPr="008F0224">
        <w:rPr>
          <w:rFonts w:ascii="Arial" w:hAnsi="Arial" w:cs="Arial"/>
        </w:rPr>
        <w:t>Leverage digital tools: Utilize technology to share best practices across global teams and support transparency. Balance Kaizen with bold innovation by establishing specific innovation units focused on breakthrough technologies while continuing continuous improvement in core operations. Implementing these recommendations will help Toyota to maintain the strengths of its culture by addressing areas of rigidity. It should be about culture, as Adegbite (2025) emphasized in the Week 2 lecture: "a living system that learns and adapts."</w:t>
      </w:r>
    </w:p>
    <w:p w14:paraId="5B0F0573" w14:textId="77777777" w:rsidR="00EB1726" w:rsidRPr="008F0224" w:rsidRDefault="00EB1726" w:rsidP="00EB1726">
      <w:pPr>
        <w:pStyle w:val="ListParagraph"/>
        <w:spacing w:line="360" w:lineRule="auto"/>
        <w:ind w:left="360"/>
        <w:rPr>
          <w:rFonts w:ascii="Arial" w:hAnsi="Arial" w:cs="Arial"/>
        </w:rPr>
      </w:pPr>
    </w:p>
    <w:p w14:paraId="49CC28E3" w14:textId="66FEDE93" w:rsidR="005D44EA" w:rsidRPr="008F0224" w:rsidRDefault="00AB345F" w:rsidP="00EB1726">
      <w:pPr>
        <w:pStyle w:val="ListParagraph"/>
        <w:numPr>
          <w:ilvl w:val="0"/>
          <w:numId w:val="14"/>
        </w:numPr>
        <w:spacing w:line="360" w:lineRule="auto"/>
        <w:rPr>
          <w:rFonts w:ascii="Arial" w:hAnsi="Arial" w:cs="Arial"/>
          <w:b/>
          <w:bCs/>
        </w:rPr>
      </w:pPr>
      <w:r w:rsidRPr="008F0224">
        <w:rPr>
          <w:rFonts w:ascii="Arial" w:hAnsi="Arial" w:cs="Arial"/>
          <w:b/>
          <w:bCs/>
        </w:rPr>
        <w:t>Conclusion</w:t>
      </w:r>
    </w:p>
    <w:p w14:paraId="1961E104" w14:textId="20154670" w:rsidR="005C3158" w:rsidRPr="008F0224" w:rsidRDefault="005C3158" w:rsidP="008F0224">
      <w:pPr>
        <w:spacing w:line="360" w:lineRule="auto"/>
        <w:rPr>
          <w:rFonts w:ascii="Arial" w:hAnsi="Arial" w:cs="Arial"/>
        </w:rPr>
      </w:pPr>
      <w:proofErr w:type="spellStart"/>
      <w:r w:rsidRPr="008F0224">
        <w:rPr>
          <w:rFonts w:ascii="Arial" w:hAnsi="Arial" w:cs="Arial"/>
        </w:rPr>
        <w:t>Organisational</w:t>
      </w:r>
      <w:proofErr w:type="spellEnd"/>
      <w:r w:rsidRPr="008F0224">
        <w:rPr>
          <w:rFonts w:ascii="Arial" w:hAnsi="Arial" w:cs="Arial"/>
        </w:rPr>
        <w:t xml:space="preserve"> culture remains one of the most influential yet complex forces that shape corporate performance and identity. At Toyota Motor Corporation, culture has been more than just an abstract concept but a living system guiding the company's behavior, structure, and decision-making for almost nine decades. The Toyota Way, entrenched with the values of continuous improvement, Kaizen, and respect for people, illustrates exactly how shared beliefs and practices can create an environment in which excellence becomes habitual. These are not just statement values; they are deeply inculcated routines that define how work is organized, how problems are solved, and how employees interact across its global </w:t>
      </w:r>
      <w:proofErr w:type="spellStart"/>
      <w:proofErr w:type="gramStart"/>
      <w:r w:rsidRPr="008F0224">
        <w:rPr>
          <w:rFonts w:ascii="Arial" w:hAnsi="Arial" w:cs="Arial"/>
        </w:rPr>
        <w:t>structure.The</w:t>
      </w:r>
      <w:proofErr w:type="spellEnd"/>
      <w:proofErr w:type="gramEnd"/>
      <w:r w:rsidRPr="008F0224">
        <w:rPr>
          <w:rFonts w:ascii="Arial" w:hAnsi="Arial" w:cs="Arial"/>
        </w:rPr>
        <w:t xml:space="preserve"> analysis in this report identifies that the </w:t>
      </w:r>
      <w:proofErr w:type="spellStart"/>
      <w:r w:rsidRPr="008F0224">
        <w:rPr>
          <w:rFonts w:ascii="Arial" w:hAnsi="Arial" w:cs="Arial"/>
        </w:rPr>
        <w:t>organisational</w:t>
      </w:r>
      <w:proofErr w:type="spellEnd"/>
      <w:r w:rsidRPr="008F0224">
        <w:rPr>
          <w:rFonts w:ascii="Arial" w:hAnsi="Arial" w:cs="Arial"/>
        </w:rPr>
        <w:t xml:space="preserve"> culture is both a strategic asset and constraint for Toyota. On the one hand, it has created a disciplined and quality-oriented workforce with a common set of goals. Culture influences the lean structure of the company in such a way that efficiency, teamwork, and empowerment are well-supported while limiting the need for a tight bureaucracy. This supports what Mullins and Christy (2016) had to say about the role of culture in substituting formal systems of control in bringing on the consistency of </w:t>
      </w:r>
      <w:proofErr w:type="spellStart"/>
      <w:r w:rsidRPr="008F0224">
        <w:rPr>
          <w:rFonts w:ascii="Arial" w:hAnsi="Arial" w:cs="Arial"/>
        </w:rPr>
        <w:lastRenderedPageBreak/>
        <w:t>behaviour</w:t>
      </w:r>
      <w:proofErr w:type="spellEnd"/>
      <w:r w:rsidRPr="008F0224">
        <w:rPr>
          <w:rFonts w:ascii="Arial" w:hAnsi="Arial" w:cs="Arial"/>
        </w:rPr>
        <w:t xml:space="preserve">. Inspired by Japanese collectivist values and the </w:t>
      </w:r>
      <w:proofErr w:type="spellStart"/>
      <w:r w:rsidRPr="008F0224">
        <w:rPr>
          <w:rFonts w:ascii="Arial" w:hAnsi="Arial" w:cs="Arial"/>
        </w:rPr>
        <w:t>ringi</w:t>
      </w:r>
      <w:proofErr w:type="spellEnd"/>
      <w:r w:rsidRPr="008F0224">
        <w:rPr>
          <w:rFonts w:ascii="Arial" w:hAnsi="Arial" w:cs="Arial"/>
        </w:rPr>
        <w:t xml:space="preserve"> consensus system of decision-making, Toyota's participatory approach ensures employee participation in problem-solving and innovation at all levels. From this point of view, the culture holds the </w:t>
      </w:r>
      <w:proofErr w:type="spellStart"/>
      <w:r w:rsidRPr="008F0224">
        <w:rPr>
          <w:rFonts w:ascii="Arial" w:hAnsi="Arial" w:cs="Arial"/>
        </w:rPr>
        <w:t>organisation</w:t>
      </w:r>
      <w:proofErr w:type="spellEnd"/>
      <w:r w:rsidRPr="008F0224">
        <w:rPr>
          <w:rFonts w:ascii="Arial" w:hAnsi="Arial" w:cs="Arial"/>
        </w:rPr>
        <w:t xml:space="preserve"> together and is the glue that can ensure operational performance that is </w:t>
      </w:r>
      <w:proofErr w:type="spellStart"/>
      <w:proofErr w:type="gramStart"/>
      <w:r w:rsidRPr="008F0224">
        <w:rPr>
          <w:rFonts w:ascii="Arial" w:hAnsi="Arial" w:cs="Arial"/>
        </w:rPr>
        <w:t>superior.But</w:t>
      </w:r>
      <w:proofErr w:type="spellEnd"/>
      <w:proofErr w:type="gramEnd"/>
      <w:r w:rsidRPr="008F0224">
        <w:rPr>
          <w:rFonts w:ascii="Arial" w:hAnsi="Arial" w:cs="Arial"/>
        </w:rPr>
        <w:t xml:space="preserve"> strength can also be a limitation of culture. The very attributes that once guaranteed stability and harmony-respect for hierarchy, consensus-based decision-making, and incremental improvement-can slow responsiveness in a fast-changing global market. The delayed reaction of Toyota during the 2010 recall crisis epitomized how excessive deference to senior authority and groupthink may inhibit timely communication and decisive action. In an environment characterized by digital disruption, sustainability imperatives, and shifting consumer expectations, rigidity will reduce competitiveness. Culture, therefore, cannot remain static; it </w:t>
      </w:r>
      <w:proofErr w:type="gramStart"/>
      <w:r w:rsidRPr="008F0224">
        <w:rPr>
          <w:rFonts w:ascii="Arial" w:hAnsi="Arial" w:cs="Arial"/>
        </w:rPr>
        <w:t>has to</w:t>
      </w:r>
      <w:proofErr w:type="gramEnd"/>
      <w:r w:rsidRPr="008F0224">
        <w:rPr>
          <w:rFonts w:ascii="Arial" w:hAnsi="Arial" w:cs="Arial"/>
        </w:rPr>
        <w:t xml:space="preserve"> evolve without eroding its foundational </w:t>
      </w:r>
      <w:proofErr w:type="spellStart"/>
      <w:proofErr w:type="gramStart"/>
      <w:r w:rsidRPr="008F0224">
        <w:rPr>
          <w:rFonts w:ascii="Arial" w:hAnsi="Arial" w:cs="Arial"/>
        </w:rPr>
        <w:t>values.Critically</w:t>
      </w:r>
      <w:proofErr w:type="spellEnd"/>
      <w:proofErr w:type="gramEnd"/>
      <w:r w:rsidRPr="008F0224">
        <w:rPr>
          <w:rFonts w:ascii="Arial" w:hAnsi="Arial" w:cs="Arial"/>
        </w:rPr>
        <w:t xml:space="preserve">, Toyota's culture has proved adaptable when guided by reflective leadership. Its response to the environmental challenge, including its investment in hybrid and electric vehicles, well demonstrates the ability of the company to reinterpret traditional values for modern contexts. Embedding sustainability into its mission, Toyota has shown how the principle of Kaizen can go beyond efficiency in manufacturing to include environmental and social responsibility. It thus fits the "mission" and "adaptability" traits described on the Week 2 lecture slides, where successful </w:t>
      </w:r>
      <w:proofErr w:type="spellStart"/>
      <w:r w:rsidRPr="008F0224">
        <w:rPr>
          <w:rFonts w:ascii="Arial" w:hAnsi="Arial" w:cs="Arial"/>
        </w:rPr>
        <w:t>organisations</w:t>
      </w:r>
      <w:proofErr w:type="spellEnd"/>
      <w:r w:rsidRPr="008F0224">
        <w:rPr>
          <w:rFonts w:ascii="Arial" w:hAnsi="Arial" w:cs="Arial"/>
        </w:rPr>
        <w:t xml:space="preserve"> balance internal consistency with responsiveness to the </w:t>
      </w:r>
      <w:proofErr w:type="spellStart"/>
      <w:proofErr w:type="gramStart"/>
      <w:r w:rsidRPr="008F0224">
        <w:rPr>
          <w:rFonts w:ascii="Arial" w:hAnsi="Arial" w:cs="Arial"/>
        </w:rPr>
        <w:t>environment.Looking</w:t>
      </w:r>
      <w:proofErr w:type="spellEnd"/>
      <w:proofErr w:type="gramEnd"/>
      <w:r w:rsidRPr="008F0224">
        <w:rPr>
          <w:rFonts w:ascii="Arial" w:hAnsi="Arial" w:cs="Arial"/>
        </w:rPr>
        <w:t xml:space="preserve"> ahead, the balance that would have to be struck at Toyota would come through global expansion and generational shifts within its workforce. </w:t>
      </w:r>
      <w:proofErr w:type="gramStart"/>
      <w:r w:rsidRPr="008F0224">
        <w:rPr>
          <w:rFonts w:ascii="Arial" w:hAnsi="Arial" w:cs="Arial"/>
        </w:rPr>
        <w:t>In order for</w:t>
      </w:r>
      <w:proofErr w:type="gramEnd"/>
      <w:r w:rsidRPr="008F0224">
        <w:rPr>
          <w:rFonts w:ascii="Arial" w:hAnsi="Arial" w:cs="Arial"/>
        </w:rPr>
        <w:t xml:space="preserve"> Toyota to sustain its competitive advantage, new cultural aspects such as digital collaboration, diversity, and agility will have to be combined with the traditional structure. Empowerment of younger employees and cross-cultural dialogues will make the company innovative and inclusive. Additionally, combining Kaizen with bold and disruptive innovation may help Toyota stay in the lead in terms of quality but also technologically. In sum, Toyota exemplifies how a strong organizational culture can be both a compass and a catalyst for long-term success. The Toyota Way has created an enduring corporate identity that links people, processes, and performance across continents. However, the sustainability of such success depends on how far Toyota is willing to continuously reflect upon and adapt its culture. This way, the organization will ensure its cultural heritage is not a relic of the past but an active force into the future of driving innovation, resilience, and ethical excellence in global manufacturing.</w:t>
      </w:r>
    </w:p>
    <w:p w14:paraId="2F48829D" w14:textId="77777777" w:rsidR="005C3158" w:rsidRPr="008F0224" w:rsidRDefault="005C3158" w:rsidP="005C3158">
      <w:pPr>
        <w:spacing w:line="360" w:lineRule="auto"/>
        <w:ind w:left="360"/>
        <w:rPr>
          <w:rFonts w:ascii="Arial" w:hAnsi="Arial" w:cs="Arial"/>
          <w:b/>
          <w:bCs/>
        </w:rPr>
      </w:pPr>
    </w:p>
    <w:p w14:paraId="5FAF016B" w14:textId="23854A0E" w:rsidR="006647FF" w:rsidRPr="005C3158" w:rsidRDefault="00AB345F" w:rsidP="005C3158">
      <w:pPr>
        <w:pStyle w:val="ListParagraph"/>
        <w:numPr>
          <w:ilvl w:val="0"/>
          <w:numId w:val="14"/>
        </w:numPr>
        <w:spacing w:line="360" w:lineRule="auto"/>
        <w:rPr>
          <w:rFonts w:asciiTheme="majorHAnsi" w:hAnsiTheme="majorHAnsi" w:cstheme="majorHAnsi"/>
          <w:b/>
          <w:bCs/>
          <w:sz w:val="24"/>
          <w:szCs w:val="24"/>
        </w:rPr>
      </w:pPr>
      <w:r w:rsidRPr="005C3158">
        <w:rPr>
          <w:rFonts w:asciiTheme="majorHAnsi" w:hAnsiTheme="majorHAnsi" w:cstheme="majorHAnsi"/>
          <w:b/>
          <w:bCs/>
          <w:sz w:val="24"/>
          <w:szCs w:val="24"/>
        </w:rPr>
        <w:t>References</w:t>
      </w:r>
    </w:p>
    <w:p w14:paraId="4F69E47A" w14:textId="77777777" w:rsidR="006647FF" w:rsidRDefault="006647FF" w:rsidP="00EB1726">
      <w:pPr>
        <w:pStyle w:val="ListParagraph"/>
        <w:numPr>
          <w:ilvl w:val="0"/>
          <w:numId w:val="13"/>
        </w:numPr>
        <w:spacing w:line="360" w:lineRule="auto"/>
      </w:pPr>
      <w:r w:rsidRPr="006647FF">
        <w:t xml:space="preserve">Ahmad, M. and Schroeder, R.G. (2013) ‘The impact of </w:t>
      </w:r>
      <w:proofErr w:type="spellStart"/>
      <w:r w:rsidRPr="006647FF">
        <w:t>organisational</w:t>
      </w:r>
      <w:proofErr w:type="spellEnd"/>
      <w:r w:rsidRPr="006647FF">
        <w:t xml:space="preserve"> culture on performance in manufacturing firms’, </w:t>
      </w:r>
      <w:r w:rsidRPr="006647FF">
        <w:rPr>
          <w:i/>
          <w:iCs/>
        </w:rPr>
        <w:t>International Journal of Operations &amp; Production Management</w:t>
      </w:r>
      <w:r w:rsidRPr="006647FF">
        <w:t>, 33(8), pp.1042–1068.</w:t>
      </w:r>
      <w:r w:rsidRPr="006647FF">
        <w:br/>
      </w:r>
    </w:p>
    <w:p w14:paraId="14684018" w14:textId="77777777" w:rsidR="006647FF" w:rsidRDefault="006647FF" w:rsidP="00EB1726">
      <w:pPr>
        <w:pStyle w:val="ListParagraph"/>
        <w:numPr>
          <w:ilvl w:val="0"/>
          <w:numId w:val="13"/>
        </w:numPr>
        <w:spacing w:line="360" w:lineRule="auto"/>
      </w:pPr>
      <w:r w:rsidRPr="006647FF">
        <w:t xml:space="preserve">Alvesson, M. (2013) </w:t>
      </w:r>
      <w:r w:rsidRPr="006647FF">
        <w:rPr>
          <w:i/>
          <w:iCs/>
        </w:rPr>
        <w:t xml:space="preserve">Understanding </w:t>
      </w:r>
      <w:proofErr w:type="spellStart"/>
      <w:r w:rsidRPr="006647FF">
        <w:rPr>
          <w:i/>
          <w:iCs/>
        </w:rPr>
        <w:t>Organisational</w:t>
      </w:r>
      <w:proofErr w:type="spellEnd"/>
      <w:r w:rsidRPr="006647FF">
        <w:rPr>
          <w:i/>
          <w:iCs/>
        </w:rPr>
        <w:t xml:space="preserve"> Culture.</w:t>
      </w:r>
      <w:r w:rsidRPr="006647FF">
        <w:t xml:space="preserve"> 2nd </w:t>
      </w:r>
      <w:proofErr w:type="spellStart"/>
      <w:proofErr w:type="gramStart"/>
      <w:r w:rsidRPr="006647FF">
        <w:t>edn</w:t>
      </w:r>
      <w:proofErr w:type="spellEnd"/>
      <w:proofErr w:type="gramEnd"/>
      <w:r w:rsidRPr="006647FF">
        <w:t>. London: SAGE.</w:t>
      </w:r>
      <w:r w:rsidRPr="006647FF">
        <w:br/>
      </w:r>
    </w:p>
    <w:p w14:paraId="3631683A" w14:textId="2F8174BD" w:rsidR="006647FF" w:rsidRDefault="006647FF" w:rsidP="00EB1726">
      <w:pPr>
        <w:pStyle w:val="ListParagraph"/>
        <w:numPr>
          <w:ilvl w:val="0"/>
          <w:numId w:val="13"/>
        </w:numPr>
        <w:spacing w:line="360" w:lineRule="auto"/>
      </w:pPr>
      <w:r w:rsidRPr="006647FF">
        <w:t xml:space="preserve">Aoki, M. (2010) </w:t>
      </w:r>
      <w:r w:rsidRPr="006647FF">
        <w:rPr>
          <w:i/>
          <w:iCs/>
        </w:rPr>
        <w:t>Corporations in Evolving Diversity: Cognition, Governance, and Institutions.</w:t>
      </w:r>
      <w:r w:rsidRPr="006647FF">
        <w:t xml:space="preserve"> Oxford: Oxford University Press.</w:t>
      </w:r>
      <w:r w:rsidRPr="006647FF">
        <w:br/>
      </w:r>
    </w:p>
    <w:p w14:paraId="3F237395" w14:textId="77777777" w:rsidR="006647FF" w:rsidRDefault="006647FF" w:rsidP="00EB1726">
      <w:pPr>
        <w:pStyle w:val="ListParagraph"/>
        <w:numPr>
          <w:ilvl w:val="0"/>
          <w:numId w:val="13"/>
        </w:numPr>
        <w:spacing w:line="360" w:lineRule="auto"/>
      </w:pPr>
      <w:r w:rsidRPr="006647FF">
        <w:t xml:space="preserve">Bortolotti, T., </w:t>
      </w:r>
      <w:proofErr w:type="spellStart"/>
      <w:r w:rsidRPr="006647FF">
        <w:t>Boscari</w:t>
      </w:r>
      <w:proofErr w:type="spellEnd"/>
      <w:r w:rsidRPr="006647FF">
        <w:t xml:space="preserve">, S. and Danese, P. (2015) ‘Successful lean implementation: </w:t>
      </w:r>
      <w:proofErr w:type="spellStart"/>
      <w:r w:rsidRPr="006647FF">
        <w:t>Organisational</w:t>
      </w:r>
      <w:proofErr w:type="spellEnd"/>
      <w:r w:rsidRPr="006647FF">
        <w:t xml:space="preserve"> culture and soft lean practices’, </w:t>
      </w:r>
      <w:r w:rsidRPr="006647FF">
        <w:rPr>
          <w:i/>
          <w:iCs/>
        </w:rPr>
        <w:t>International Journal of Production Economics</w:t>
      </w:r>
      <w:r w:rsidRPr="006647FF">
        <w:t>, 160, pp.182–201.</w:t>
      </w:r>
      <w:r w:rsidRPr="006647FF">
        <w:br/>
      </w:r>
    </w:p>
    <w:p w14:paraId="39023B2F" w14:textId="77777777" w:rsidR="006647FF" w:rsidRDefault="006647FF" w:rsidP="00EB1726">
      <w:pPr>
        <w:pStyle w:val="ListParagraph"/>
        <w:numPr>
          <w:ilvl w:val="0"/>
          <w:numId w:val="13"/>
        </w:numPr>
        <w:spacing w:line="360" w:lineRule="auto"/>
      </w:pPr>
      <w:r w:rsidRPr="006647FF">
        <w:t xml:space="preserve">Burns, T. and Stalker, G.M. (1961) </w:t>
      </w:r>
      <w:r w:rsidRPr="006647FF">
        <w:rPr>
          <w:i/>
          <w:iCs/>
        </w:rPr>
        <w:t>The Management of Innovation.</w:t>
      </w:r>
      <w:r w:rsidRPr="006647FF">
        <w:t xml:space="preserve"> London: Tavistock.</w:t>
      </w:r>
      <w:r w:rsidRPr="006647FF">
        <w:br/>
      </w:r>
    </w:p>
    <w:p w14:paraId="51325975" w14:textId="77777777" w:rsidR="006647FF" w:rsidRDefault="006647FF" w:rsidP="00EB1726">
      <w:pPr>
        <w:pStyle w:val="ListParagraph"/>
        <w:numPr>
          <w:ilvl w:val="0"/>
          <w:numId w:val="13"/>
        </w:numPr>
        <w:spacing w:line="360" w:lineRule="auto"/>
      </w:pPr>
      <w:r w:rsidRPr="006647FF">
        <w:t xml:space="preserve">Cole, R.E. (2011) ‘What really happened to Toyota?’, </w:t>
      </w:r>
      <w:r w:rsidRPr="006647FF">
        <w:rPr>
          <w:i/>
          <w:iCs/>
        </w:rPr>
        <w:t>MIT Sloan Management Review</w:t>
      </w:r>
      <w:r w:rsidRPr="006647FF">
        <w:t>, 52(4), pp.28–35.</w:t>
      </w:r>
      <w:r w:rsidRPr="006647FF">
        <w:br/>
      </w:r>
    </w:p>
    <w:p w14:paraId="4B76766F" w14:textId="77777777" w:rsidR="006647FF" w:rsidRDefault="006647FF" w:rsidP="00EB1726">
      <w:pPr>
        <w:pStyle w:val="ListParagraph"/>
        <w:numPr>
          <w:ilvl w:val="0"/>
          <w:numId w:val="13"/>
        </w:numPr>
        <w:spacing w:line="360" w:lineRule="auto"/>
      </w:pPr>
      <w:proofErr w:type="spellStart"/>
      <w:r w:rsidRPr="006647FF">
        <w:t>Dongxuan</w:t>
      </w:r>
      <w:proofErr w:type="spellEnd"/>
      <w:r w:rsidRPr="006647FF">
        <w:t xml:space="preserve">, F. (2020) ‘Research on General Electric </w:t>
      </w:r>
      <w:proofErr w:type="spellStart"/>
      <w:r w:rsidRPr="006647FF">
        <w:t>organisational</w:t>
      </w:r>
      <w:proofErr w:type="spellEnd"/>
      <w:r w:rsidRPr="006647FF">
        <w:t xml:space="preserve"> structure reform based on Hofstede’s cultural dimension theory’, </w:t>
      </w:r>
      <w:r w:rsidRPr="006647FF">
        <w:rPr>
          <w:i/>
          <w:iCs/>
        </w:rPr>
        <w:t>Advances in Social Science, Education and Humanities Research</w:t>
      </w:r>
      <w:r w:rsidRPr="006647FF">
        <w:t>, 466, pp.1–5.</w:t>
      </w:r>
      <w:r w:rsidRPr="006647FF">
        <w:br/>
      </w:r>
    </w:p>
    <w:p w14:paraId="135A9A0E" w14:textId="77777777" w:rsidR="006647FF" w:rsidRDefault="006647FF" w:rsidP="00EB1726">
      <w:pPr>
        <w:pStyle w:val="ListParagraph"/>
        <w:numPr>
          <w:ilvl w:val="0"/>
          <w:numId w:val="13"/>
        </w:numPr>
        <w:spacing w:line="360" w:lineRule="auto"/>
      </w:pPr>
      <w:r w:rsidRPr="006647FF">
        <w:t xml:space="preserve">Greaves, J. and Sorenson, R. (2021) ‘Cultural inertia and groupthink in Japanese corporations’, </w:t>
      </w:r>
      <w:r w:rsidRPr="006647FF">
        <w:rPr>
          <w:i/>
          <w:iCs/>
        </w:rPr>
        <w:t>Journal of International Business Studies</w:t>
      </w:r>
      <w:r w:rsidRPr="006647FF">
        <w:t>, 52(3), pp.412–428.</w:t>
      </w:r>
      <w:r w:rsidRPr="006647FF">
        <w:br/>
      </w:r>
    </w:p>
    <w:p w14:paraId="1EECDCFC" w14:textId="77777777" w:rsidR="006647FF" w:rsidRDefault="006647FF" w:rsidP="00EB1726">
      <w:pPr>
        <w:pStyle w:val="ListParagraph"/>
        <w:numPr>
          <w:ilvl w:val="0"/>
          <w:numId w:val="13"/>
        </w:numPr>
        <w:spacing w:line="360" w:lineRule="auto"/>
      </w:pPr>
      <w:r w:rsidRPr="006647FF">
        <w:t xml:space="preserve">Handy, C. (1993) </w:t>
      </w:r>
      <w:r w:rsidRPr="006647FF">
        <w:rPr>
          <w:i/>
          <w:iCs/>
        </w:rPr>
        <w:t xml:space="preserve">Understanding </w:t>
      </w:r>
      <w:proofErr w:type="spellStart"/>
      <w:r w:rsidRPr="006647FF">
        <w:rPr>
          <w:i/>
          <w:iCs/>
        </w:rPr>
        <w:t>Organisations</w:t>
      </w:r>
      <w:proofErr w:type="spellEnd"/>
      <w:r w:rsidRPr="006647FF">
        <w:rPr>
          <w:i/>
          <w:iCs/>
        </w:rPr>
        <w:t>.</w:t>
      </w:r>
      <w:r w:rsidRPr="006647FF">
        <w:t xml:space="preserve"> London: Penguin.</w:t>
      </w:r>
      <w:r w:rsidRPr="006647FF">
        <w:br/>
      </w:r>
    </w:p>
    <w:p w14:paraId="4779CBEF" w14:textId="77777777" w:rsidR="006647FF" w:rsidRDefault="006647FF" w:rsidP="00EB1726">
      <w:pPr>
        <w:pStyle w:val="ListParagraph"/>
        <w:numPr>
          <w:ilvl w:val="0"/>
          <w:numId w:val="13"/>
        </w:numPr>
        <w:spacing w:line="360" w:lineRule="auto"/>
      </w:pPr>
      <w:r w:rsidRPr="006647FF">
        <w:t xml:space="preserve">Hofstede, G., Hofstede, G.J. and Minkov, M. (2010) </w:t>
      </w:r>
      <w:r w:rsidRPr="006647FF">
        <w:rPr>
          <w:i/>
          <w:iCs/>
        </w:rPr>
        <w:t xml:space="preserve">Cultures and </w:t>
      </w:r>
      <w:proofErr w:type="spellStart"/>
      <w:r w:rsidRPr="006647FF">
        <w:rPr>
          <w:i/>
          <w:iCs/>
        </w:rPr>
        <w:t>Organisations</w:t>
      </w:r>
      <w:proofErr w:type="spellEnd"/>
      <w:r w:rsidRPr="006647FF">
        <w:rPr>
          <w:i/>
          <w:iCs/>
        </w:rPr>
        <w:t>: Software of the Mind.</w:t>
      </w:r>
      <w:r w:rsidRPr="006647FF">
        <w:t xml:space="preserve"> 3rd </w:t>
      </w:r>
      <w:proofErr w:type="spellStart"/>
      <w:proofErr w:type="gramStart"/>
      <w:r w:rsidRPr="006647FF">
        <w:t>edn</w:t>
      </w:r>
      <w:proofErr w:type="spellEnd"/>
      <w:proofErr w:type="gramEnd"/>
      <w:r w:rsidRPr="006647FF">
        <w:t>. New York: McGraw-Hill.</w:t>
      </w:r>
      <w:r w:rsidRPr="006647FF">
        <w:br/>
      </w:r>
    </w:p>
    <w:p w14:paraId="33787177" w14:textId="77777777" w:rsidR="006647FF" w:rsidRDefault="006647FF" w:rsidP="00EB1726">
      <w:pPr>
        <w:pStyle w:val="ListParagraph"/>
        <w:numPr>
          <w:ilvl w:val="0"/>
          <w:numId w:val="13"/>
        </w:numPr>
        <w:spacing w:line="360" w:lineRule="auto"/>
      </w:pPr>
      <w:r w:rsidRPr="006647FF">
        <w:lastRenderedPageBreak/>
        <w:t>Hogan, S.J. and Coote, L.V. (2014) ‘</w:t>
      </w:r>
      <w:proofErr w:type="spellStart"/>
      <w:r w:rsidRPr="006647FF">
        <w:t>Organisational</w:t>
      </w:r>
      <w:proofErr w:type="spellEnd"/>
      <w:r w:rsidRPr="006647FF">
        <w:t xml:space="preserve"> culture, innovation, and performance: A test of Schein’s model’, </w:t>
      </w:r>
      <w:r w:rsidRPr="006647FF">
        <w:rPr>
          <w:i/>
          <w:iCs/>
        </w:rPr>
        <w:t>Journal of Business Research</w:t>
      </w:r>
      <w:r w:rsidRPr="006647FF">
        <w:t>, 67(8), pp.1609–1621.</w:t>
      </w:r>
      <w:r w:rsidRPr="006647FF">
        <w:br/>
      </w:r>
    </w:p>
    <w:p w14:paraId="264C9A4D" w14:textId="77777777" w:rsidR="006647FF" w:rsidRDefault="006647FF" w:rsidP="00EB1726">
      <w:pPr>
        <w:pStyle w:val="ListParagraph"/>
        <w:numPr>
          <w:ilvl w:val="0"/>
          <w:numId w:val="13"/>
        </w:numPr>
        <w:spacing w:line="360" w:lineRule="auto"/>
      </w:pPr>
      <w:r w:rsidRPr="006647FF">
        <w:t xml:space="preserve">Liker, J.K. (2004) </w:t>
      </w:r>
      <w:r w:rsidRPr="006647FF">
        <w:rPr>
          <w:i/>
          <w:iCs/>
        </w:rPr>
        <w:t>The Toyota Way: 14 Management Principles from the World’s Greatest Manufacturer.</w:t>
      </w:r>
      <w:r w:rsidRPr="006647FF">
        <w:t xml:space="preserve"> New York: McGraw-Hill.</w:t>
      </w:r>
      <w:r w:rsidRPr="006647FF">
        <w:br/>
      </w:r>
    </w:p>
    <w:p w14:paraId="13ED8824" w14:textId="77777777" w:rsidR="006647FF" w:rsidRDefault="006647FF" w:rsidP="00EB1726">
      <w:pPr>
        <w:pStyle w:val="ListParagraph"/>
        <w:numPr>
          <w:ilvl w:val="0"/>
          <w:numId w:val="13"/>
        </w:numPr>
        <w:spacing w:line="360" w:lineRule="auto"/>
      </w:pPr>
      <w:r w:rsidRPr="006647FF">
        <w:t xml:space="preserve">Liker, J.K. and Hoseus, M. (2008) </w:t>
      </w:r>
      <w:r w:rsidRPr="006647FF">
        <w:rPr>
          <w:i/>
          <w:iCs/>
        </w:rPr>
        <w:t>Toyota Culture: The Heart and Soul of the Toyota Way.</w:t>
      </w:r>
      <w:r w:rsidRPr="006647FF">
        <w:t xml:space="preserve"> New York: McGraw-Hill.</w:t>
      </w:r>
      <w:r w:rsidRPr="006647FF">
        <w:br/>
      </w:r>
    </w:p>
    <w:p w14:paraId="19FBE6F8" w14:textId="77777777" w:rsidR="006647FF" w:rsidRDefault="006647FF" w:rsidP="00EB1726">
      <w:pPr>
        <w:pStyle w:val="ListParagraph"/>
        <w:numPr>
          <w:ilvl w:val="0"/>
          <w:numId w:val="13"/>
        </w:numPr>
        <w:spacing w:line="360" w:lineRule="auto"/>
      </w:pPr>
      <w:r w:rsidRPr="006647FF">
        <w:t xml:space="preserve">Mullins, L.J. and Christy, G. (2016) </w:t>
      </w:r>
      <w:r w:rsidRPr="006647FF">
        <w:rPr>
          <w:i/>
          <w:iCs/>
        </w:rPr>
        <w:t xml:space="preserve">Management and </w:t>
      </w:r>
      <w:proofErr w:type="spellStart"/>
      <w:r w:rsidRPr="006647FF">
        <w:rPr>
          <w:i/>
          <w:iCs/>
        </w:rPr>
        <w:t>Organisational</w:t>
      </w:r>
      <w:proofErr w:type="spellEnd"/>
      <w:r w:rsidRPr="006647FF">
        <w:rPr>
          <w:i/>
          <w:iCs/>
        </w:rPr>
        <w:t xml:space="preserve"> </w:t>
      </w:r>
      <w:proofErr w:type="spellStart"/>
      <w:r w:rsidRPr="006647FF">
        <w:rPr>
          <w:i/>
          <w:iCs/>
        </w:rPr>
        <w:t>Behaviour</w:t>
      </w:r>
      <w:proofErr w:type="spellEnd"/>
      <w:r w:rsidRPr="006647FF">
        <w:rPr>
          <w:i/>
          <w:iCs/>
        </w:rPr>
        <w:t>.</w:t>
      </w:r>
      <w:r w:rsidRPr="006647FF">
        <w:t xml:space="preserve"> 11th </w:t>
      </w:r>
      <w:proofErr w:type="spellStart"/>
      <w:r w:rsidRPr="006647FF">
        <w:t>edn</w:t>
      </w:r>
      <w:proofErr w:type="spellEnd"/>
      <w:r w:rsidRPr="006647FF">
        <w:t>. Harlow: Pearson Education.</w:t>
      </w:r>
      <w:r w:rsidRPr="006647FF">
        <w:br/>
      </w:r>
    </w:p>
    <w:p w14:paraId="5ECB78E1" w14:textId="77777777" w:rsidR="006647FF" w:rsidRDefault="006647FF" w:rsidP="00EB1726">
      <w:pPr>
        <w:pStyle w:val="ListParagraph"/>
        <w:numPr>
          <w:ilvl w:val="0"/>
          <w:numId w:val="13"/>
        </w:numPr>
        <w:spacing w:line="360" w:lineRule="auto"/>
      </w:pPr>
      <w:r w:rsidRPr="006647FF">
        <w:t xml:space="preserve">O’Reilly, C.A., Chatman, J. and Caldwell, D.F. (1991) ‘People and </w:t>
      </w:r>
      <w:proofErr w:type="spellStart"/>
      <w:r w:rsidRPr="006647FF">
        <w:t>organisational</w:t>
      </w:r>
      <w:proofErr w:type="spellEnd"/>
      <w:r w:rsidRPr="006647FF">
        <w:t xml:space="preserve"> culture: A profile comparison approach to assessing person-</w:t>
      </w:r>
      <w:proofErr w:type="spellStart"/>
      <w:r w:rsidRPr="006647FF">
        <w:t>organisation</w:t>
      </w:r>
      <w:proofErr w:type="spellEnd"/>
      <w:r w:rsidRPr="006647FF">
        <w:t xml:space="preserve"> fit’, </w:t>
      </w:r>
      <w:r w:rsidRPr="006647FF">
        <w:rPr>
          <w:i/>
          <w:iCs/>
        </w:rPr>
        <w:t>Academy of Management Journal</w:t>
      </w:r>
      <w:r w:rsidRPr="006647FF">
        <w:t>, 34(3), pp.487–516.</w:t>
      </w:r>
      <w:r w:rsidRPr="006647FF">
        <w:br/>
      </w:r>
    </w:p>
    <w:p w14:paraId="14094C21" w14:textId="77777777" w:rsidR="006647FF" w:rsidRDefault="006647FF" w:rsidP="00EB1726">
      <w:pPr>
        <w:pStyle w:val="ListParagraph"/>
        <w:numPr>
          <w:ilvl w:val="0"/>
          <w:numId w:val="13"/>
        </w:numPr>
        <w:spacing w:line="360" w:lineRule="auto"/>
      </w:pPr>
      <w:r w:rsidRPr="006647FF">
        <w:t xml:space="preserve">Schein, E.H. (1992) </w:t>
      </w:r>
      <w:proofErr w:type="spellStart"/>
      <w:r w:rsidRPr="006647FF">
        <w:rPr>
          <w:i/>
          <w:iCs/>
        </w:rPr>
        <w:t>Organisational</w:t>
      </w:r>
      <w:proofErr w:type="spellEnd"/>
      <w:r w:rsidRPr="006647FF">
        <w:rPr>
          <w:i/>
          <w:iCs/>
        </w:rPr>
        <w:t xml:space="preserve"> Culture and Leadership.</w:t>
      </w:r>
      <w:r w:rsidRPr="006647FF">
        <w:t xml:space="preserve"> San Francisco: Jossey-Bass.</w:t>
      </w:r>
      <w:r w:rsidRPr="006647FF">
        <w:br/>
      </w:r>
    </w:p>
    <w:p w14:paraId="5A3D919C" w14:textId="77777777" w:rsidR="006647FF" w:rsidRDefault="006647FF" w:rsidP="00EB1726">
      <w:pPr>
        <w:pStyle w:val="ListParagraph"/>
        <w:numPr>
          <w:ilvl w:val="0"/>
          <w:numId w:val="13"/>
        </w:numPr>
        <w:spacing w:line="360" w:lineRule="auto"/>
      </w:pPr>
      <w:r w:rsidRPr="006647FF">
        <w:t xml:space="preserve">Schein, E.H. (2017) </w:t>
      </w:r>
      <w:proofErr w:type="spellStart"/>
      <w:r w:rsidRPr="006647FF">
        <w:rPr>
          <w:i/>
          <w:iCs/>
        </w:rPr>
        <w:t>Organisational</w:t>
      </w:r>
      <w:proofErr w:type="spellEnd"/>
      <w:r w:rsidRPr="006647FF">
        <w:rPr>
          <w:i/>
          <w:iCs/>
        </w:rPr>
        <w:t xml:space="preserve"> Culture and Leadership.</w:t>
      </w:r>
      <w:r w:rsidRPr="006647FF">
        <w:t xml:space="preserve"> 5th </w:t>
      </w:r>
      <w:proofErr w:type="spellStart"/>
      <w:proofErr w:type="gramStart"/>
      <w:r w:rsidRPr="006647FF">
        <w:t>edn</w:t>
      </w:r>
      <w:proofErr w:type="spellEnd"/>
      <w:proofErr w:type="gramEnd"/>
      <w:r w:rsidRPr="006647FF">
        <w:t>. Hoboken, NJ: Wiley.</w:t>
      </w:r>
      <w:r w:rsidRPr="006647FF">
        <w:br/>
      </w:r>
    </w:p>
    <w:p w14:paraId="5771456E" w14:textId="77777777" w:rsidR="006647FF" w:rsidRDefault="006647FF" w:rsidP="00EB1726">
      <w:pPr>
        <w:pStyle w:val="ListParagraph"/>
        <w:numPr>
          <w:ilvl w:val="0"/>
          <w:numId w:val="13"/>
        </w:numPr>
        <w:spacing w:line="360" w:lineRule="auto"/>
      </w:pPr>
      <w:r w:rsidRPr="006647FF">
        <w:t xml:space="preserve">Toyota Motor Corporation (2023) </w:t>
      </w:r>
      <w:r w:rsidRPr="006647FF">
        <w:rPr>
          <w:i/>
          <w:iCs/>
        </w:rPr>
        <w:t>Sustainability Report 2023.</w:t>
      </w:r>
      <w:r w:rsidRPr="006647FF">
        <w:t xml:space="preserve"> </w:t>
      </w:r>
      <w:r w:rsidRPr="006647FF">
        <w:br/>
      </w:r>
    </w:p>
    <w:p w14:paraId="3555EB0F" w14:textId="0707F5E7" w:rsidR="006647FF" w:rsidRPr="006647FF" w:rsidRDefault="006647FF" w:rsidP="00EB1726">
      <w:pPr>
        <w:pStyle w:val="ListParagraph"/>
        <w:numPr>
          <w:ilvl w:val="0"/>
          <w:numId w:val="13"/>
        </w:numPr>
        <w:spacing w:line="360" w:lineRule="auto"/>
      </w:pPr>
      <w:r w:rsidRPr="006647FF">
        <w:t xml:space="preserve">Womack, J.P., Jones, D.T. and </w:t>
      </w:r>
      <w:proofErr w:type="spellStart"/>
      <w:r w:rsidRPr="006647FF">
        <w:t>Roos</w:t>
      </w:r>
      <w:proofErr w:type="spellEnd"/>
      <w:r w:rsidRPr="006647FF">
        <w:t xml:space="preserve">, D. (1990) </w:t>
      </w:r>
      <w:r w:rsidRPr="006647FF">
        <w:rPr>
          <w:i/>
          <w:iCs/>
        </w:rPr>
        <w:t>The Machine That Changed the World.</w:t>
      </w:r>
      <w:r w:rsidRPr="006647FF">
        <w:t xml:space="preserve"> New York: Harper Perennial.</w:t>
      </w:r>
    </w:p>
    <w:p w14:paraId="5303CB0A" w14:textId="7C896034" w:rsidR="005D44EA" w:rsidRDefault="005D44EA" w:rsidP="00EB1726">
      <w:pPr>
        <w:spacing w:line="360" w:lineRule="auto"/>
      </w:pPr>
    </w:p>
    <w:sectPr w:rsidR="005D44E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CC23223"/>
    <w:multiLevelType w:val="hybridMultilevel"/>
    <w:tmpl w:val="69B81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4402A13"/>
    <w:multiLevelType w:val="hybridMultilevel"/>
    <w:tmpl w:val="AA7839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E93636"/>
    <w:multiLevelType w:val="hybridMultilevel"/>
    <w:tmpl w:val="F2044442"/>
    <w:lvl w:ilvl="0" w:tplc="23C6B4FE">
      <w:start w:val="1"/>
      <w:numFmt w:val="decimal"/>
      <w:lvlText w:val="%1."/>
      <w:lvlJc w:val="left"/>
      <w:pPr>
        <w:ind w:left="36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3"/>
  </w:num>
  <w:num w:numId="12" w16cid:durableId="20907709">
    <w:abstractNumId w:val="11"/>
  </w:num>
  <w:num w:numId="13" w16cid:durableId="1822382466">
    <w:abstractNumId w:val="10"/>
  </w:num>
  <w:num w:numId="14" w16cid:durableId="5631051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5D8A"/>
    <w:rsid w:val="0015074B"/>
    <w:rsid w:val="00175D67"/>
    <w:rsid w:val="00181308"/>
    <w:rsid w:val="0029639D"/>
    <w:rsid w:val="002F5ED1"/>
    <w:rsid w:val="00326F90"/>
    <w:rsid w:val="00376D76"/>
    <w:rsid w:val="004424B8"/>
    <w:rsid w:val="0057191B"/>
    <w:rsid w:val="005A3305"/>
    <w:rsid w:val="005C3158"/>
    <w:rsid w:val="005D44EA"/>
    <w:rsid w:val="006647FF"/>
    <w:rsid w:val="008901D2"/>
    <w:rsid w:val="008C311C"/>
    <w:rsid w:val="008F0224"/>
    <w:rsid w:val="009A214C"/>
    <w:rsid w:val="00A6490D"/>
    <w:rsid w:val="00A976B5"/>
    <w:rsid w:val="00AA1D8D"/>
    <w:rsid w:val="00AB345F"/>
    <w:rsid w:val="00AC526B"/>
    <w:rsid w:val="00B47730"/>
    <w:rsid w:val="00B941D1"/>
    <w:rsid w:val="00C31BA5"/>
    <w:rsid w:val="00CB0664"/>
    <w:rsid w:val="00CB6FDF"/>
    <w:rsid w:val="00CD6AEA"/>
    <w:rsid w:val="00D53181"/>
    <w:rsid w:val="00D87F62"/>
    <w:rsid w:val="00EA0218"/>
    <w:rsid w:val="00EB1726"/>
    <w:rsid w:val="00EC2A14"/>
    <w:rsid w:val="00EF7819"/>
    <w:rsid w:val="00F866E2"/>
    <w:rsid w:val="00FA3EAD"/>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6647FF"/>
    <w:rPr>
      <w:color w:val="0000FF" w:themeColor="hyperlink"/>
      <w:u w:val="single"/>
    </w:rPr>
  </w:style>
  <w:style w:type="character" w:styleId="UnresolvedMention">
    <w:name w:val="Unresolved Mention"/>
    <w:basedOn w:val="DefaultParagraphFont"/>
    <w:uiPriority w:val="99"/>
    <w:semiHidden/>
    <w:unhideWhenUsed/>
    <w:rsid w:val="006647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12</Pages>
  <Words>3463</Words>
  <Characters>19743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Adrian Georgian Geru (2319635)</cp:lastModifiedBy>
  <cp:revision>5</cp:revision>
  <dcterms:created xsi:type="dcterms:W3CDTF">2025-11-02T10:18:00Z</dcterms:created>
  <dcterms:modified xsi:type="dcterms:W3CDTF">2025-11-09T09:59:00Z</dcterms:modified>
  <cp:category/>
</cp:coreProperties>
</file>