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61FB" w14:textId="5D79B8F7" w:rsidR="008A53F1" w:rsidRPr="00F467B4" w:rsidRDefault="00F467B4" w:rsidP="00012100">
      <w:pPr>
        <w:jc w:val="center"/>
        <w:rPr>
          <w:rFonts w:cstheme="minorHAnsi"/>
          <w:b/>
          <w:bCs/>
          <w:sz w:val="32"/>
          <w:szCs w:val="32"/>
        </w:rPr>
      </w:pPr>
      <w:r>
        <w:rPr>
          <w:rFonts w:cstheme="minorHAnsi" w:hint="eastAsia"/>
          <w:b/>
          <w:bCs/>
          <w:sz w:val="32"/>
          <w:szCs w:val="32"/>
          <w:lang w:eastAsia="zh-CN"/>
        </w:rPr>
        <w:t>Review this e</w:t>
      </w:r>
      <w:r w:rsidR="0027369A" w:rsidRPr="00F467B4">
        <w:rPr>
          <w:rFonts w:cstheme="minorHAnsi" w:hint="eastAsia"/>
          <w:b/>
          <w:bCs/>
          <w:sz w:val="32"/>
          <w:szCs w:val="32"/>
          <w:lang w:eastAsia="zh-CN"/>
        </w:rPr>
        <w:t>xa</w:t>
      </w:r>
      <w:r w:rsidR="00012100" w:rsidRPr="00F467B4">
        <w:rPr>
          <w:rFonts w:cstheme="minorHAnsi" w:hint="eastAsia"/>
          <w:b/>
          <w:bCs/>
          <w:sz w:val="32"/>
          <w:szCs w:val="32"/>
          <w:lang w:eastAsia="zh-CN"/>
        </w:rPr>
        <w:t>m</w:t>
      </w:r>
      <w:r w:rsidR="00012100" w:rsidRPr="00F467B4">
        <w:rPr>
          <w:rFonts w:cstheme="minorHAnsi"/>
          <w:b/>
          <w:bCs/>
          <w:sz w:val="32"/>
          <w:szCs w:val="32"/>
        </w:rPr>
        <w:t xml:space="preserve">ple </w:t>
      </w:r>
      <w:r w:rsidR="00FE27A7" w:rsidRPr="00F467B4">
        <w:rPr>
          <w:rFonts w:cstheme="minorHAnsi" w:hint="eastAsia"/>
          <w:b/>
          <w:bCs/>
          <w:sz w:val="32"/>
          <w:szCs w:val="32"/>
          <w:lang w:eastAsia="zh-CN"/>
        </w:rPr>
        <w:t>student</w:t>
      </w:r>
      <w:r w:rsidR="00FE27A7" w:rsidRPr="00F467B4">
        <w:rPr>
          <w:rFonts w:cstheme="minorHAnsi"/>
          <w:b/>
          <w:bCs/>
          <w:sz w:val="32"/>
          <w:szCs w:val="32"/>
        </w:rPr>
        <w:t xml:space="preserve"> </w:t>
      </w:r>
      <w:r w:rsidR="00FE27A7" w:rsidRPr="00F467B4">
        <w:rPr>
          <w:rFonts w:cstheme="minorHAnsi" w:hint="eastAsia"/>
          <w:b/>
          <w:bCs/>
          <w:sz w:val="32"/>
          <w:szCs w:val="32"/>
          <w:lang w:eastAsia="zh-CN"/>
        </w:rPr>
        <w:t>work</w:t>
      </w:r>
    </w:p>
    <w:p w14:paraId="45EA5FC1" w14:textId="5E040562" w:rsidR="009E4485" w:rsidRPr="00F467B4" w:rsidRDefault="009E4485" w:rsidP="00E20481">
      <w:pPr>
        <w:pStyle w:val="ListParagraph"/>
        <w:numPr>
          <w:ilvl w:val="0"/>
          <w:numId w:val="2"/>
        </w:numPr>
        <w:rPr>
          <w:rFonts w:cstheme="minorHAnsi"/>
          <w:b/>
          <w:bCs/>
          <w:sz w:val="28"/>
          <w:szCs w:val="28"/>
        </w:rPr>
      </w:pPr>
      <w:r w:rsidRPr="00F467B4">
        <w:rPr>
          <w:rFonts w:cstheme="minorHAnsi"/>
          <w:b/>
          <w:bCs/>
          <w:sz w:val="28"/>
          <w:szCs w:val="28"/>
        </w:rPr>
        <w:t>Introduction</w:t>
      </w:r>
    </w:p>
    <w:p w14:paraId="52E22A40" w14:textId="2AA9F083" w:rsidR="00012100" w:rsidRPr="00F467B4" w:rsidRDefault="009E4485" w:rsidP="009E4485">
      <w:pPr>
        <w:rPr>
          <w:rFonts w:cstheme="minorHAnsi"/>
          <w:sz w:val="28"/>
          <w:szCs w:val="28"/>
        </w:rPr>
      </w:pPr>
      <w:r w:rsidRPr="00F467B4">
        <w:rPr>
          <w:rFonts w:cstheme="minorHAnsi"/>
          <w:sz w:val="28"/>
          <w:szCs w:val="28"/>
        </w:rPr>
        <w:t xml:space="preserve">English is a compulsory course for all Chinese students from primary schools to institutes of higher education. The special status of English is to a large extent, the result of increasing exchanges with other countries around the world. Despite spending a long time in learning English, many Chinese students exhibit incompetence in communicating fluently and appropriately in English. To improve students’ communicative competence, Communicative Language Teaching </w:t>
      </w:r>
      <w:r w:rsidR="002615BE" w:rsidRPr="00F467B4">
        <w:rPr>
          <w:rFonts w:cstheme="minorHAnsi"/>
          <w:sz w:val="28"/>
          <w:szCs w:val="28"/>
        </w:rPr>
        <w:t xml:space="preserve">(CLT) </w:t>
      </w:r>
      <w:r w:rsidRPr="00F467B4">
        <w:rPr>
          <w:rFonts w:cstheme="minorHAnsi"/>
          <w:sz w:val="28"/>
          <w:szCs w:val="28"/>
        </w:rPr>
        <w:t xml:space="preserve">was introduced to China since the 1990s. However, CLT needs to compromise in some </w:t>
      </w:r>
      <w:proofErr w:type="gramStart"/>
      <w:r w:rsidRPr="00F467B4">
        <w:rPr>
          <w:rFonts w:cstheme="minorHAnsi"/>
          <w:sz w:val="28"/>
          <w:szCs w:val="28"/>
        </w:rPr>
        <w:t>aspects</w:t>
      </w:r>
      <w:proofErr w:type="gramEnd"/>
      <w:r w:rsidRPr="00F467B4">
        <w:rPr>
          <w:rFonts w:cstheme="minorHAnsi"/>
          <w:sz w:val="28"/>
          <w:szCs w:val="28"/>
        </w:rPr>
        <w:t xml:space="preserve"> when being practised in the classroom as a result of the unique context in China. Therefore, this assignment aims to explore the contextualisation of CLT in China as a means of improving Chinese students’ communicative competence.</w:t>
      </w:r>
    </w:p>
    <w:p w14:paraId="3E211E2A" w14:textId="788E8481" w:rsidR="00CE16CC" w:rsidRPr="00F467B4" w:rsidRDefault="00CE16CC" w:rsidP="00E20481">
      <w:pPr>
        <w:pStyle w:val="ListParagraph"/>
        <w:numPr>
          <w:ilvl w:val="0"/>
          <w:numId w:val="2"/>
        </w:numPr>
        <w:rPr>
          <w:rFonts w:cstheme="minorHAnsi"/>
          <w:b/>
          <w:bCs/>
          <w:sz w:val="28"/>
          <w:szCs w:val="28"/>
        </w:rPr>
      </w:pPr>
      <w:r w:rsidRPr="00F467B4">
        <w:rPr>
          <w:rFonts w:cstheme="minorHAnsi"/>
          <w:b/>
          <w:bCs/>
          <w:sz w:val="28"/>
          <w:szCs w:val="28"/>
        </w:rPr>
        <w:t>Communicative Competence: Coinage and Components</w:t>
      </w:r>
    </w:p>
    <w:p w14:paraId="178F0C00" w14:textId="3DE5F72A" w:rsidR="00CE16CC" w:rsidRPr="00F467B4" w:rsidRDefault="00CE16CC" w:rsidP="00CE16CC">
      <w:pPr>
        <w:rPr>
          <w:rFonts w:cstheme="minorHAnsi"/>
          <w:sz w:val="28"/>
          <w:szCs w:val="28"/>
        </w:rPr>
      </w:pPr>
      <w:r w:rsidRPr="00F467B4">
        <w:rPr>
          <w:rFonts w:cstheme="minorHAnsi"/>
          <w:sz w:val="28"/>
          <w:szCs w:val="28"/>
        </w:rPr>
        <w:t>This section will discuss the coinage and components of communicative competence, which has exerted great influence in linguistic studies and in the field of foreign language teaching.</w:t>
      </w:r>
    </w:p>
    <w:p w14:paraId="65CC0E33" w14:textId="719D2FB7" w:rsidR="00CE16CC" w:rsidRPr="00F467B4" w:rsidRDefault="00E20481" w:rsidP="00CE16CC">
      <w:pPr>
        <w:rPr>
          <w:rFonts w:cstheme="minorHAnsi"/>
          <w:b/>
          <w:bCs/>
          <w:sz w:val="28"/>
          <w:szCs w:val="28"/>
        </w:rPr>
      </w:pPr>
      <w:r w:rsidRPr="00F467B4">
        <w:rPr>
          <w:rFonts w:cstheme="minorHAnsi"/>
          <w:b/>
          <w:bCs/>
          <w:sz w:val="28"/>
          <w:szCs w:val="28"/>
        </w:rPr>
        <w:t xml:space="preserve">2.1 </w:t>
      </w:r>
      <w:r w:rsidR="00CE16CC" w:rsidRPr="00F467B4">
        <w:rPr>
          <w:rFonts w:cstheme="minorHAnsi"/>
          <w:b/>
          <w:bCs/>
          <w:sz w:val="28"/>
          <w:szCs w:val="28"/>
        </w:rPr>
        <w:t>The Coinage of Communicative Competence</w:t>
      </w:r>
    </w:p>
    <w:p w14:paraId="4D9CB4DF" w14:textId="6049AF30" w:rsidR="006F4F9A" w:rsidRPr="00F467B4" w:rsidRDefault="00CE16CC" w:rsidP="00CE16CC">
      <w:pPr>
        <w:rPr>
          <w:rFonts w:cstheme="minorHAnsi"/>
          <w:sz w:val="28"/>
          <w:szCs w:val="28"/>
        </w:rPr>
      </w:pPr>
      <w:r w:rsidRPr="00F467B4">
        <w:rPr>
          <w:rFonts w:cstheme="minorHAnsi"/>
          <w:sz w:val="28"/>
          <w:szCs w:val="28"/>
        </w:rPr>
        <w:t>Since the mid-1950s, the emphasis of language teaching had been laid on a mastery of language structure, which was manifested in the structure-centred syllabus and drills, as well as structural accuracy-orientated assessment (Brumfit &amp; Johnson 1979). The priority of teaching language ‘form’ rather than ‘meaning’ was partly influenced by trends in linguistic studies at that time. Structural linguists had themselves focused on ‘surface’ features of language, such as phonology and morphology in linguistic description (Savignon 1997).</w:t>
      </w:r>
    </w:p>
    <w:p w14:paraId="132C7F56" w14:textId="35D5BF2F" w:rsidR="00823E04" w:rsidRPr="00F467B4" w:rsidRDefault="00823E04" w:rsidP="00CE16CC">
      <w:pPr>
        <w:rPr>
          <w:rFonts w:cstheme="minorHAnsi"/>
          <w:sz w:val="28"/>
          <w:szCs w:val="28"/>
        </w:rPr>
      </w:pPr>
      <w:r w:rsidRPr="00F467B4">
        <w:rPr>
          <w:rFonts w:cstheme="minorHAnsi"/>
          <w:sz w:val="28"/>
          <w:szCs w:val="28"/>
        </w:rPr>
        <w:t>……</w:t>
      </w:r>
    </w:p>
    <w:p w14:paraId="2E195DF9" w14:textId="0FE81E74" w:rsidR="006F4F9A" w:rsidRPr="00F467B4" w:rsidRDefault="006F4F9A" w:rsidP="009E4485">
      <w:pPr>
        <w:rPr>
          <w:rFonts w:cstheme="minorHAnsi"/>
          <w:sz w:val="28"/>
          <w:szCs w:val="28"/>
        </w:rPr>
      </w:pPr>
      <w:r w:rsidRPr="00F467B4">
        <w:rPr>
          <w:rFonts w:cstheme="minorHAnsi"/>
          <w:sz w:val="28"/>
          <w:szCs w:val="28"/>
        </w:rPr>
        <w:t xml:space="preserve">Noting that language has evolved due to social interactions, </w:t>
      </w:r>
      <w:r w:rsidR="00AB1FC9" w:rsidRPr="00F467B4">
        <w:rPr>
          <w:rFonts w:cstheme="minorHAnsi"/>
          <w:sz w:val="28"/>
          <w:szCs w:val="28"/>
        </w:rPr>
        <w:t>there was</w:t>
      </w:r>
      <w:r w:rsidRPr="00F467B4">
        <w:rPr>
          <w:rFonts w:cstheme="minorHAnsi"/>
          <w:sz w:val="28"/>
          <w:szCs w:val="28"/>
        </w:rPr>
        <w:t xml:space="preserve"> a shift from the purely structural preoccupations to a synthesis of structural and functional approaches in the study of language (Savignon 1997). </w:t>
      </w:r>
      <w:r w:rsidR="0054117E" w:rsidRPr="00F467B4">
        <w:rPr>
          <w:rFonts w:cstheme="minorHAnsi"/>
          <w:sz w:val="28"/>
          <w:szCs w:val="28"/>
        </w:rPr>
        <w:t>Halliday</w:t>
      </w:r>
      <w:r w:rsidRPr="00F467B4">
        <w:rPr>
          <w:rFonts w:cstheme="minorHAnsi"/>
          <w:sz w:val="28"/>
          <w:szCs w:val="28"/>
        </w:rPr>
        <w:t xml:space="preserve"> </w:t>
      </w:r>
      <w:r w:rsidR="0054117E" w:rsidRPr="00F467B4">
        <w:rPr>
          <w:rFonts w:cstheme="minorHAnsi"/>
          <w:sz w:val="28"/>
          <w:szCs w:val="28"/>
        </w:rPr>
        <w:t xml:space="preserve">(1970 p145) </w:t>
      </w:r>
      <w:r w:rsidRPr="00F467B4">
        <w:rPr>
          <w:rFonts w:cstheme="minorHAnsi"/>
          <w:sz w:val="28"/>
          <w:szCs w:val="28"/>
        </w:rPr>
        <w:t>argue</w:t>
      </w:r>
      <w:r w:rsidR="00093A7D" w:rsidRPr="00F467B4">
        <w:rPr>
          <w:rFonts w:cstheme="minorHAnsi"/>
          <w:sz w:val="28"/>
          <w:szCs w:val="28"/>
        </w:rPr>
        <w:t>d</w:t>
      </w:r>
      <w:r w:rsidRPr="00F467B4">
        <w:rPr>
          <w:rFonts w:cstheme="minorHAnsi"/>
          <w:sz w:val="28"/>
          <w:szCs w:val="28"/>
        </w:rPr>
        <w:t xml:space="preserve"> that ‘only through the study of language are all the functions of language, and therefore all components of meaning, brought into force.’ Although Hymes and Halliday dealt with Chomsky’s distinction between competence and performance in different ways, </w:t>
      </w:r>
      <w:proofErr w:type="gramStart"/>
      <w:r w:rsidRPr="00F467B4">
        <w:rPr>
          <w:rFonts w:cstheme="minorHAnsi"/>
          <w:sz w:val="28"/>
          <w:szCs w:val="28"/>
        </w:rPr>
        <w:t>both of them</w:t>
      </w:r>
      <w:proofErr w:type="gramEnd"/>
      <w:r w:rsidRPr="00F467B4">
        <w:rPr>
          <w:rFonts w:cstheme="minorHAnsi"/>
          <w:sz w:val="28"/>
          <w:szCs w:val="28"/>
        </w:rPr>
        <w:t xml:space="preserve"> added social context to the theory of communicative competence (Li 2011).</w:t>
      </w:r>
    </w:p>
    <w:p w14:paraId="59CCE607" w14:textId="77AD4BA6" w:rsidR="00D133C1" w:rsidRPr="00F467B4" w:rsidRDefault="00E20481" w:rsidP="00D133C1">
      <w:pPr>
        <w:rPr>
          <w:rFonts w:cstheme="minorHAnsi"/>
          <w:b/>
          <w:bCs/>
          <w:sz w:val="28"/>
          <w:szCs w:val="28"/>
        </w:rPr>
      </w:pPr>
      <w:r w:rsidRPr="00F467B4">
        <w:rPr>
          <w:rFonts w:cstheme="minorHAnsi"/>
          <w:b/>
          <w:bCs/>
          <w:sz w:val="28"/>
          <w:szCs w:val="28"/>
        </w:rPr>
        <w:lastRenderedPageBreak/>
        <w:t xml:space="preserve">2.2 </w:t>
      </w:r>
      <w:r w:rsidR="00D133C1" w:rsidRPr="00F467B4">
        <w:rPr>
          <w:rFonts w:cstheme="minorHAnsi"/>
          <w:b/>
          <w:bCs/>
          <w:sz w:val="28"/>
          <w:szCs w:val="28"/>
        </w:rPr>
        <w:t>Components of Communicative Competence</w:t>
      </w:r>
    </w:p>
    <w:p w14:paraId="087F6826" w14:textId="03650ECB" w:rsidR="00D564A6" w:rsidRPr="00F467B4" w:rsidRDefault="00D133C1" w:rsidP="00D133C1">
      <w:pPr>
        <w:rPr>
          <w:rFonts w:cstheme="minorHAnsi"/>
          <w:sz w:val="28"/>
          <w:szCs w:val="28"/>
        </w:rPr>
      </w:pPr>
      <w:r w:rsidRPr="00F467B4">
        <w:rPr>
          <w:rFonts w:cstheme="minorHAnsi"/>
          <w:sz w:val="28"/>
          <w:szCs w:val="28"/>
        </w:rPr>
        <w:t>Hymes (1971) propose</w:t>
      </w:r>
      <w:r w:rsidR="00DA1C9B" w:rsidRPr="00F467B4">
        <w:rPr>
          <w:rFonts w:cstheme="minorHAnsi"/>
          <w:sz w:val="28"/>
          <w:szCs w:val="28"/>
        </w:rPr>
        <w:t>d</w:t>
      </w:r>
      <w:r w:rsidRPr="00F467B4">
        <w:rPr>
          <w:rFonts w:cstheme="minorHAnsi"/>
          <w:sz w:val="28"/>
          <w:szCs w:val="28"/>
        </w:rPr>
        <w:t xml:space="preserve"> four questions as sectors of communicative competence that is the underlying system of knowledge and skills needed for communicative behaviour. These sectors are roughly equivalent to ‘grammaticality’, ‘feasibility’, ‘appropriateness’ and ‘acceptability’ (Brumfit &amp; Johnson 1979). The first sector ‘grammaticality’ is concerned with whether the structure of a sentence is grammatical or ungrammatical. In some cases, a grammatically correct sentence may be hardly feasible in practical use, which belongs to the second sector of ‘feasibility’. The third deals with ‘appropriateness’, where a sentence may be grammatical and feasible, but inappropriate in a certain context. The final sector relates to ‘acceptability’, namely, whether a grammatically possible, feasible and appropriate sentence </w:t>
      </w:r>
      <w:proofErr w:type="gramStart"/>
      <w:r w:rsidRPr="00F467B4">
        <w:rPr>
          <w:rFonts w:cstheme="minorHAnsi"/>
          <w:sz w:val="28"/>
          <w:szCs w:val="28"/>
        </w:rPr>
        <w:t>actually occurs</w:t>
      </w:r>
      <w:proofErr w:type="gramEnd"/>
      <w:r w:rsidRPr="00F467B4">
        <w:rPr>
          <w:rFonts w:cstheme="minorHAnsi"/>
          <w:sz w:val="28"/>
          <w:szCs w:val="28"/>
        </w:rPr>
        <w:t xml:space="preserve"> in real life.</w:t>
      </w:r>
    </w:p>
    <w:p w14:paraId="65EAD4E8" w14:textId="0B2B0EAE" w:rsidR="00D133C1" w:rsidRPr="00F467B4" w:rsidRDefault="00D133C1" w:rsidP="00D133C1">
      <w:pPr>
        <w:rPr>
          <w:rFonts w:cstheme="minorHAnsi"/>
          <w:sz w:val="28"/>
          <w:szCs w:val="28"/>
        </w:rPr>
      </w:pPr>
      <w:r w:rsidRPr="00F467B4">
        <w:rPr>
          <w:rFonts w:cstheme="minorHAnsi"/>
          <w:sz w:val="28"/>
          <w:szCs w:val="28"/>
        </w:rPr>
        <w:t xml:space="preserve">…… </w:t>
      </w:r>
    </w:p>
    <w:p w14:paraId="430F5F02" w14:textId="584A375F" w:rsidR="009E4485" w:rsidRPr="00F467B4" w:rsidRDefault="00D564A6" w:rsidP="009E4485">
      <w:pPr>
        <w:rPr>
          <w:rFonts w:cstheme="minorHAnsi"/>
          <w:sz w:val="28"/>
          <w:szCs w:val="28"/>
        </w:rPr>
      </w:pPr>
      <w:r w:rsidRPr="00F467B4">
        <w:rPr>
          <w:rFonts w:cstheme="minorHAnsi"/>
          <w:sz w:val="28"/>
          <w:szCs w:val="28"/>
        </w:rPr>
        <w:t xml:space="preserve">The frameworks discussed above imply that communicative competence attaches great importance to contextual appropriateness and expression of meaning. It is also noticeable that grammar is not neglected but being given a fundamental role. Communicative competence builds upon grammatical competence by claiming that one needs to acquire other skills to become a fluent and accurate speaker of another language (Scovel 2007). Moreover, communicative competence emphasises speaking, as well as listening, writing and reading. That is why communicative approach to language teaching is unbiased </w:t>
      </w:r>
      <w:proofErr w:type="gramStart"/>
      <w:r w:rsidRPr="00F467B4">
        <w:rPr>
          <w:rFonts w:cstheme="minorHAnsi"/>
          <w:sz w:val="28"/>
          <w:szCs w:val="28"/>
        </w:rPr>
        <w:t>with regard to</w:t>
      </w:r>
      <w:proofErr w:type="gramEnd"/>
      <w:r w:rsidRPr="00F467B4">
        <w:rPr>
          <w:rFonts w:cstheme="minorHAnsi"/>
          <w:sz w:val="28"/>
          <w:szCs w:val="28"/>
        </w:rPr>
        <w:t xml:space="preserve"> the four language skills (Wilkins 1983). Furthermore, communicative competence includes nonverbal competence, namely, the knowledge of the varying nonverbal semantics of the target culture and the ability to send and receive nonverbal signals unambiguously (Brown 1994 cited in Zhang &amp; Wang 2012). </w:t>
      </w:r>
    </w:p>
    <w:p w14:paraId="20556424" w14:textId="62BDE7C2" w:rsidR="002D7064" w:rsidRPr="00F467B4" w:rsidRDefault="002D7064" w:rsidP="004612AB">
      <w:pPr>
        <w:pStyle w:val="ListParagraph"/>
        <w:numPr>
          <w:ilvl w:val="0"/>
          <w:numId w:val="2"/>
        </w:numPr>
        <w:rPr>
          <w:rFonts w:cstheme="minorHAnsi"/>
          <w:b/>
          <w:bCs/>
          <w:sz w:val="28"/>
          <w:szCs w:val="28"/>
        </w:rPr>
      </w:pPr>
      <w:r w:rsidRPr="00F467B4">
        <w:rPr>
          <w:rFonts w:cstheme="minorHAnsi"/>
          <w:b/>
          <w:bCs/>
          <w:sz w:val="28"/>
          <w:szCs w:val="28"/>
        </w:rPr>
        <w:t>Communicative Language Teaching: Features and Criticism</w:t>
      </w:r>
    </w:p>
    <w:p w14:paraId="44D8C4CE" w14:textId="487D9C9E" w:rsidR="009E4485" w:rsidRPr="00F467B4" w:rsidRDefault="002D7064" w:rsidP="002D7064">
      <w:pPr>
        <w:rPr>
          <w:rFonts w:cstheme="minorHAnsi"/>
          <w:sz w:val="28"/>
          <w:szCs w:val="28"/>
        </w:rPr>
      </w:pPr>
      <w:r w:rsidRPr="00F467B4">
        <w:rPr>
          <w:rFonts w:cstheme="minorHAnsi"/>
          <w:sz w:val="28"/>
          <w:szCs w:val="28"/>
        </w:rPr>
        <w:t xml:space="preserve">The increasing demand and opportunity for </w:t>
      </w:r>
      <w:r w:rsidR="00620A41" w:rsidRPr="00F467B4">
        <w:rPr>
          <w:rFonts w:cstheme="minorHAnsi"/>
          <w:sz w:val="28"/>
          <w:szCs w:val="28"/>
        </w:rPr>
        <w:t>foreign</w:t>
      </w:r>
      <w:r w:rsidRPr="00F467B4">
        <w:rPr>
          <w:rFonts w:cstheme="minorHAnsi"/>
          <w:sz w:val="28"/>
          <w:szCs w:val="28"/>
        </w:rPr>
        <w:t xml:space="preserve"> language learning, the growing awareness of active learning, the study of communicative syllabus and other social and academic factors in the 1970s promote together the development of CLT. With communicative competence as the goal of language learning, </w:t>
      </w:r>
      <w:r w:rsidR="0033187D" w:rsidRPr="00F467B4">
        <w:rPr>
          <w:rFonts w:cstheme="minorHAnsi"/>
          <w:sz w:val="28"/>
          <w:szCs w:val="28"/>
        </w:rPr>
        <w:t>c</w:t>
      </w:r>
      <w:r w:rsidRPr="00F467B4">
        <w:rPr>
          <w:rFonts w:cstheme="minorHAnsi"/>
          <w:sz w:val="28"/>
          <w:szCs w:val="28"/>
        </w:rPr>
        <w:t xml:space="preserve">ommunicative </w:t>
      </w:r>
      <w:r w:rsidR="00620A41" w:rsidRPr="00F467B4">
        <w:rPr>
          <w:rFonts w:cstheme="minorHAnsi" w:hint="eastAsia"/>
          <w:sz w:val="28"/>
          <w:szCs w:val="28"/>
          <w:lang w:eastAsia="zh-CN"/>
        </w:rPr>
        <w:t>a</w:t>
      </w:r>
      <w:r w:rsidRPr="00F467B4">
        <w:rPr>
          <w:rFonts w:cstheme="minorHAnsi"/>
          <w:sz w:val="28"/>
          <w:szCs w:val="28"/>
        </w:rPr>
        <w:t xml:space="preserve">pproach aims to teach four language skills and equip learners with the ability to use language effectively for their real communicative needs outside of the classroom (Richards &amp; Rodgers 2001). </w:t>
      </w:r>
      <w:r w:rsidRPr="00F467B4">
        <w:rPr>
          <w:rFonts w:cstheme="minorHAnsi"/>
          <w:sz w:val="28"/>
          <w:szCs w:val="28"/>
        </w:rPr>
        <w:lastRenderedPageBreak/>
        <w:t xml:space="preserve">However, CLT is an approach rather than a method, without one single model that is universally accepted as authoritative (Richards &amp; Rodgers 2001). In other words, this approach is based on a broad theoretical position about the nature of language and language learning and teaching, so different ways of understandings give rise to room for individual variation at </w:t>
      </w:r>
      <w:r w:rsidR="00535AA0" w:rsidRPr="00F467B4">
        <w:rPr>
          <w:rFonts w:cstheme="minorHAnsi"/>
          <w:sz w:val="28"/>
          <w:szCs w:val="28"/>
        </w:rPr>
        <w:t>local</w:t>
      </w:r>
      <w:r w:rsidRPr="00F467B4">
        <w:rPr>
          <w:rFonts w:cstheme="minorHAnsi"/>
          <w:sz w:val="28"/>
          <w:szCs w:val="28"/>
        </w:rPr>
        <w:t xml:space="preserve"> levels of design and procedure (Hiep 2007). Therefore, classroom practices differ widely even when teachers claim that they are using CLT (Freeman &amp; Anderson 2011).</w:t>
      </w:r>
    </w:p>
    <w:p w14:paraId="52DA52CC" w14:textId="145856EA" w:rsidR="002D7064" w:rsidRPr="00F467B4" w:rsidRDefault="00E00E8F" w:rsidP="002D7064">
      <w:pPr>
        <w:rPr>
          <w:rFonts w:cstheme="minorHAnsi"/>
          <w:sz w:val="28"/>
          <w:szCs w:val="28"/>
        </w:rPr>
      </w:pPr>
      <w:r w:rsidRPr="00F467B4">
        <w:rPr>
          <w:rFonts w:cstheme="minorHAnsi"/>
          <w:sz w:val="28"/>
          <w:szCs w:val="28"/>
        </w:rPr>
        <w:t xml:space="preserve">…… </w:t>
      </w:r>
    </w:p>
    <w:p w14:paraId="5C9D0A31" w14:textId="43A810D7" w:rsidR="00FE27A7" w:rsidRPr="00F467B4" w:rsidRDefault="00795E68" w:rsidP="003B7131">
      <w:pPr>
        <w:rPr>
          <w:rFonts w:cstheme="minorHAnsi"/>
          <w:sz w:val="28"/>
          <w:szCs w:val="28"/>
        </w:rPr>
      </w:pPr>
      <w:r w:rsidRPr="00F467B4">
        <w:rPr>
          <w:rFonts w:cstheme="minorHAnsi"/>
          <w:sz w:val="28"/>
          <w:szCs w:val="28"/>
        </w:rPr>
        <w:t xml:space="preserve">These features give </w:t>
      </w:r>
      <w:r w:rsidR="0048301D" w:rsidRPr="00F467B4">
        <w:rPr>
          <w:rFonts w:cstheme="minorHAnsi"/>
          <w:sz w:val="28"/>
          <w:szCs w:val="28"/>
        </w:rPr>
        <w:t xml:space="preserve">CLT </w:t>
      </w:r>
      <w:r w:rsidRPr="00F467B4">
        <w:rPr>
          <w:rFonts w:cstheme="minorHAnsi"/>
          <w:sz w:val="28"/>
          <w:szCs w:val="28"/>
        </w:rPr>
        <w:t>an advantageous position over those traditional methods, but they also put this approach under criticism. Widdowson (1999) doubted whether learners could infer knowledge of the language from communicative activities. Harmar (2003) criticise</w:t>
      </w:r>
      <w:r w:rsidR="001A0D12" w:rsidRPr="00F467B4">
        <w:rPr>
          <w:rFonts w:cstheme="minorHAnsi"/>
          <w:sz w:val="28"/>
          <w:szCs w:val="28"/>
        </w:rPr>
        <w:t>d</w:t>
      </w:r>
      <w:r w:rsidRPr="00F467B4">
        <w:rPr>
          <w:rFonts w:cstheme="minorHAnsi"/>
          <w:sz w:val="28"/>
          <w:szCs w:val="28"/>
        </w:rPr>
        <w:t xml:space="preserve"> that CLT encourages grammatical inaccuracy in the pursuit of language fluency. And the tolerance of mistakes may lead to the fossilisation of learners’ errors (Chang 2011). What’s more, Hedge (2000) argue</w:t>
      </w:r>
      <w:r w:rsidR="001A0D12" w:rsidRPr="00F467B4">
        <w:rPr>
          <w:rFonts w:cstheme="minorHAnsi"/>
          <w:sz w:val="28"/>
          <w:szCs w:val="28"/>
        </w:rPr>
        <w:t>d</w:t>
      </w:r>
      <w:r w:rsidRPr="00F467B4">
        <w:rPr>
          <w:rFonts w:cstheme="minorHAnsi"/>
          <w:sz w:val="28"/>
          <w:szCs w:val="28"/>
        </w:rPr>
        <w:t xml:space="preserve"> that CLT makes heavy linguistic demands on non-native teachers and distracts their energies from classroom teaching to struggle with language deficiencies. </w:t>
      </w:r>
    </w:p>
    <w:p w14:paraId="0A752BDE" w14:textId="77777777" w:rsidR="00BA646C" w:rsidRPr="00F467B4" w:rsidRDefault="00BA646C" w:rsidP="00BA646C">
      <w:pPr>
        <w:rPr>
          <w:rFonts w:cstheme="minorHAnsi"/>
          <w:b/>
          <w:bCs/>
          <w:sz w:val="28"/>
          <w:szCs w:val="28"/>
        </w:rPr>
      </w:pPr>
      <w:r w:rsidRPr="00F467B4">
        <w:rPr>
          <w:rFonts w:cstheme="minorHAnsi"/>
          <w:b/>
          <w:bCs/>
          <w:sz w:val="28"/>
          <w:szCs w:val="28"/>
        </w:rPr>
        <w:t>Communicative Language Teaching in China</w:t>
      </w:r>
    </w:p>
    <w:p w14:paraId="06FD5D30" w14:textId="68CB147C" w:rsidR="00BA646C" w:rsidRPr="00F467B4" w:rsidRDefault="00555415" w:rsidP="00BA646C">
      <w:pPr>
        <w:rPr>
          <w:rFonts w:cstheme="minorHAnsi"/>
          <w:sz w:val="28"/>
          <w:szCs w:val="28"/>
        </w:rPr>
      </w:pPr>
      <w:r w:rsidRPr="00F467B4">
        <w:rPr>
          <w:rFonts w:cstheme="minorHAnsi"/>
          <w:sz w:val="28"/>
          <w:szCs w:val="28"/>
        </w:rPr>
        <w:t>T</w:t>
      </w:r>
      <w:r w:rsidR="00BA646C" w:rsidRPr="00F467B4">
        <w:rPr>
          <w:rFonts w:cstheme="minorHAnsi"/>
          <w:sz w:val="28"/>
          <w:szCs w:val="28"/>
        </w:rPr>
        <w:t xml:space="preserve">his section will focus on </w:t>
      </w:r>
      <w:r w:rsidR="003E06ED" w:rsidRPr="00F467B4">
        <w:rPr>
          <w:rFonts w:cstheme="minorHAnsi"/>
          <w:sz w:val="28"/>
          <w:szCs w:val="28"/>
        </w:rPr>
        <w:t>c</w:t>
      </w:r>
      <w:r w:rsidR="00BA646C" w:rsidRPr="00F467B4">
        <w:rPr>
          <w:rFonts w:cstheme="minorHAnsi"/>
          <w:sz w:val="28"/>
          <w:szCs w:val="28"/>
        </w:rPr>
        <w:t xml:space="preserve">ommunicative </w:t>
      </w:r>
      <w:r w:rsidR="003E06ED" w:rsidRPr="00F467B4">
        <w:rPr>
          <w:rFonts w:cstheme="minorHAnsi"/>
          <w:sz w:val="28"/>
          <w:szCs w:val="28"/>
        </w:rPr>
        <w:t>a</w:t>
      </w:r>
      <w:r w:rsidR="00BA646C" w:rsidRPr="00F467B4">
        <w:rPr>
          <w:rFonts w:cstheme="minorHAnsi"/>
          <w:sz w:val="28"/>
          <w:szCs w:val="28"/>
        </w:rPr>
        <w:t>pproach to English teaching in the context of China, including an analysis of needs for improving Chinese students’ communicative competence, constraints in the way of further applying CLT, and contextualisation of CLT application in China.</w:t>
      </w:r>
    </w:p>
    <w:p w14:paraId="1CF1CB48" w14:textId="77777777" w:rsidR="004A09E2" w:rsidRPr="00F467B4" w:rsidRDefault="004A09E2" w:rsidP="004A09E2">
      <w:pPr>
        <w:rPr>
          <w:rFonts w:cstheme="minorHAnsi"/>
          <w:b/>
          <w:bCs/>
          <w:sz w:val="28"/>
          <w:szCs w:val="28"/>
        </w:rPr>
      </w:pPr>
      <w:r w:rsidRPr="00F467B4">
        <w:rPr>
          <w:rFonts w:cstheme="minorHAnsi"/>
          <w:b/>
          <w:bCs/>
          <w:sz w:val="28"/>
          <w:szCs w:val="28"/>
        </w:rPr>
        <w:t>Needs for Improving Students’ Communicative Competence</w:t>
      </w:r>
    </w:p>
    <w:p w14:paraId="38BC582B" w14:textId="307CED4B" w:rsidR="00BA646C" w:rsidRPr="00F467B4" w:rsidRDefault="004A09E2" w:rsidP="004A09E2">
      <w:pPr>
        <w:rPr>
          <w:rFonts w:cstheme="minorHAnsi"/>
          <w:sz w:val="28"/>
          <w:szCs w:val="28"/>
        </w:rPr>
      </w:pPr>
      <w:r w:rsidRPr="00F467B4">
        <w:rPr>
          <w:rFonts w:cstheme="minorHAnsi"/>
          <w:sz w:val="28"/>
          <w:szCs w:val="28"/>
        </w:rPr>
        <w:t>Chinese students are rarely exposed to the use of English in natural settings, so the main place for Chinese students to learn and use English is in the classroom. ……</w:t>
      </w:r>
    </w:p>
    <w:p w14:paraId="2A46F1D6" w14:textId="79E3079F" w:rsidR="001252E2" w:rsidRPr="00F467B4" w:rsidRDefault="001252E2" w:rsidP="004A09E2">
      <w:pPr>
        <w:rPr>
          <w:rFonts w:cstheme="minorHAnsi"/>
          <w:b/>
          <w:bCs/>
          <w:sz w:val="28"/>
          <w:szCs w:val="28"/>
        </w:rPr>
      </w:pPr>
      <w:r w:rsidRPr="00F467B4">
        <w:rPr>
          <w:rFonts w:cstheme="minorHAnsi"/>
          <w:b/>
          <w:bCs/>
          <w:sz w:val="28"/>
          <w:szCs w:val="28"/>
        </w:rPr>
        <w:t>Constraints on Applying Communicative Language Teaching</w:t>
      </w:r>
    </w:p>
    <w:p w14:paraId="7880ADC4" w14:textId="58DAB77A" w:rsidR="001252E2" w:rsidRPr="00F467B4" w:rsidRDefault="003E06ED" w:rsidP="004A09E2">
      <w:pPr>
        <w:rPr>
          <w:rFonts w:cstheme="minorHAnsi"/>
          <w:sz w:val="28"/>
          <w:szCs w:val="28"/>
        </w:rPr>
      </w:pPr>
      <w:r w:rsidRPr="00F467B4">
        <w:rPr>
          <w:rFonts w:cstheme="minorHAnsi"/>
          <w:sz w:val="28"/>
          <w:szCs w:val="28"/>
        </w:rPr>
        <w:t>However, as mentioned earlier, CLT does not promote one standardised method, but is eclectic in its approach (Brandl 2007). ……</w:t>
      </w:r>
    </w:p>
    <w:p w14:paraId="1D8E012F" w14:textId="77777777" w:rsidR="00F467B4" w:rsidRPr="00F467B4" w:rsidRDefault="00F467B4">
      <w:pPr>
        <w:rPr>
          <w:rFonts w:cstheme="minorHAnsi"/>
          <w:b/>
          <w:bCs/>
          <w:sz w:val="28"/>
          <w:szCs w:val="28"/>
        </w:rPr>
      </w:pPr>
    </w:p>
    <w:p w14:paraId="7C39E100" w14:textId="40A53924" w:rsidR="00FE27A7" w:rsidRPr="00F467B4" w:rsidRDefault="00555415">
      <w:pPr>
        <w:rPr>
          <w:rFonts w:cstheme="minorHAnsi"/>
          <w:sz w:val="28"/>
          <w:szCs w:val="28"/>
        </w:rPr>
      </w:pPr>
      <w:r w:rsidRPr="00F467B4">
        <w:rPr>
          <w:rFonts w:cstheme="minorHAnsi"/>
          <w:sz w:val="28"/>
          <w:szCs w:val="28"/>
        </w:rPr>
        <w:t>……</w:t>
      </w:r>
      <w:r w:rsidR="00FE27A7" w:rsidRPr="00F467B4">
        <w:rPr>
          <w:rFonts w:cstheme="minorHAnsi"/>
          <w:sz w:val="28"/>
          <w:szCs w:val="28"/>
        </w:rPr>
        <w:br w:type="page"/>
      </w:r>
    </w:p>
    <w:p w14:paraId="5379B3D6" w14:textId="5CB30783" w:rsidR="00FE27A7" w:rsidRPr="00F467B4" w:rsidRDefault="00FE27A7" w:rsidP="00FE27A7">
      <w:pPr>
        <w:jc w:val="center"/>
        <w:rPr>
          <w:rFonts w:cstheme="minorHAnsi" w:hint="eastAsia"/>
          <w:b/>
          <w:bCs/>
          <w:sz w:val="32"/>
          <w:szCs w:val="32"/>
          <w:lang w:eastAsia="zh-CN"/>
        </w:rPr>
      </w:pPr>
      <w:r w:rsidRPr="00F467B4">
        <w:rPr>
          <w:rFonts w:cstheme="minorHAnsi"/>
          <w:b/>
          <w:bCs/>
          <w:sz w:val="32"/>
          <w:szCs w:val="32"/>
        </w:rPr>
        <w:lastRenderedPageBreak/>
        <w:t xml:space="preserve">Peer </w:t>
      </w:r>
      <w:r w:rsidR="0027369A" w:rsidRPr="00F467B4">
        <w:rPr>
          <w:rFonts w:cstheme="minorHAnsi" w:hint="eastAsia"/>
          <w:b/>
          <w:bCs/>
          <w:sz w:val="32"/>
          <w:szCs w:val="32"/>
          <w:lang w:eastAsia="zh-CN"/>
        </w:rPr>
        <w:t>work</w:t>
      </w:r>
    </w:p>
    <w:p w14:paraId="08AC86EA" w14:textId="77777777" w:rsidR="00D72ACF" w:rsidRPr="00F467B4" w:rsidRDefault="00D72ACF" w:rsidP="00FE27A7">
      <w:pPr>
        <w:rPr>
          <w:rFonts w:cstheme="minorHAnsi"/>
          <w:b/>
          <w:bCs/>
          <w:sz w:val="28"/>
          <w:szCs w:val="28"/>
        </w:rPr>
      </w:pPr>
    </w:p>
    <w:p w14:paraId="7EF4F5E0" w14:textId="36662BD6" w:rsidR="00FE27A7" w:rsidRPr="00F467B4" w:rsidRDefault="00FE27A7" w:rsidP="00FE27A7">
      <w:pPr>
        <w:rPr>
          <w:rFonts w:cstheme="minorHAnsi"/>
          <w:b/>
          <w:bCs/>
          <w:sz w:val="28"/>
          <w:szCs w:val="28"/>
        </w:rPr>
      </w:pPr>
      <w:r w:rsidRPr="00F467B4">
        <w:rPr>
          <w:rFonts w:cstheme="minorHAnsi"/>
          <w:b/>
          <w:bCs/>
          <w:sz w:val="28"/>
          <w:szCs w:val="28"/>
        </w:rPr>
        <w:t>R</w:t>
      </w:r>
      <w:r w:rsidRPr="00F467B4">
        <w:rPr>
          <w:rFonts w:eastAsiaTheme="minorEastAsia" w:cstheme="minorHAnsi"/>
          <w:b/>
          <w:bCs/>
          <w:sz w:val="28"/>
          <w:szCs w:val="28"/>
          <w:lang w:eastAsia="zh-CN"/>
        </w:rPr>
        <w:t>ead</w:t>
      </w:r>
      <w:r w:rsidRPr="00F467B4">
        <w:rPr>
          <w:rFonts w:eastAsiaTheme="minorHAnsi" w:cstheme="minorHAnsi"/>
          <w:b/>
          <w:bCs/>
          <w:sz w:val="28"/>
          <w:szCs w:val="28"/>
        </w:rPr>
        <w:t xml:space="preserve"> the</w:t>
      </w:r>
      <w:r w:rsidRPr="00F467B4">
        <w:rPr>
          <w:rFonts w:cstheme="minorHAnsi"/>
          <w:b/>
          <w:bCs/>
          <w:sz w:val="28"/>
          <w:szCs w:val="28"/>
        </w:rPr>
        <w:t xml:space="preserve"> three paragraphs below and discuss: </w:t>
      </w:r>
    </w:p>
    <w:p w14:paraId="16898A1D" w14:textId="77777777" w:rsidR="00FE27A7" w:rsidRPr="00F467B4" w:rsidRDefault="00FE27A7" w:rsidP="00FE27A7">
      <w:pPr>
        <w:pStyle w:val="ListParagraph"/>
        <w:numPr>
          <w:ilvl w:val="0"/>
          <w:numId w:val="1"/>
        </w:numPr>
        <w:rPr>
          <w:rFonts w:cstheme="minorHAnsi"/>
          <w:sz w:val="28"/>
          <w:szCs w:val="28"/>
        </w:rPr>
      </w:pPr>
      <w:r w:rsidRPr="00F467B4">
        <w:rPr>
          <w:rFonts w:cstheme="minorHAnsi"/>
          <w:sz w:val="28"/>
          <w:szCs w:val="28"/>
        </w:rPr>
        <w:t xml:space="preserve">Which paragraph did you consider to be the best in an academic sense? </w:t>
      </w:r>
    </w:p>
    <w:p w14:paraId="2C6CE92D" w14:textId="4438140E" w:rsidR="00FE27A7" w:rsidRPr="00F467B4" w:rsidRDefault="00D72ACF" w:rsidP="00FE27A7">
      <w:pPr>
        <w:pStyle w:val="ListParagraph"/>
        <w:numPr>
          <w:ilvl w:val="0"/>
          <w:numId w:val="1"/>
        </w:numPr>
        <w:rPr>
          <w:rFonts w:cstheme="minorHAnsi"/>
          <w:sz w:val="28"/>
          <w:szCs w:val="28"/>
        </w:rPr>
      </w:pPr>
      <w:r w:rsidRPr="00F467B4">
        <w:rPr>
          <w:rFonts w:cstheme="minorHAnsi" w:hint="eastAsia"/>
          <w:sz w:val="28"/>
          <w:szCs w:val="28"/>
          <w:lang w:eastAsia="zh-CN"/>
        </w:rPr>
        <w:t xml:space="preserve">What are the </w:t>
      </w:r>
      <w:r w:rsidRPr="00F467B4">
        <w:rPr>
          <w:rFonts w:cstheme="minorHAnsi"/>
          <w:sz w:val="28"/>
          <w:szCs w:val="28"/>
          <w:lang w:eastAsia="zh-CN"/>
        </w:rPr>
        <w:t>‘</w:t>
      </w:r>
      <w:r w:rsidRPr="00F467B4">
        <w:rPr>
          <w:rFonts w:cstheme="minorHAnsi" w:hint="eastAsia"/>
          <w:sz w:val="28"/>
          <w:szCs w:val="28"/>
          <w:lang w:eastAsia="zh-CN"/>
        </w:rPr>
        <w:t>Even better ifs</w:t>
      </w:r>
      <w:r w:rsidRPr="00F467B4">
        <w:rPr>
          <w:rFonts w:cstheme="minorHAnsi"/>
          <w:sz w:val="28"/>
          <w:szCs w:val="28"/>
          <w:lang w:eastAsia="zh-CN"/>
        </w:rPr>
        <w:t>’</w:t>
      </w:r>
      <w:r w:rsidRPr="00F467B4">
        <w:rPr>
          <w:rFonts w:cstheme="minorHAnsi" w:hint="eastAsia"/>
          <w:sz w:val="28"/>
          <w:szCs w:val="28"/>
          <w:lang w:eastAsia="zh-CN"/>
        </w:rPr>
        <w:t xml:space="preserve"> for the 3 paragraphs?</w:t>
      </w:r>
    </w:p>
    <w:p w14:paraId="693A255B" w14:textId="77777777" w:rsidR="00FE27A7" w:rsidRPr="00F467B4" w:rsidRDefault="00FE27A7" w:rsidP="00FE27A7">
      <w:pPr>
        <w:rPr>
          <w:rFonts w:cstheme="minorHAnsi"/>
          <w:sz w:val="28"/>
          <w:szCs w:val="28"/>
        </w:rPr>
      </w:pPr>
    </w:p>
    <w:p w14:paraId="76B8153B" w14:textId="77777777" w:rsidR="00FE27A7" w:rsidRPr="00F467B4" w:rsidRDefault="00FE27A7" w:rsidP="00FE27A7">
      <w:pPr>
        <w:rPr>
          <w:rFonts w:cstheme="minorHAnsi"/>
          <w:sz w:val="28"/>
          <w:szCs w:val="28"/>
        </w:rPr>
      </w:pPr>
      <w:r w:rsidRPr="00F467B4">
        <w:rPr>
          <w:rFonts w:cstheme="minorHAnsi"/>
          <w:sz w:val="28"/>
          <w:szCs w:val="28"/>
        </w:rPr>
        <w:t xml:space="preserve">1. Accountants are rarely stressed. At meetings with various accountants over the years I have always found them to be extremely relaxed. Perhaps working with numbers is a soothing occupation. Certainly, they seem less stressed than teachers in a large secondary school. </w:t>
      </w:r>
    </w:p>
    <w:p w14:paraId="0F137E55" w14:textId="77777777" w:rsidR="00FE27A7" w:rsidRPr="00F467B4" w:rsidRDefault="00FE27A7" w:rsidP="00FE27A7">
      <w:pPr>
        <w:rPr>
          <w:rFonts w:cstheme="minorHAnsi"/>
          <w:sz w:val="28"/>
          <w:szCs w:val="28"/>
        </w:rPr>
      </w:pPr>
    </w:p>
    <w:p w14:paraId="79E24D21" w14:textId="6AE79FE1" w:rsidR="00FE27A7" w:rsidRPr="00F467B4" w:rsidRDefault="00FE27A7" w:rsidP="00FE27A7">
      <w:pPr>
        <w:rPr>
          <w:rFonts w:cstheme="minorHAnsi"/>
          <w:sz w:val="28"/>
          <w:szCs w:val="28"/>
        </w:rPr>
      </w:pPr>
      <w:r w:rsidRPr="00F467B4">
        <w:rPr>
          <w:rFonts w:cstheme="minorHAnsi"/>
          <w:sz w:val="28"/>
          <w:szCs w:val="28"/>
        </w:rPr>
        <w:t xml:space="preserve">2. Accountants are rarely stressed. A study by Smith in 2015 found that, of workers observed in 50 different occupations, accountants were seen to be most stress free (2016, p. xx). The research involved watching 50 people for one day at their work and noting their moods. At the end of the day each person was given a questionnaire related to stress. </w:t>
      </w:r>
    </w:p>
    <w:p w14:paraId="79B5EB6A" w14:textId="77777777" w:rsidR="00FE27A7" w:rsidRPr="00F467B4" w:rsidRDefault="00FE27A7" w:rsidP="00FE27A7">
      <w:pPr>
        <w:rPr>
          <w:rFonts w:cstheme="minorHAnsi"/>
          <w:sz w:val="28"/>
          <w:szCs w:val="28"/>
        </w:rPr>
      </w:pPr>
    </w:p>
    <w:p w14:paraId="5315283C" w14:textId="507EAFFB" w:rsidR="00FE27A7" w:rsidRPr="00F467B4" w:rsidRDefault="00FE27A7" w:rsidP="00FE27A7">
      <w:pPr>
        <w:rPr>
          <w:rFonts w:cstheme="minorHAnsi"/>
          <w:sz w:val="28"/>
          <w:szCs w:val="28"/>
        </w:rPr>
      </w:pPr>
      <w:r w:rsidRPr="00F467B4">
        <w:rPr>
          <w:rFonts w:cstheme="minorHAnsi"/>
          <w:sz w:val="28"/>
          <w:szCs w:val="28"/>
        </w:rPr>
        <w:t>3. Accountancy appears to be a relatively stress-free occupation. Research conducted by Smith revealed that pressures experienced at work by accountants were the least amongst employees from 80 different occupations. One of the reasons provided for the low stress was the solitary nature of the tasks (</w:t>
      </w:r>
      <w:r w:rsidR="00BF199E" w:rsidRPr="00F467B4">
        <w:rPr>
          <w:rFonts w:cstheme="minorHAnsi" w:hint="eastAsia"/>
          <w:sz w:val="28"/>
          <w:szCs w:val="28"/>
          <w:lang w:eastAsia="zh-CN"/>
        </w:rPr>
        <w:t xml:space="preserve">X, </w:t>
      </w:r>
      <w:r w:rsidRPr="00F467B4">
        <w:rPr>
          <w:rFonts w:cstheme="minorHAnsi"/>
          <w:sz w:val="28"/>
          <w:szCs w:val="28"/>
        </w:rPr>
        <w:t>1921</w:t>
      </w:r>
      <w:r w:rsidR="00D30EB2" w:rsidRPr="00F467B4">
        <w:rPr>
          <w:rFonts w:cstheme="minorHAnsi"/>
          <w:sz w:val="28"/>
          <w:szCs w:val="28"/>
        </w:rPr>
        <w:t xml:space="preserve">; </w:t>
      </w:r>
      <w:r w:rsidR="00BF199E" w:rsidRPr="00F467B4">
        <w:rPr>
          <w:rFonts w:cstheme="minorHAnsi" w:hint="eastAsia"/>
          <w:sz w:val="28"/>
          <w:szCs w:val="28"/>
          <w:lang w:eastAsia="zh-CN"/>
        </w:rPr>
        <w:t>Y and Z</w:t>
      </w:r>
      <w:r w:rsidR="00D30EB2" w:rsidRPr="00F467B4">
        <w:rPr>
          <w:rFonts w:cstheme="minorHAnsi"/>
          <w:sz w:val="28"/>
          <w:szCs w:val="28"/>
        </w:rPr>
        <w:t>, 202</w:t>
      </w:r>
      <w:r w:rsidR="00BF199E" w:rsidRPr="00F467B4">
        <w:rPr>
          <w:rFonts w:cstheme="minorHAnsi" w:hint="eastAsia"/>
          <w:sz w:val="28"/>
          <w:szCs w:val="28"/>
          <w:lang w:eastAsia="zh-CN"/>
        </w:rPr>
        <w:t>4</w:t>
      </w:r>
      <w:r w:rsidRPr="00F467B4">
        <w:rPr>
          <w:rFonts w:cstheme="minorHAnsi"/>
          <w:sz w:val="28"/>
          <w:szCs w:val="28"/>
        </w:rPr>
        <w:t>).</w:t>
      </w:r>
    </w:p>
    <w:p w14:paraId="7A4DD284" w14:textId="7F5C4174" w:rsidR="008A53F1" w:rsidRPr="00F467B4" w:rsidRDefault="008A53F1" w:rsidP="003B7131">
      <w:pPr>
        <w:rPr>
          <w:rFonts w:cstheme="minorHAnsi"/>
          <w:sz w:val="28"/>
          <w:szCs w:val="28"/>
        </w:rPr>
      </w:pPr>
    </w:p>
    <w:sectPr w:rsidR="008A53F1" w:rsidRPr="00F467B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BDCE8" w14:textId="77777777" w:rsidR="0089362A" w:rsidRDefault="0089362A" w:rsidP="00C0101A">
      <w:pPr>
        <w:spacing w:after="0" w:line="240" w:lineRule="auto"/>
      </w:pPr>
      <w:r>
        <w:separator/>
      </w:r>
    </w:p>
  </w:endnote>
  <w:endnote w:type="continuationSeparator" w:id="0">
    <w:p w14:paraId="270295D5" w14:textId="77777777" w:rsidR="0089362A" w:rsidRDefault="0089362A" w:rsidP="00C01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528822"/>
      <w:docPartObj>
        <w:docPartGallery w:val="Page Numbers (Bottom of Page)"/>
        <w:docPartUnique/>
      </w:docPartObj>
    </w:sdtPr>
    <w:sdtEndPr>
      <w:rPr>
        <w:noProof/>
      </w:rPr>
    </w:sdtEndPr>
    <w:sdtContent>
      <w:p w14:paraId="0A2F62F1" w14:textId="6578E4B0" w:rsidR="00C0101A" w:rsidRDefault="00C010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017D87" w14:textId="77777777" w:rsidR="00C0101A" w:rsidRDefault="00C01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D145D" w14:textId="77777777" w:rsidR="0089362A" w:rsidRDefault="0089362A" w:rsidP="00C0101A">
      <w:pPr>
        <w:spacing w:after="0" w:line="240" w:lineRule="auto"/>
      </w:pPr>
      <w:r>
        <w:separator/>
      </w:r>
    </w:p>
  </w:footnote>
  <w:footnote w:type="continuationSeparator" w:id="0">
    <w:p w14:paraId="6DD0AE1F" w14:textId="77777777" w:rsidR="0089362A" w:rsidRDefault="0089362A" w:rsidP="00C010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C5011"/>
    <w:multiLevelType w:val="hybridMultilevel"/>
    <w:tmpl w:val="9072C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6473DB"/>
    <w:multiLevelType w:val="hybridMultilevel"/>
    <w:tmpl w:val="E598A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3234240">
    <w:abstractNumId w:val="1"/>
  </w:num>
  <w:num w:numId="2" w16cid:durableId="345525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E08"/>
    <w:rsid w:val="00012100"/>
    <w:rsid w:val="00061AE3"/>
    <w:rsid w:val="0008198E"/>
    <w:rsid w:val="00093A7D"/>
    <w:rsid w:val="000A1777"/>
    <w:rsid w:val="000C779C"/>
    <w:rsid w:val="00101F1F"/>
    <w:rsid w:val="001252E2"/>
    <w:rsid w:val="001A0D12"/>
    <w:rsid w:val="001A6460"/>
    <w:rsid w:val="0021608D"/>
    <w:rsid w:val="002602F7"/>
    <w:rsid w:val="002615BE"/>
    <w:rsid w:val="0027369A"/>
    <w:rsid w:val="002D7064"/>
    <w:rsid w:val="0033187D"/>
    <w:rsid w:val="00393AE9"/>
    <w:rsid w:val="003B7131"/>
    <w:rsid w:val="003E06ED"/>
    <w:rsid w:val="003E183B"/>
    <w:rsid w:val="004612AB"/>
    <w:rsid w:val="0048301D"/>
    <w:rsid w:val="004A09E2"/>
    <w:rsid w:val="00521CF3"/>
    <w:rsid w:val="00535AA0"/>
    <w:rsid w:val="0054117E"/>
    <w:rsid w:val="0054717B"/>
    <w:rsid w:val="00555415"/>
    <w:rsid w:val="00573543"/>
    <w:rsid w:val="005959D4"/>
    <w:rsid w:val="005C1F96"/>
    <w:rsid w:val="0060231B"/>
    <w:rsid w:val="00620A41"/>
    <w:rsid w:val="00683E08"/>
    <w:rsid w:val="006B6A3C"/>
    <w:rsid w:val="006D0C81"/>
    <w:rsid w:val="006E1EE6"/>
    <w:rsid w:val="006F4F9A"/>
    <w:rsid w:val="00770641"/>
    <w:rsid w:val="00792C2A"/>
    <w:rsid w:val="00794187"/>
    <w:rsid w:val="00795E68"/>
    <w:rsid w:val="007E4781"/>
    <w:rsid w:val="00823E04"/>
    <w:rsid w:val="008305A5"/>
    <w:rsid w:val="0089362A"/>
    <w:rsid w:val="008A53F1"/>
    <w:rsid w:val="0093081A"/>
    <w:rsid w:val="009E4485"/>
    <w:rsid w:val="009E4B7D"/>
    <w:rsid w:val="009F0C8B"/>
    <w:rsid w:val="00A10B95"/>
    <w:rsid w:val="00A72D46"/>
    <w:rsid w:val="00A77DB7"/>
    <w:rsid w:val="00AB1FC9"/>
    <w:rsid w:val="00B060CF"/>
    <w:rsid w:val="00B7284B"/>
    <w:rsid w:val="00BA646C"/>
    <w:rsid w:val="00BF199E"/>
    <w:rsid w:val="00C0101A"/>
    <w:rsid w:val="00C966C1"/>
    <w:rsid w:val="00CE16CC"/>
    <w:rsid w:val="00D133C1"/>
    <w:rsid w:val="00D150DE"/>
    <w:rsid w:val="00D266E7"/>
    <w:rsid w:val="00D30EB2"/>
    <w:rsid w:val="00D47F28"/>
    <w:rsid w:val="00D564A6"/>
    <w:rsid w:val="00D72ACF"/>
    <w:rsid w:val="00DA1C9B"/>
    <w:rsid w:val="00DF4C6A"/>
    <w:rsid w:val="00E00E8F"/>
    <w:rsid w:val="00E20481"/>
    <w:rsid w:val="00E34A86"/>
    <w:rsid w:val="00E42E06"/>
    <w:rsid w:val="00ED5BB9"/>
    <w:rsid w:val="00F11139"/>
    <w:rsid w:val="00F467B4"/>
    <w:rsid w:val="00FE27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6CE7A"/>
  <w15:chartTrackingRefBased/>
  <w15:docId w15:val="{23BC5F78-604E-4411-BB69-013B35D9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0DE"/>
    <w:pPr>
      <w:ind w:left="720"/>
      <w:contextualSpacing/>
    </w:pPr>
  </w:style>
  <w:style w:type="paragraph" w:styleId="Header">
    <w:name w:val="header"/>
    <w:basedOn w:val="Normal"/>
    <w:link w:val="HeaderChar"/>
    <w:uiPriority w:val="99"/>
    <w:unhideWhenUsed/>
    <w:rsid w:val="00C01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01A"/>
  </w:style>
  <w:style w:type="paragraph" w:styleId="Footer">
    <w:name w:val="footer"/>
    <w:basedOn w:val="Normal"/>
    <w:link w:val="FooterChar"/>
    <w:uiPriority w:val="99"/>
    <w:unhideWhenUsed/>
    <w:rsid w:val="00C01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4</Pages>
  <Words>1141</Words>
  <Characters>6510</Characters>
  <Application>Microsoft Office Word</Application>
  <DocSecurity>0</DocSecurity>
  <Lines>54</Lines>
  <Paragraphs>15</Paragraphs>
  <ScaleCrop>false</ScaleCrop>
  <Company>University of Wales Trinity Saint David</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Jingjing Ruan</dc:creator>
  <cp:keywords/>
  <dc:description/>
  <cp:lastModifiedBy>Jingjing Ruan</cp:lastModifiedBy>
  <cp:revision>76</cp:revision>
  <dcterms:created xsi:type="dcterms:W3CDTF">2024-01-21T11:01:00Z</dcterms:created>
  <dcterms:modified xsi:type="dcterms:W3CDTF">2025-02-02T12:35:00Z</dcterms:modified>
</cp:coreProperties>
</file>