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39386E" w:rsidRDefault="00063B4C" w:rsidP="0039386E">
      <w:pPr>
        <w:rPr>
          <w:rFonts w:ascii="Arial" w:hAnsi="Arial" w:cs="Arial"/>
        </w:rPr>
      </w:pPr>
      <w:r w:rsidRPr="0039386E">
        <w:rPr>
          <w:rFonts w:ascii="Arial" w:hAnsi="Arial" w:cs="Arial"/>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39386E" w:rsidRDefault="00063B4C" w:rsidP="0039386E">
      <w:pPr>
        <w:rPr>
          <w:rFonts w:ascii="Arial" w:hAnsi="Arial" w:cs="Arial"/>
        </w:rPr>
      </w:pPr>
    </w:p>
    <w:p w14:paraId="00DE7510" w14:textId="684CC594" w:rsidR="00063B4C" w:rsidRPr="0039386E" w:rsidRDefault="00063B4C" w:rsidP="0039386E">
      <w:pPr>
        <w:rPr>
          <w:rFonts w:ascii="Arial" w:hAnsi="Arial" w:cs="Arial"/>
        </w:rPr>
      </w:pPr>
    </w:p>
    <w:p w14:paraId="62B6C1AB" w14:textId="77777777" w:rsidR="00063B4C" w:rsidRPr="0039386E" w:rsidRDefault="00063B4C" w:rsidP="0039386E">
      <w:pPr>
        <w:rPr>
          <w:rFonts w:ascii="Arial" w:hAnsi="Arial" w:cs="Arial"/>
        </w:rPr>
      </w:pPr>
    </w:p>
    <w:p w14:paraId="19C1447B" w14:textId="77777777" w:rsidR="00063B4C" w:rsidRPr="0039386E" w:rsidRDefault="00063B4C" w:rsidP="009D4BB1">
      <w:pPr>
        <w:ind w:right="1229"/>
        <w:jc w:val="center"/>
        <w:rPr>
          <w:rFonts w:ascii="Arial" w:hAnsi="Arial" w:cs="Arial"/>
        </w:rPr>
      </w:pPr>
    </w:p>
    <w:p w14:paraId="4BD32C57" w14:textId="2FA64C13" w:rsidR="00063B4C" w:rsidRPr="0039386E" w:rsidRDefault="00063B4C" w:rsidP="009D4BB1">
      <w:pPr>
        <w:ind w:right="1229"/>
        <w:jc w:val="center"/>
        <w:rPr>
          <w:rFonts w:ascii="Arial" w:hAnsi="Arial" w:cs="Arial"/>
          <w:sz w:val="60"/>
          <w:szCs w:val="60"/>
        </w:rPr>
      </w:pPr>
      <w:r w:rsidRPr="0039386E">
        <w:rPr>
          <w:rFonts w:ascii="Arial" w:hAnsi="Arial" w:cs="Arial"/>
          <w:sz w:val="60"/>
          <w:szCs w:val="60"/>
        </w:rPr>
        <w:t>Institute of Inner-City Learning Birmingham Campus</w:t>
      </w:r>
    </w:p>
    <w:p w14:paraId="7F58ECA1" w14:textId="77777777" w:rsidR="00063B4C" w:rsidRPr="0039386E" w:rsidRDefault="00063B4C" w:rsidP="009D4BB1">
      <w:pPr>
        <w:pStyle w:val="BodyText"/>
        <w:spacing w:line="360" w:lineRule="auto"/>
        <w:jc w:val="center"/>
        <w:rPr>
          <w:rFonts w:cs="Arial"/>
          <w:sz w:val="20"/>
        </w:rPr>
      </w:pPr>
    </w:p>
    <w:p w14:paraId="3009F44A" w14:textId="2F598781" w:rsidR="00063B4C" w:rsidRPr="0039386E" w:rsidRDefault="00063B4C" w:rsidP="009D4BB1">
      <w:pPr>
        <w:jc w:val="center"/>
        <w:rPr>
          <w:rFonts w:ascii="Arial" w:hAnsi="Arial" w:cs="Arial"/>
          <w:sz w:val="60"/>
          <w:szCs w:val="60"/>
        </w:rPr>
      </w:pPr>
      <w:r w:rsidRPr="0039386E">
        <w:rPr>
          <w:rFonts w:ascii="Arial" w:hAnsi="Arial" w:cs="Arial"/>
          <w:sz w:val="60"/>
          <w:szCs w:val="60"/>
        </w:rPr>
        <w:t>BSc (Hons) Health and Social Care</w:t>
      </w:r>
      <w:r w:rsidRPr="0039386E">
        <w:rPr>
          <w:rFonts w:ascii="Arial" w:hAnsi="Arial" w:cs="Arial"/>
          <w:sz w:val="60"/>
          <w:szCs w:val="60"/>
        </w:rPr>
        <w:br/>
      </w:r>
    </w:p>
    <w:p w14:paraId="2C0F81B3" w14:textId="789E4AC6" w:rsidR="00995444" w:rsidRPr="0039386E" w:rsidRDefault="00063B4C" w:rsidP="009D4BB1">
      <w:pPr>
        <w:rPr>
          <w:rFonts w:ascii="Arial" w:hAnsi="Arial" w:cs="Arial"/>
        </w:rPr>
      </w:pPr>
      <w:r w:rsidRPr="0039386E">
        <w:rPr>
          <w:rFonts w:ascii="Arial" w:hAnsi="Arial" w:cs="Arial"/>
          <w:sz w:val="70"/>
          <w:szCs w:val="70"/>
        </w:rPr>
        <w:t>DISSERTATION</w:t>
      </w:r>
    </w:p>
    <w:p w14:paraId="6D29CD44" w14:textId="75C545B1" w:rsidR="00063B4C" w:rsidRPr="0039386E" w:rsidRDefault="00063B4C" w:rsidP="0039386E">
      <w:pPr>
        <w:pStyle w:val="Heading1"/>
        <w:spacing w:line="360" w:lineRule="auto"/>
        <w:ind w:left="0"/>
        <w:jc w:val="both"/>
        <w:rPr>
          <w:rFonts w:cs="Arial"/>
        </w:rPr>
      </w:pPr>
      <w:r w:rsidRPr="0039386E">
        <w:rPr>
          <w:rFonts w:cs="Arial"/>
        </w:rPr>
        <w:t>Disclaimer</w:t>
      </w:r>
    </w:p>
    <w:p w14:paraId="487F2EE6" w14:textId="6BA77ED8" w:rsidR="00466C88" w:rsidRPr="009D4BB1" w:rsidRDefault="00063B4C" w:rsidP="009D4BB1">
      <w:pPr>
        <w:spacing w:before="62"/>
        <w:ind w:right="96"/>
        <w:rPr>
          <w:rFonts w:ascii="Arial" w:hAnsi="Arial" w:cs="Arial"/>
          <w:sz w:val="20"/>
        </w:rPr>
      </w:pPr>
      <w:r w:rsidRPr="0039386E">
        <w:rPr>
          <w:rFonts w:ascii="Arial" w:hAnsi="Arial" w:cs="Arial"/>
          <w:sz w:val="20"/>
        </w:rPr>
        <w:t xml:space="preserve">This document was correct at the time of publication. The Module Coordinator reserves the right to modify any </w:t>
      </w:r>
      <w:r w:rsidR="004C7501" w:rsidRPr="0039386E">
        <w:rPr>
          <w:rFonts w:ascii="Arial" w:hAnsi="Arial" w:cs="Arial"/>
          <w:sz w:val="20"/>
        </w:rPr>
        <w:t>statement,</w:t>
      </w:r>
      <w:r w:rsidRPr="0039386E">
        <w:rPr>
          <w:rFonts w:ascii="Arial" w:hAnsi="Arial"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45AA03BC" w:rsidR="00604A87" w:rsidRPr="0039386E" w:rsidRDefault="00604A87" w:rsidP="0039386E">
      <w:pPr>
        <w:rPr>
          <w:rFonts w:ascii="Arial" w:eastAsia="Times New Roman" w:hAnsi="Arial" w:cs="Arial"/>
          <w:b/>
          <w:sz w:val="28"/>
          <w:szCs w:val="28"/>
        </w:rPr>
      </w:pPr>
      <w:r w:rsidRPr="0039386E">
        <w:rPr>
          <w:rFonts w:ascii="Arial" w:eastAsia="Times New Roman" w:hAnsi="Arial" w:cs="Arial"/>
          <w:b/>
          <w:sz w:val="28"/>
          <w:szCs w:val="28"/>
        </w:rPr>
        <w:lastRenderedPageBreak/>
        <w:t>DECLARATION</w:t>
      </w:r>
    </w:p>
    <w:p w14:paraId="113CAAED" w14:textId="71383BFC" w:rsidR="00604A87" w:rsidRPr="0039386E" w:rsidRDefault="00604A87" w:rsidP="0039386E">
      <w:pPr>
        <w:rPr>
          <w:rFonts w:ascii="Arial" w:eastAsia="Times New Roman" w:hAnsi="Arial" w:cs="Arial"/>
        </w:rPr>
      </w:pPr>
      <w:r w:rsidRPr="0039386E">
        <w:rPr>
          <w:rFonts w:ascii="Arial" w:eastAsia="Times New Roman" w:hAnsi="Arial" w:cs="Arial"/>
        </w:rPr>
        <w:t>This work has not previously been accepted in substance for any degree and is not being concurrently submitted in candidature for any degree</w:t>
      </w:r>
    </w:p>
    <w:p w14:paraId="3EF51212" w14:textId="15622018" w:rsidR="00604A87" w:rsidRPr="0039386E" w:rsidRDefault="00DD08BF" w:rsidP="0039386E">
      <w:pPr>
        <w:rPr>
          <w:rFonts w:ascii="Arial" w:eastAsia="Times New Roman" w:hAnsi="Arial" w:cs="Arial"/>
        </w:rPr>
      </w:pPr>
      <w:r w:rsidRPr="0039386E">
        <w:rPr>
          <w:rFonts w:ascii="Arial" w:eastAsia="Times New Roman" w:hAnsi="Arial" w:cs="Arial"/>
          <w:b/>
          <w:bCs/>
          <w:noProof/>
          <w:kern w:val="0"/>
          <w:sz w:val="24"/>
          <w:szCs w:val="24"/>
          <w:lang w:eastAsia="en-GB"/>
        </w:rPr>
        <mc:AlternateContent>
          <mc:Choice Requires="wpi">
            <w:drawing>
              <wp:anchor distT="0" distB="0" distL="114300" distR="114300" simplePos="0" relativeHeight="251660288" behindDoc="0" locked="0" layoutInCell="1" allowOverlap="1" wp14:anchorId="67609590" wp14:editId="15206E81">
                <wp:simplePos x="0" y="0"/>
                <wp:positionH relativeFrom="margin">
                  <wp:posOffset>822960</wp:posOffset>
                </wp:positionH>
                <wp:positionV relativeFrom="paragraph">
                  <wp:posOffset>-137160</wp:posOffset>
                </wp:positionV>
                <wp:extent cx="563880" cy="346710"/>
                <wp:effectExtent l="38100" t="38100" r="7620" b="34290"/>
                <wp:wrapNone/>
                <wp:docPr id="652060962"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563880" cy="346710"/>
                      </w14:xfrm>
                    </w14:contentPart>
                  </a:graphicData>
                </a:graphic>
                <wp14:sizeRelH relativeFrom="margin">
                  <wp14:pctWidth>0</wp14:pctWidth>
                </wp14:sizeRelH>
                <wp14:sizeRelV relativeFrom="margin">
                  <wp14:pctHeight>0</wp14:pctHeight>
                </wp14:sizeRelV>
              </wp:anchor>
            </w:drawing>
          </mc:Choice>
          <mc:Fallback>
            <w:pict>
              <v:shapetype w14:anchorId="07228C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64.3pt;margin-top:-11.3pt;width:45.35pt;height:2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">
                <v:imagedata r:id="rId10" o:title=""/>
                <w10:wrap anchorx="margin"/>
              </v:shape>
            </w:pict>
          </mc:Fallback>
        </mc:AlternateContent>
      </w:r>
      <w:r w:rsidR="00604A87" w:rsidRPr="0039386E">
        <w:rPr>
          <w:rFonts w:ascii="Arial" w:eastAsia="Times New Roman" w:hAnsi="Arial" w:cs="Arial"/>
        </w:rPr>
        <w:t>Signed……………………………………………</w:t>
      </w:r>
    </w:p>
    <w:p w14:paraId="16B6CB34" w14:textId="325D6271" w:rsidR="00604A87" w:rsidRPr="0039386E" w:rsidRDefault="00604A87" w:rsidP="0039386E">
      <w:pPr>
        <w:rPr>
          <w:rFonts w:ascii="Arial" w:eastAsia="Times New Roman" w:hAnsi="Arial" w:cs="Arial"/>
        </w:rPr>
      </w:pPr>
      <w:r w:rsidRPr="0039386E">
        <w:rPr>
          <w:rFonts w:ascii="Arial" w:eastAsia="Times New Roman" w:hAnsi="Arial" w:cs="Arial"/>
        </w:rPr>
        <w:t>Date…………</w:t>
      </w:r>
      <w:r w:rsidR="00DD08BF" w:rsidRPr="0039386E">
        <w:rPr>
          <w:rFonts w:ascii="Arial" w:eastAsia="Times New Roman" w:hAnsi="Arial" w:cs="Arial"/>
        </w:rPr>
        <w:t>24/07/2026</w:t>
      </w:r>
      <w:r w:rsidRPr="0039386E">
        <w:rPr>
          <w:rFonts w:ascii="Arial" w:eastAsia="Times New Roman" w:hAnsi="Arial" w:cs="Arial"/>
        </w:rPr>
        <w:t>……………………………………</w:t>
      </w:r>
    </w:p>
    <w:p w14:paraId="7D9E43A8" w14:textId="77777777" w:rsidR="00604A87" w:rsidRPr="0039386E" w:rsidRDefault="00604A87" w:rsidP="0039386E">
      <w:pPr>
        <w:rPr>
          <w:rFonts w:ascii="Arial" w:eastAsia="Times New Roman" w:hAnsi="Arial" w:cs="Arial"/>
          <w:bCs/>
          <w:kern w:val="32"/>
        </w:rPr>
      </w:pPr>
      <w:r w:rsidRPr="0039386E">
        <w:rPr>
          <w:rFonts w:ascii="Arial" w:eastAsia="Times New Roman" w:hAnsi="Arial" w:cs="Arial"/>
          <w:b/>
        </w:rPr>
        <w:t xml:space="preserve">STATEMENT 1 </w:t>
      </w:r>
    </w:p>
    <w:p w14:paraId="189DE0A6" w14:textId="6FE8A1FD" w:rsidR="00604A87" w:rsidRPr="0039386E" w:rsidRDefault="00DD08BF" w:rsidP="0039386E">
      <w:pPr>
        <w:rPr>
          <w:rFonts w:ascii="Arial" w:eastAsia="Times New Roman" w:hAnsi="Arial" w:cs="Arial"/>
        </w:rPr>
      </w:pPr>
      <w:r w:rsidRPr="0039386E">
        <w:rPr>
          <w:rFonts w:ascii="Arial" w:eastAsia="Times New Roman" w:hAnsi="Arial" w:cs="Arial"/>
          <w:b/>
          <w:bCs/>
          <w:noProof/>
          <w:kern w:val="0"/>
          <w:sz w:val="24"/>
          <w:szCs w:val="24"/>
          <w:lang w:eastAsia="en-GB"/>
        </w:rPr>
        <mc:AlternateContent>
          <mc:Choice Requires="wpi">
            <w:drawing>
              <wp:anchor distT="0" distB="0" distL="114300" distR="114300" simplePos="0" relativeHeight="251662336" behindDoc="0" locked="0" layoutInCell="1" allowOverlap="1" wp14:anchorId="75199602" wp14:editId="29F2C6C8">
                <wp:simplePos x="0" y="0"/>
                <wp:positionH relativeFrom="margin">
                  <wp:posOffset>868680</wp:posOffset>
                </wp:positionH>
                <wp:positionV relativeFrom="paragraph">
                  <wp:posOffset>181610</wp:posOffset>
                </wp:positionV>
                <wp:extent cx="563880" cy="346710"/>
                <wp:effectExtent l="38100" t="38100" r="7620" b="34290"/>
                <wp:wrapNone/>
                <wp:docPr id="1644798709" name="Ink 16"/>
                <wp:cNvGraphicFramePr/>
                <a:graphic xmlns:a="http://schemas.openxmlformats.org/drawingml/2006/main">
                  <a:graphicData uri="http://schemas.microsoft.com/office/word/2010/wordprocessingInk">
                    <w14:contentPart bwMode="auto" r:id="rId11">
                      <w14:nvContentPartPr>
                        <w14:cNvContentPartPr/>
                      </w14:nvContentPartPr>
                      <w14:xfrm>
                        <a:off x="0" y="0"/>
                        <a:ext cx="563880" cy="346710"/>
                      </w14:xfrm>
                    </w14:contentPart>
                  </a:graphicData>
                </a:graphic>
                <wp14:sizeRelH relativeFrom="margin">
                  <wp14:pctWidth>0</wp14:pctWidth>
                </wp14:sizeRelH>
                <wp14:sizeRelV relativeFrom="margin">
                  <wp14:pctHeight>0</wp14:pctHeight>
                </wp14:sizeRelV>
              </wp:anchor>
            </w:drawing>
          </mc:Choice>
          <mc:Fallback>
            <w:pict>
              <v:shape w14:anchorId="2168B091" id="Ink 16" o:spid="_x0000_s1026" type="#_x0000_t75" style="position:absolute;margin-left:67.9pt;margin-top:13.8pt;width:45.35pt;height:28.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">
                <v:imagedata r:id="rId10" o:title=""/>
                <w10:wrap anchorx="margin"/>
              </v:shape>
            </w:pict>
          </mc:Fallback>
        </mc:AlternateContent>
      </w:r>
      <w:r w:rsidR="00604A87" w:rsidRPr="0039386E">
        <w:rPr>
          <w:rFonts w:ascii="Arial" w:eastAsia="Times New Roman" w:hAnsi="Arial" w:cs="Arial"/>
        </w:rPr>
        <w:t>This dissertation is being submitted in partial fulfilment of the requirements for the degree of BSc.</w:t>
      </w:r>
    </w:p>
    <w:p w14:paraId="39F661A6" w14:textId="56553BB2" w:rsidR="00604A87" w:rsidRPr="0039386E" w:rsidRDefault="00604A87" w:rsidP="0039386E">
      <w:pPr>
        <w:rPr>
          <w:rFonts w:ascii="Arial" w:eastAsia="Times New Roman" w:hAnsi="Arial" w:cs="Arial"/>
        </w:rPr>
      </w:pPr>
      <w:r w:rsidRPr="0039386E">
        <w:rPr>
          <w:rFonts w:ascii="Arial" w:eastAsia="Times New Roman" w:hAnsi="Arial" w:cs="Arial"/>
        </w:rPr>
        <w:t>Signed………………………………………</w:t>
      </w:r>
      <w:r w:rsidR="004C7501" w:rsidRPr="0039386E">
        <w:rPr>
          <w:rFonts w:ascii="Arial" w:eastAsia="Times New Roman" w:hAnsi="Arial" w:cs="Arial"/>
        </w:rPr>
        <w:t>….</w:t>
      </w:r>
    </w:p>
    <w:p w14:paraId="21F5E413" w14:textId="2DA2CC5E" w:rsidR="00604A87" w:rsidRPr="0039386E" w:rsidRDefault="00604A87" w:rsidP="0039386E">
      <w:pPr>
        <w:rPr>
          <w:rFonts w:ascii="Arial" w:eastAsia="Times New Roman" w:hAnsi="Arial" w:cs="Arial"/>
        </w:rPr>
      </w:pPr>
      <w:r w:rsidRPr="0039386E">
        <w:rPr>
          <w:rFonts w:ascii="Arial" w:eastAsia="Times New Roman" w:hAnsi="Arial" w:cs="Arial"/>
        </w:rPr>
        <w:t>Date……………</w:t>
      </w:r>
      <w:r w:rsidR="00DD08BF" w:rsidRPr="0039386E">
        <w:rPr>
          <w:rFonts w:ascii="Arial" w:eastAsia="Times New Roman" w:hAnsi="Arial" w:cs="Arial"/>
        </w:rPr>
        <w:t>24/07/2026</w:t>
      </w:r>
      <w:r w:rsidRPr="0039386E">
        <w:rPr>
          <w:rFonts w:ascii="Arial" w:eastAsia="Times New Roman" w:hAnsi="Arial" w:cs="Arial"/>
        </w:rPr>
        <w:t>…………………</w:t>
      </w:r>
    </w:p>
    <w:p w14:paraId="713B64B9" w14:textId="77777777" w:rsidR="00604A87" w:rsidRPr="0039386E" w:rsidRDefault="00604A87" w:rsidP="0039386E">
      <w:pPr>
        <w:rPr>
          <w:rFonts w:ascii="Arial" w:eastAsia="Times New Roman" w:hAnsi="Arial" w:cs="Arial"/>
        </w:rPr>
      </w:pPr>
      <w:r w:rsidRPr="0039386E">
        <w:rPr>
          <w:rFonts w:ascii="Arial" w:eastAsia="Times New Roman" w:hAnsi="Arial" w:cs="Arial"/>
          <w:b/>
        </w:rPr>
        <w:t>STATEMENT 2</w:t>
      </w:r>
    </w:p>
    <w:p w14:paraId="4AA5D04A" w14:textId="65BB11AC" w:rsidR="00604A87" w:rsidRPr="0039386E" w:rsidRDefault="00604A87" w:rsidP="0039386E">
      <w:pPr>
        <w:rPr>
          <w:rFonts w:ascii="Arial" w:eastAsia="Times New Roman" w:hAnsi="Arial" w:cs="Arial"/>
        </w:rPr>
      </w:pPr>
      <w:r w:rsidRPr="0039386E">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063DCFDD" w:rsidR="00604A87" w:rsidRPr="0039386E" w:rsidRDefault="00DD08BF" w:rsidP="0039386E">
      <w:pPr>
        <w:rPr>
          <w:rFonts w:ascii="Arial" w:eastAsia="Times New Roman" w:hAnsi="Arial" w:cs="Arial"/>
        </w:rPr>
      </w:pPr>
      <w:r w:rsidRPr="0039386E">
        <w:rPr>
          <w:rFonts w:ascii="Arial" w:eastAsia="Times New Roman" w:hAnsi="Arial" w:cs="Arial"/>
          <w:b/>
          <w:bCs/>
          <w:noProof/>
          <w:kern w:val="0"/>
          <w:sz w:val="24"/>
          <w:szCs w:val="24"/>
          <w:lang w:eastAsia="en-GB"/>
        </w:rPr>
        <mc:AlternateContent>
          <mc:Choice Requires="wpi">
            <w:drawing>
              <wp:anchor distT="0" distB="0" distL="114300" distR="114300" simplePos="0" relativeHeight="251664384" behindDoc="0" locked="0" layoutInCell="1" allowOverlap="1" wp14:anchorId="45D86067" wp14:editId="17F158BE">
                <wp:simplePos x="0" y="0"/>
                <wp:positionH relativeFrom="margin">
                  <wp:posOffset>906780</wp:posOffset>
                </wp:positionH>
                <wp:positionV relativeFrom="paragraph">
                  <wp:posOffset>-153035</wp:posOffset>
                </wp:positionV>
                <wp:extent cx="563880" cy="346710"/>
                <wp:effectExtent l="38100" t="38100" r="7620" b="34290"/>
                <wp:wrapNone/>
                <wp:docPr id="533555097" name="Ink 16"/>
                <wp:cNvGraphicFramePr/>
                <a:graphic xmlns:a="http://schemas.openxmlformats.org/drawingml/2006/main">
                  <a:graphicData uri="http://schemas.microsoft.com/office/word/2010/wordprocessingInk">
                    <w14:contentPart bwMode="auto" r:id="rId12">
                      <w14:nvContentPartPr>
                        <w14:cNvContentPartPr/>
                      </w14:nvContentPartPr>
                      <w14:xfrm>
                        <a:off x="0" y="0"/>
                        <a:ext cx="563880" cy="346710"/>
                      </w14:xfrm>
                    </w14:contentPart>
                  </a:graphicData>
                </a:graphic>
                <wp14:sizeRelH relativeFrom="margin">
                  <wp14:pctWidth>0</wp14:pctWidth>
                </wp14:sizeRelH>
                <wp14:sizeRelV relativeFrom="margin">
                  <wp14:pctHeight>0</wp14:pctHeight>
                </wp14:sizeRelV>
              </wp:anchor>
            </w:drawing>
          </mc:Choice>
          <mc:Fallback>
            <w:pict>
              <v:shape w14:anchorId="7DCF6696" id="Ink 16" o:spid="_x0000_s1026" type="#_x0000_t75" style="position:absolute;margin-left:70.9pt;margin-top:-12.55pt;width:45.35pt;height:28.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">
                <v:imagedata r:id="rId10" o:title=""/>
                <w10:wrap anchorx="margin"/>
              </v:shape>
            </w:pict>
          </mc:Fallback>
        </mc:AlternateContent>
      </w:r>
      <w:r w:rsidR="00604A87" w:rsidRPr="0039386E">
        <w:rPr>
          <w:rFonts w:ascii="Arial" w:eastAsia="Times New Roman" w:hAnsi="Arial" w:cs="Arial"/>
        </w:rPr>
        <w:t>Signed……………………………………………</w:t>
      </w:r>
    </w:p>
    <w:p w14:paraId="1CB40FFB" w14:textId="05306BC3" w:rsidR="00604A87" w:rsidRPr="0039386E" w:rsidRDefault="00604A87" w:rsidP="0039386E">
      <w:pPr>
        <w:rPr>
          <w:rFonts w:ascii="Arial" w:eastAsia="Times New Roman" w:hAnsi="Arial" w:cs="Arial"/>
        </w:rPr>
      </w:pPr>
      <w:r w:rsidRPr="0039386E">
        <w:rPr>
          <w:rFonts w:ascii="Arial" w:eastAsia="Times New Roman" w:hAnsi="Arial" w:cs="Arial"/>
        </w:rPr>
        <w:t>Date………………</w:t>
      </w:r>
      <w:r w:rsidR="00DD08BF" w:rsidRPr="0039386E">
        <w:rPr>
          <w:rFonts w:ascii="Arial" w:eastAsia="Times New Roman" w:hAnsi="Arial" w:cs="Arial"/>
        </w:rPr>
        <w:t>24/07/2026</w:t>
      </w:r>
      <w:r w:rsidRPr="0039386E">
        <w:rPr>
          <w:rFonts w:ascii="Arial" w:eastAsia="Times New Roman" w:hAnsi="Arial" w:cs="Arial"/>
        </w:rPr>
        <w:t xml:space="preserve">……………… </w:t>
      </w:r>
    </w:p>
    <w:p w14:paraId="42D5D0C6" w14:textId="77777777" w:rsidR="00604A87" w:rsidRPr="0039386E" w:rsidRDefault="00604A87" w:rsidP="0039386E">
      <w:pPr>
        <w:rPr>
          <w:rFonts w:ascii="Arial" w:eastAsia="Times New Roman" w:hAnsi="Arial" w:cs="Arial"/>
        </w:rPr>
      </w:pPr>
      <w:r w:rsidRPr="0039386E">
        <w:rPr>
          <w:rFonts w:ascii="Arial" w:eastAsia="Times New Roman" w:hAnsi="Arial" w:cs="Arial"/>
          <w:b/>
        </w:rPr>
        <w:t>STATEMENT 3</w:t>
      </w:r>
    </w:p>
    <w:p w14:paraId="4B58546E" w14:textId="61CCB29A" w:rsidR="00604A87" w:rsidRPr="0039386E" w:rsidRDefault="00604A87" w:rsidP="0039386E">
      <w:pPr>
        <w:rPr>
          <w:rFonts w:ascii="Arial" w:eastAsia="Times New Roman" w:hAnsi="Arial" w:cs="Arial"/>
        </w:rPr>
      </w:pPr>
      <w:r w:rsidRPr="0039386E">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2E825DE3" w:rsidR="00604A87" w:rsidRPr="0039386E" w:rsidRDefault="00DD08BF" w:rsidP="0039386E">
      <w:pPr>
        <w:rPr>
          <w:rFonts w:ascii="Arial" w:eastAsia="Times New Roman" w:hAnsi="Arial" w:cs="Arial"/>
        </w:rPr>
      </w:pPr>
      <w:r w:rsidRPr="0039386E">
        <w:rPr>
          <w:rFonts w:ascii="Arial" w:eastAsia="Times New Roman" w:hAnsi="Arial" w:cs="Arial"/>
          <w:b/>
          <w:bCs/>
          <w:noProof/>
          <w:kern w:val="0"/>
          <w:sz w:val="24"/>
          <w:szCs w:val="24"/>
          <w:lang w:eastAsia="en-GB"/>
        </w:rPr>
        <mc:AlternateContent>
          <mc:Choice Requires="wpi">
            <w:drawing>
              <wp:anchor distT="0" distB="0" distL="114300" distR="114300" simplePos="0" relativeHeight="251666432" behindDoc="0" locked="0" layoutInCell="1" allowOverlap="1" wp14:anchorId="418B7A60" wp14:editId="038F3ED2">
                <wp:simplePos x="0" y="0"/>
                <wp:positionH relativeFrom="margin">
                  <wp:posOffset>952500</wp:posOffset>
                </wp:positionH>
                <wp:positionV relativeFrom="paragraph">
                  <wp:posOffset>-137795</wp:posOffset>
                </wp:positionV>
                <wp:extent cx="563880" cy="346710"/>
                <wp:effectExtent l="38100" t="38100" r="7620" b="34290"/>
                <wp:wrapNone/>
                <wp:docPr id="748513474" name="Ink 16"/>
                <wp:cNvGraphicFramePr/>
                <a:graphic xmlns:a="http://schemas.openxmlformats.org/drawingml/2006/main">
                  <a:graphicData uri="http://schemas.microsoft.com/office/word/2010/wordprocessingInk">
                    <w14:contentPart bwMode="auto" r:id="rId13">
                      <w14:nvContentPartPr>
                        <w14:cNvContentPartPr/>
                      </w14:nvContentPartPr>
                      <w14:xfrm>
                        <a:off x="0" y="0"/>
                        <a:ext cx="563880" cy="346710"/>
                      </w14:xfrm>
                    </w14:contentPart>
                  </a:graphicData>
                </a:graphic>
                <wp14:sizeRelH relativeFrom="margin">
                  <wp14:pctWidth>0</wp14:pctWidth>
                </wp14:sizeRelH>
                <wp14:sizeRelV relativeFrom="margin">
                  <wp14:pctHeight>0</wp14:pctHeight>
                </wp14:sizeRelV>
              </wp:anchor>
            </w:drawing>
          </mc:Choice>
          <mc:Fallback>
            <w:pict>
              <v:shape w14:anchorId="0AEE4FB9" id="Ink 16" o:spid="_x0000_s1026" type="#_x0000_t75" style="position:absolute;margin-left:74.5pt;margin-top:-11.35pt;width:45.35pt;height:28.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">
                <v:imagedata r:id="rId10" o:title=""/>
                <w10:wrap anchorx="margin"/>
              </v:shape>
            </w:pict>
          </mc:Fallback>
        </mc:AlternateContent>
      </w:r>
      <w:r w:rsidR="00604A87" w:rsidRPr="0039386E">
        <w:rPr>
          <w:rFonts w:ascii="Arial" w:eastAsia="Times New Roman" w:hAnsi="Arial" w:cs="Arial"/>
        </w:rPr>
        <w:t>Signed………………………………………………</w:t>
      </w:r>
    </w:p>
    <w:p w14:paraId="021196D1" w14:textId="7B8A56CA" w:rsidR="00604A87" w:rsidRPr="0039386E" w:rsidRDefault="00604A87" w:rsidP="0039386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39386E">
        <w:rPr>
          <w:rFonts w:ascii="Arial" w:eastAsia="Times New Roman" w:hAnsi="Arial" w:cs="Arial"/>
        </w:rPr>
        <w:t>Date………………</w:t>
      </w:r>
      <w:r w:rsidR="00DD08BF" w:rsidRPr="0039386E">
        <w:rPr>
          <w:rFonts w:ascii="Arial" w:eastAsia="Times New Roman" w:hAnsi="Arial" w:cs="Arial"/>
        </w:rPr>
        <w:t>24/07/2026</w:t>
      </w:r>
      <w:r w:rsidRPr="0039386E">
        <w:rPr>
          <w:rFonts w:ascii="Arial" w:eastAsia="Times New Roman" w:hAnsi="Arial" w:cs="Arial"/>
        </w:rPr>
        <w:t>…………………</w:t>
      </w:r>
    </w:p>
    <w:p w14:paraId="77D38054" w14:textId="77777777" w:rsidR="00604A87" w:rsidRPr="0039386E" w:rsidRDefault="00604A87" w:rsidP="0039386E">
      <w:pPr>
        <w:rPr>
          <w:rFonts w:ascii="Arial" w:eastAsia="Times New Roman" w:hAnsi="Arial" w:cs="Arial"/>
          <w:b/>
        </w:rPr>
      </w:pPr>
      <w:r w:rsidRPr="0039386E">
        <w:rPr>
          <w:rFonts w:ascii="Arial" w:eastAsia="Times New Roman" w:hAnsi="Arial" w:cs="Arial"/>
          <w:b/>
        </w:rPr>
        <w:t>STATEMENT 4</w:t>
      </w:r>
    </w:p>
    <w:p w14:paraId="0A15E499" w14:textId="1F9546C0" w:rsidR="00604A87" w:rsidRPr="0039386E" w:rsidRDefault="00604A87" w:rsidP="0039386E">
      <w:pPr>
        <w:rPr>
          <w:rFonts w:ascii="Arial" w:eastAsia="Times New Roman" w:hAnsi="Arial" w:cs="Arial"/>
        </w:rPr>
      </w:pPr>
      <w:r w:rsidRPr="0039386E">
        <w:rPr>
          <w:rFonts w:ascii="Arial" w:eastAsia="Times New Roman" w:hAnsi="Arial" w:cs="Arial"/>
        </w:rPr>
        <w:t>I hereby give consent for my dissertation, if accepted, to be available on the university’s IT system to those who have consent to use the system.</w:t>
      </w:r>
    </w:p>
    <w:p w14:paraId="73D7762F" w14:textId="67FC4A91" w:rsidR="00604A87" w:rsidRPr="0039386E" w:rsidRDefault="00DD08BF" w:rsidP="0039386E">
      <w:pPr>
        <w:rPr>
          <w:rFonts w:ascii="Arial" w:eastAsia="Times New Roman" w:hAnsi="Arial" w:cs="Arial"/>
        </w:rPr>
      </w:pPr>
      <w:r w:rsidRPr="0039386E">
        <w:rPr>
          <w:rFonts w:ascii="Arial" w:eastAsia="Times New Roman" w:hAnsi="Arial" w:cs="Arial"/>
          <w:b/>
          <w:bCs/>
          <w:noProof/>
          <w:kern w:val="0"/>
          <w:sz w:val="24"/>
          <w:szCs w:val="24"/>
          <w:lang w:eastAsia="en-GB"/>
        </w:rPr>
        <mc:AlternateContent>
          <mc:Choice Requires="wpi">
            <w:drawing>
              <wp:anchor distT="0" distB="0" distL="114300" distR="114300" simplePos="0" relativeHeight="251668480" behindDoc="0" locked="0" layoutInCell="1" allowOverlap="1" wp14:anchorId="13095030" wp14:editId="2029D7A4">
                <wp:simplePos x="0" y="0"/>
                <wp:positionH relativeFrom="margin">
                  <wp:posOffset>914400</wp:posOffset>
                </wp:positionH>
                <wp:positionV relativeFrom="paragraph">
                  <wp:posOffset>-122555</wp:posOffset>
                </wp:positionV>
                <wp:extent cx="563880" cy="346710"/>
                <wp:effectExtent l="38100" t="38100" r="7620" b="34290"/>
                <wp:wrapNone/>
                <wp:docPr id="517829805" name="Ink 16"/>
                <wp:cNvGraphicFramePr/>
                <a:graphic xmlns:a="http://schemas.openxmlformats.org/drawingml/2006/main">
                  <a:graphicData uri="http://schemas.microsoft.com/office/word/2010/wordprocessingInk">
                    <w14:contentPart bwMode="auto" r:id="rId14">
                      <w14:nvContentPartPr>
                        <w14:cNvContentPartPr/>
                      </w14:nvContentPartPr>
                      <w14:xfrm>
                        <a:off x="0" y="0"/>
                        <a:ext cx="563880" cy="346710"/>
                      </w14:xfrm>
                    </w14:contentPart>
                  </a:graphicData>
                </a:graphic>
                <wp14:sizeRelH relativeFrom="margin">
                  <wp14:pctWidth>0</wp14:pctWidth>
                </wp14:sizeRelH>
                <wp14:sizeRelV relativeFrom="margin">
                  <wp14:pctHeight>0</wp14:pctHeight>
                </wp14:sizeRelV>
              </wp:anchor>
            </w:drawing>
          </mc:Choice>
          <mc:Fallback>
            <w:pict>
              <v:shape w14:anchorId="171ABC9E" id="Ink 16" o:spid="_x0000_s1026" type="#_x0000_t75" style="position:absolute;margin-left:71.5pt;margin-top:-10.15pt;width:45.35pt;height:28.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">
                <v:imagedata r:id="rId10" o:title=""/>
                <w10:wrap anchorx="margin"/>
              </v:shape>
            </w:pict>
          </mc:Fallback>
        </mc:AlternateContent>
      </w:r>
      <w:r w:rsidR="00604A87" w:rsidRPr="0039386E">
        <w:rPr>
          <w:rFonts w:ascii="Arial" w:eastAsia="Times New Roman" w:hAnsi="Arial" w:cs="Arial"/>
        </w:rPr>
        <w:t>Signed………………………………………………</w:t>
      </w:r>
    </w:p>
    <w:p w14:paraId="2BDDE109" w14:textId="662D8669" w:rsidR="00604A87" w:rsidRPr="0039386E" w:rsidRDefault="00604A87" w:rsidP="0039386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39386E">
        <w:rPr>
          <w:rFonts w:ascii="Arial" w:eastAsia="Times New Roman" w:hAnsi="Arial" w:cs="Arial"/>
        </w:rPr>
        <w:t>Date……………</w:t>
      </w:r>
      <w:r w:rsidR="00DD08BF" w:rsidRPr="0039386E">
        <w:rPr>
          <w:rFonts w:ascii="Arial" w:eastAsia="Times New Roman" w:hAnsi="Arial" w:cs="Arial"/>
        </w:rPr>
        <w:t>24/07/2026</w:t>
      </w:r>
      <w:r w:rsidRPr="0039386E">
        <w:rPr>
          <w:rFonts w:ascii="Arial" w:eastAsia="Times New Roman" w:hAnsi="Arial" w:cs="Arial"/>
        </w:rPr>
        <w:t>……………………</w:t>
      </w:r>
    </w:p>
    <w:p w14:paraId="7CE514EB" w14:textId="77777777" w:rsidR="00995444" w:rsidRPr="0039386E" w:rsidRDefault="00995444" w:rsidP="0039386E">
      <w:pPr>
        <w:rPr>
          <w:rFonts w:ascii="Arial" w:eastAsia="Arial Unicode MS" w:hAnsi="Arial" w:cs="Arial"/>
          <w:b/>
          <w:sz w:val="52"/>
          <w:szCs w:val="52"/>
        </w:rPr>
      </w:pPr>
    </w:p>
    <w:p w14:paraId="0FC75915" w14:textId="4E11A5F8" w:rsidR="00995444" w:rsidRPr="0039386E" w:rsidRDefault="002A6C0D"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52"/>
          <w:szCs w:val="52"/>
        </w:rPr>
      </w:pPr>
      <w:r w:rsidRPr="0039386E">
        <w:rPr>
          <w:rFonts w:ascii="Arial" w:eastAsia="Arial Unicode MS" w:hAnsi="Arial" w:cs="Arial"/>
          <w:b/>
          <w:sz w:val="52"/>
          <w:szCs w:val="52"/>
        </w:rPr>
        <w:lastRenderedPageBreak/>
        <w:t>An Exploration of Mental Disorders and Psychopathology in Children Aged 10–12 and the Implications for Early Intervention in Health and Social Care.</w:t>
      </w:r>
    </w:p>
    <w:p w14:paraId="7604A1EA" w14:textId="77777777" w:rsidR="002A6C0D" w:rsidRPr="0039386E" w:rsidRDefault="002A6C0D"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52"/>
          <w:szCs w:val="52"/>
        </w:rPr>
      </w:pPr>
    </w:p>
    <w:p w14:paraId="6DB122B7" w14:textId="5E1147A5" w:rsidR="00995444" w:rsidRPr="0039386E" w:rsidRDefault="002A6C0D"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52"/>
          <w:szCs w:val="52"/>
        </w:rPr>
      </w:pPr>
      <w:r w:rsidRPr="0039386E">
        <w:rPr>
          <w:rFonts w:ascii="Arial" w:eastAsia="Arial Unicode MS" w:hAnsi="Arial" w:cs="Arial"/>
          <w:b/>
          <w:sz w:val="52"/>
          <w:szCs w:val="52"/>
        </w:rPr>
        <w:t>Fateha Altafi (2309157)</w:t>
      </w:r>
    </w:p>
    <w:p w14:paraId="3F8DA723" w14:textId="77777777" w:rsidR="00995444" w:rsidRPr="0039386E" w:rsidRDefault="00995444"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sz w:val="18"/>
          <w:szCs w:val="18"/>
        </w:rPr>
      </w:pPr>
    </w:p>
    <w:p w14:paraId="3851CFD8" w14:textId="77777777" w:rsidR="00995444" w:rsidRPr="0039386E" w:rsidRDefault="00995444"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39386E">
        <w:rPr>
          <w:rFonts w:ascii="Arial" w:eastAsia="Arial Unicode MS" w:hAnsi="Arial" w:cs="Arial"/>
        </w:rPr>
        <w:tab/>
      </w:r>
    </w:p>
    <w:p w14:paraId="359F5B0D" w14:textId="77777777" w:rsidR="00995444" w:rsidRPr="0039386E" w:rsidRDefault="00995444"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11885DD2" w14:textId="77777777" w:rsidR="00995444" w:rsidRPr="0039386E" w:rsidRDefault="00995444"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2057C793" w14:textId="103D0F80" w:rsidR="00995444" w:rsidRPr="0039386E" w:rsidRDefault="00995444" w:rsidP="003938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r w:rsidRPr="0039386E">
        <w:rPr>
          <w:rFonts w:ascii="Arial" w:eastAsia="Arial Unicode MS" w:hAnsi="Arial" w:cs="Arial"/>
          <w:sz w:val="40"/>
          <w:szCs w:val="40"/>
        </w:rPr>
        <w:t>Dissertation submitted as part of the requirements for the award BSc (Hons) Health and Social Care</w:t>
      </w:r>
    </w:p>
    <w:p w14:paraId="65358A57" w14:textId="77777777" w:rsidR="00995444" w:rsidRPr="0039386E" w:rsidRDefault="00995444" w:rsidP="0039386E">
      <w:pPr>
        <w:rPr>
          <w:rFonts w:ascii="Arial" w:hAnsi="Arial" w:cs="Arial"/>
        </w:rPr>
      </w:pPr>
    </w:p>
    <w:p w14:paraId="344E7C8D" w14:textId="77777777" w:rsidR="000144E0" w:rsidRDefault="000144E0" w:rsidP="0039386E">
      <w:pPr>
        <w:rPr>
          <w:rFonts w:ascii="Arial" w:hAnsi="Arial" w:cs="Arial"/>
          <w:sz w:val="24"/>
          <w:szCs w:val="24"/>
        </w:rPr>
      </w:pPr>
    </w:p>
    <w:p w14:paraId="6596BDD1" w14:textId="77777777" w:rsidR="009D4BB1" w:rsidRDefault="009D4BB1" w:rsidP="0039386E">
      <w:pPr>
        <w:rPr>
          <w:rFonts w:ascii="Arial" w:hAnsi="Arial" w:cs="Arial"/>
          <w:sz w:val="24"/>
          <w:szCs w:val="24"/>
        </w:rPr>
      </w:pPr>
    </w:p>
    <w:p w14:paraId="1CF62147" w14:textId="77777777" w:rsidR="009D4BB1" w:rsidRDefault="009D4BB1" w:rsidP="0039386E">
      <w:pPr>
        <w:rPr>
          <w:rFonts w:ascii="Arial" w:hAnsi="Arial" w:cs="Arial"/>
          <w:sz w:val="24"/>
          <w:szCs w:val="24"/>
        </w:rPr>
      </w:pPr>
    </w:p>
    <w:p w14:paraId="7CD38454" w14:textId="77777777" w:rsidR="009D4BB1" w:rsidRPr="0039386E" w:rsidRDefault="009D4BB1" w:rsidP="0039386E">
      <w:pPr>
        <w:rPr>
          <w:rFonts w:ascii="Arial" w:hAnsi="Arial" w:cs="Arial"/>
          <w:sz w:val="24"/>
          <w:szCs w:val="24"/>
        </w:rPr>
      </w:pPr>
    </w:p>
    <w:p w14:paraId="0F4A849F" w14:textId="5DA7E3A2" w:rsidR="00995444" w:rsidRPr="0039386E" w:rsidRDefault="00995444" w:rsidP="0039386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24"/>
          <w:szCs w:val="24"/>
        </w:rPr>
      </w:pPr>
      <w:r w:rsidRPr="0039386E">
        <w:rPr>
          <w:rFonts w:ascii="Arial" w:eastAsia="Arial Unicode MS" w:hAnsi="Arial" w:cs="Arial"/>
          <w:b/>
          <w:sz w:val="32"/>
          <w:szCs w:val="32"/>
        </w:rPr>
        <w:lastRenderedPageBreak/>
        <w:t>ACKNOWLEDGEMENTS</w:t>
      </w:r>
      <w:r w:rsidRPr="0039386E">
        <w:rPr>
          <w:rFonts w:ascii="Arial" w:eastAsia="Arial Unicode MS" w:hAnsi="Arial" w:cs="Arial"/>
          <w:b/>
          <w:sz w:val="24"/>
          <w:szCs w:val="24"/>
        </w:rPr>
        <w:t xml:space="preserve"> </w:t>
      </w:r>
    </w:p>
    <w:p w14:paraId="59FE7B68" w14:textId="77777777" w:rsidR="00DD08BF" w:rsidRPr="0039386E" w:rsidRDefault="00DD08BF" w:rsidP="0039386E">
      <w:pPr>
        <w:rPr>
          <w:rFonts w:ascii="Arial" w:eastAsia="Times New Roman" w:hAnsi="Arial" w:cs="Arial"/>
          <w:color w:val="333333"/>
          <w:kern w:val="0"/>
          <w:lang w:eastAsia="en-GB"/>
          <w14:ligatures w14:val="none"/>
        </w:rPr>
      </w:pPr>
      <w:r w:rsidRPr="0039386E">
        <w:rPr>
          <w:rFonts w:ascii="Arial" w:eastAsia="Times New Roman" w:hAnsi="Arial" w:cs="Arial"/>
          <w:color w:val="333333"/>
          <w:kern w:val="0"/>
          <w:lang w:eastAsia="en-GB"/>
          <w14:ligatures w14:val="none"/>
        </w:rPr>
        <w:t>I would like to express my sincere gratitude to my tutor, Chloe Harris, for her valuable guidance, encouragement and support throughout this dissertation. Her feedback and advice have been greatly appreciated. I would also like to thank my friends and family for their continued moral support, patience and encouragement during my studies.</w:t>
      </w:r>
    </w:p>
    <w:p w14:paraId="40A3E6C2" w14:textId="77777777" w:rsidR="00995444" w:rsidRPr="0039386E" w:rsidRDefault="00995444" w:rsidP="0039386E">
      <w:pPr>
        <w:rPr>
          <w:rFonts w:ascii="Arial" w:hAnsi="Arial" w:cs="Arial"/>
        </w:rPr>
      </w:pPr>
    </w:p>
    <w:p w14:paraId="7EA8A979" w14:textId="77777777" w:rsidR="0073280B" w:rsidRPr="0039386E" w:rsidRDefault="0073280B" w:rsidP="0039386E">
      <w:pPr>
        <w:rPr>
          <w:rFonts w:ascii="Arial" w:hAnsi="Arial" w:cs="Arial"/>
        </w:rPr>
      </w:pPr>
    </w:p>
    <w:p w14:paraId="24382F47" w14:textId="77777777" w:rsidR="0073280B" w:rsidRPr="0039386E" w:rsidRDefault="0073280B" w:rsidP="0039386E">
      <w:pPr>
        <w:rPr>
          <w:rFonts w:ascii="Arial" w:hAnsi="Arial" w:cs="Arial"/>
        </w:rPr>
      </w:pPr>
    </w:p>
    <w:p w14:paraId="6A8FCE15" w14:textId="77777777" w:rsidR="0073280B" w:rsidRPr="0039386E" w:rsidRDefault="0073280B" w:rsidP="0039386E">
      <w:pPr>
        <w:rPr>
          <w:rFonts w:ascii="Arial" w:hAnsi="Arial" w:cs="Arial"/>
        </w:rPr>
      </w:pPr>
    </w:p>
    <w:p w14:paraId="5B45260B" w14:textId="77777777" w:rsidR="0073280B" w:rsidRPr="0039386E" w:rsidRDefault="0073280B" w:rsidP="0039386E">
      <w:pPr>
        <w:rPr>
          <w:rFonts w:ascii="Arial" w:hAnsi="Arial" w:cs="Arial"/>
        </w:rPr>
      </w:pPr>
    </w:p>
    <w:p w14:paraId="29F99602" w14:textId="77777777" w:rsidR="0073280B" w:rsidRPr="0039386E" w:rsidRDefault="0073280B" w:rsidP="0039386E">
      <w:pPr>
        <w:rPr>
          <w:rFonts w:ascii="Arial" w:hAnsi="Arial" w:cs="Arial"/>
        </w:rPr>
      </w:pPr>
    </w:p>
    <w:p w14:paraId="7FFDFCFF" w14:textId="77777777" w:rsidR="0073280B" w:rsidRPr="0039386E" w:rsidRDefault="0073280B" w:rsidP="0039386E">
      <w:pPr>
        <w:rPr>
          <w:rFonts w:ascii="Arial" w:hAnsi="Arial" w:cs="Arial"/>
        </w:rPr>
      </w:pPr>
    </w:p>
    <w:p w14:paraId="1E61CB56" w14:textId="77777777" w:rsidR="0073280B" w:rsidRPr="0039386E" w:rsidRDefault="0073280B" w:rsidP="0039386E">
      <w:pPr>
        <w:rPr>
          <w:rFonts w:ascii="Arial" w:hAnsi="Arial" w:cs="Arial"/>
        </w:rPr>
      </w:pPr>
    </w:p>
    <w:p w14:paraId="4650381F" w14:textId="77777777" w:rsidR="0073280B" w:rsidRPr="0039386E" w:rsidRDefault="0073280B" w:rsidP="0039386E">
      <w:pPr>
        <w:rPr>
          <w:rFonts w:ascii="Arial" w:hAnsi="Arial" w:cs="Arial"/>
        </w:rPr>
      </w:pPr>
    </w:p>
    <w:p w14:paraId="413A9F5D" w14:textId="77777777" w:rsidR="0073280B" w:rsidRPr="0039386E" w:rsidRDefault="0073280B" w:rsidP="0039386E">
      <w:pPr>
        <w:rPr>
          <w:rFonts w:ascii="Arial" w:hAnsi="Arial" w:cs="Arial"/>
        </w:rPr>
      </w:pPr>
    </w:p>
    <w:p w14:paraId="0F7E2C83" w14:textId="77777777" w:rsidR="0073280B" w:rsidRPr="0039386E" w:rsidRDefault="0073280B" w:rsidP="0039386E">
      <w:pPr>
        <w:rPr>
          <w:rFonts w:ascii="Arial" w:hAnsi="Arial" w:cs="Arial"/>
        </w:rPr>
      </w:pPr>
    </w:p>
    <w:p w14:paraId="68D32102" w14:textId="77777777" w:rsidR="0073280B" w:rsidRPr="0039386E" w:rsidRDefault="0073280B" w:rsidP="0039386E">
      <w:pPr>
        <w:rPr>
          <w:rFonts w:ascii="Arial" w:hAnsi="Arial" w:cs="Arial"/>
        </w:rPr>
      </w:pPr>
    </w:p>
    <w:p w14:paraId="3269986A" w14:textId="77777777" w:rsidR="0073280B" w:rsidRPr="0039386E" w:rsidRDefault="0073280B" w:rsidP="0039386E">
      <w:pPr>
        <w:rPr>
          <w:rFonts w:ascii="Arial" w:hAnsi="Arial" w:cs="Arial"/>
        </w:rPr>
      </w:pPr>
    </w:p>
    <w:p w14:paraId="26B038C1" w14:textId="77777777" w:rsidR="0073280B" w:rsidRPr="0039386E" w:rsidRDefault="0073280B" w:rsidP="0039386E">
      <w:pPr>
        <w:rPr>
          <w:rFonts w:ascii="Arial" w:hAnsi="Arial" w:cs="Arial"/>
        </w:rPr>
      </w:pPr>
    </w:p>
    <w:p w14:paraId="6C0EC770" w14:textId="77777777" w:rsidR="0073280B" w:rsidRPr="0039386E" w:rsidRDefault="0073280B" w:rsidP="0039386E">
      <w:pPr>
        <w:rPr>
          <w:rFonts w:ascii="Arial" w:hAnsi="Arial" w:cs="Arial"/>
        </w:rPr>
      </w:pPr>
    </w:p>
    <w:p w14:paraId="2B5385EA" w14:textId="77777777" w:rsidR="00DD08BF" w:rsidRPr="0039386E" w:rsidRDefault="00DD08BF" w:rsidP="0039386E">
      <w:pPr>
        <w:rPr>
          <w:rFonts w:ascii="Arial" w:hAnsi="Arial" w:cs="Arial"/>
        </w:rPr>
      </w:pPr>
    </w:p>
    <w:p w14:paraId="00F06730" w14:textId="77777777" w:rsidR="00DD08BF" w:rsidRPr="0039386E" w:rsidRDefault="00DD08BF" w:rsidP="0039386E">
      <w:pPr>
        <w:rPr>
          <w:rFonts w:ascii="Arial" w:hAnsi="Arial" w:cs="Arial"/>
        </w:rPr>
      </w:pPr>
    </w:p>
    <w:p w14:paraId="16D78A60" w14:textId="77777777" w:rsidR="0073280B" w:rsidRPr="0039386E" w:rsidRDefault="0073280B" w:rsidP="0039386E">
      <w:pPr>
        <w:rPr>
          <w:rFonts w:ascii="Arial" w:hAnsi="Arial" w:cs="Arial"/>
        </w:rPr>
      </w:pPr>
    </w:p>
    <w:p w14:paraId="0764D30B" w14:textId="77777777" w:rsidR="000144E0" w:rsidRDefault="000144E0" w:rsidP="0039386E">
      <w:pPr>
        <w:rPr>
          <w:rFonts w:ascii="Arial" w:hAnsi="Arial" w:cs="Arial"/>
        </w:rPr>
      </w:pPr>
    </w:p>
    <w:p w14:paraId="66472647" w14:textId="77777777" w:rsidR="009D4BB1" w:rsidRDefault="009D4BB1" w:rsidP="0039386E">
      <w:pPr>
        <w:rPr>
          <w:rFonts w:ascii="Arial" w:hAnsi="Arial" w:cs="Arial"/>
        </w:rPr>
      </w:pPr>
    </w:p>
    <w:p w14:paraId="1E517596" w14:textId="77777777" w:rsidR="009D4BB1" w:rsidRPr="0039386E" w:rsidRDefault="009D4BB1" w:rsidP="0039386E">
      <w:pPr>
        <w:rPr>
          <w:rFonts w:ascii="Arial" w:hAnsi="Arial" w:cs="Arial"/>
        </w:rPr>
      </w:pPr>
    </w:p>
    <w:p w14:paraId="310D40A5" w14:textId="187E67CB" w:rsidR="0073280B" w:rsidRPr="0039386E" w:rsidRDefault="0073280B" w:rsidP="0039386E">
      <w:pPr>
        <w:pStyle w:val="Heading1"/>
        <w:jc w:val="both"/>
        <w:rPr>
          <w:rFonts w:cs="Arial"/>
          <w:i/>
        </w:rPr>
      </w:pPr>
      <w:r w:rsidRPr="0039386E">
        <w:rPr>
          <w:rFonts w:cs="Arial"/>
        </w:rPr>
        <w:lastRenderedPageBreak/>
        <w:t xml:space="preserve">ABSTRACT </w:t>
      </w:r>
      <w:r w:rsidRPr="0039386E">
        <w:rPr>
          <w:rFonts w:cs="Arial"/>
          <w:i/>
        </w:rPr>
        <w:t xml:space="preserve"> </w:t>
      </w:r>
    </w:p>
    <w:p w14:paraId="1EC1DB6E" w14:textId="77777777" w:rsidR="00583E08" w:rsidRPr="0039386E" w:rsidRDefault="00583E08" w:rsidP="0039386E">
      <w:pPr>
        <w:pStyle w:val="Heading1"/>
        <w:jc w:val="both"/>
        <w:rPr>
          <w:rFonts w:cs="Arial"/>
        </w:rPr>
      </w:pPr>
    </w:p>
    <w:p w14:paraId="2EC8D647" w14:textId="77777777" w:rsidR="002A6C0D" w:rsidRPr="0039386E" w:rsidRDefault="002A6C0D" w:rsidP="0039386E">
      <w:pPr>
        <w:rPr>
          <w:rFonts w:ascii="Arial" w:eastAsia="Arial Unicode MS" w:hAnsi="Arial" w:cs="Arial"/>
        </w:rPr>
      </w:pPr>
      <w:r w:rsidRPr="0039386E">
        <w:rPr>
          <w:rFonts w:ascii="Arial" w:eastAsia="Arial Unicode MS" w:hAnsi="Arial" w:cs="Arial"/>
        </w:rPr>
        <w:t>This dissertation explores mental disorders and psychopathology in children aged 10–12 years and examines the implications for early intervention within UK health and social care. Late childhood is an important developmental period in which emotional, behavioural, educational and social difficulties may emerge, become more visible or remain unrecognised. Understanding these difficulties is therefore important for supporting children’s wellbeing and preventing adverse longer-term outcomes.</w:t>
      </w:r>
    </w:p>
    <w:p w14:paraId="69D12F1E" w14:textId="77777777" w:rsidR="002A6C0D" w:rsidRPr="0039386E" w:rsidRDefault="002A6C0D" w:rsidP="0039386E">
      <w:pPr>
        <w:rPr>
          <w:rFonts w:ascii="Arial" w:eastAsia="Arial Unicode MS" w:hAnsi="Arial" w:cs="Arial"/>
        </w:rPr>
      </w:pPr>
      <w:r w:rsidRPr="0039386E">
        <w:rPr>
          <w:rFonts w:ascii="Arial" w:eastAsia="Arial Unicode MS" w:hAnsi="Arial" w:cs="Arial"/>
        </w:rPr>
        <w:t>The study used desk-based secondary research, drawing on peer-reviewed literature, UK policy documents, clinical guidance and official reports. A structured search process was used to identify relevant evidence, which was synthesised using thematic analysis. Four themes were developed: internalising disorders in children aged 10–12 years; externalising disorders in children aged 10–12 years; biopsychosocial risk factors associated with childhood psychopathology; and early intervention within UK health and social care.</w:t>
      </w:r>
    </w:p>
    <w:p w14:paraId="19097D20" w14:textId="77777777" w:rsidR="002A6C0D" w:rsidRPr="0039386E" w:rsidRDefault="002A6C0D" w:rsidP="0039386E">
      <w:pPr>
        <w:rPr>
          <w:rFonts w:ascii="Arial" w:eastAsia="Arial Unicode MS" w:hAnsi="Arial" w:cs="Arial"/>
        </w:rPr>
      </w:pPr>
      <w:r w:rsidRPr="0039386E">
        <w:rPr>
          <w:rFonts w:ascii="Arial" w:eastAsia="Arial Unicode MS" w:hAnsi="Arial" w:cs="Arial"/>
        </w:rPr>
        <w:t>The findings indicate that anxiety, depression, attention-deficit/hyperactivity disorder and conduct disorder are important concerns in this age group. Internalising difficulties can be less visible and may therefore be overlooked, whereas externalising difficulties can affect learning, relationships and family life. The evidence also shows that childhood psychopathology is shaped by interacting biological, psychological and social influences, including family relationships, adverse childhood experiences, socioeconomic disadvantage, peer experiences and school environments. Although early support through schools, families, primary care and Child and Adolescent Mental Health Services can improve identification and access to help, provision remains affected by waiting times, service pressures, regional variation and inequalities.</w:t>
      </w:r>
    </w:p>
    <w:p w14:paraId="1C11E555" w14:textId="77777777" w:rsidR="002A6C0D" w:rsidRPr="0039386E" w:rsidRDefault="002A6C0D" w:rsidP="0039386E">
      <w:pPr>
        <w:rPr>
          <w:rFonts w:ascii="Arial" w:eastAsia="Arial Unicode MS" w:hAnsi="Arial" w:cs="Arial"/>
        </w:rPr>
      </w:pPr>
      <w:r w:rsidRPr="0039386E">
        <w:rPr>
          <w:rFonts w:ascii="Arial" w:eastAsia="Arial Unicode MS" w:hAnsi="Arial" w:cs="Arial"/>
        </w:rPr>
        <w:t>The dissertation concludes that early intervention should be coordinated, child-centred, family-focused and responsive to the developmental needs of children aged 10–12 years. It recommends improved mental-health training within schools, greater access to CAMHS, stronger multidisciplinary partnership working and expanded family-centred preventative support. Further age-specific research is needed to strengthen policy, improve service planning and inform effective practice across UK health and social care for children and families.</w:t>
      </w:r>
    </w:p>
    <w:p w14:paraId="1EDA5561" w14:textId="77777777" w:rsidR="00730C3C" w:rsidRPr="0039386E" w:rsidRDefault="00730C3C" w:rsidP="0039386E">
      <w:pPr>
        <w:rPr>
          <w:rFonts w:ascii="Arial" w:hAnsi="Arial" w:cs="Arial"/>
        </w:rPr>
      </w:pPr>
    </w:p>
    <w:p w14:paraId="72CB7F2C" w14:textId="77777777" w:rsidR="00804B94" w:rsidRPr="0039386E" w:rsidRDefault="00804B94" w:rsidP="0039386E">
      <w:pPr>
        <w:pStyle w:val="Heading1"/>
        <w:jc w:val="both"/>
        <w:rPr>
          <w:rFonts w:cs="Arial"/>
        </w:rPr>
      </w:pPr>
    </w:p>
    <w:p w14:paraId="53EA080D" w14:textId="77777777" w:rsidR="000F25D9" w:rsidRPr="0039386E" w:rsidRDefault="000F25D9" w:rsidP="0039386E">
      <w:pPr>
        <w:pStyle w:val="Heading1"/>
        <w:jc w:val="both"/>
        <w:rPr>
          <w:rFonts w:cs="Arial"/>
        </w:rPr>
      </w:pPr>
    </w:p>
    <w:p w14:paraId="15BFA27A" w14:textId="49FBF17F" w:rsidR="00804B94" w:rsidRPr="0039386E" w:rsidRDefault="00804B94" w:rsidP="0039386E">
      <w:pPr>
        <w:pStyle w:val="Heading1"/>
        <w:spacing w:line="360" w:lineRule="auto"/>
        <w:ind w:left="0"/>
        <w:jc w:val="both"/>
        <w:rPr>
          <w:rFonts w:cs="Arial"/>
        </w:rPr>
      </w:pPr>
      <w:r w:rsidRPr="0039386E">
        <w:rPr>
          <w:rFonts w:cs="Arial"/>
        </w:rPr>
        <w:lastRenderedPageBreak/>
        <w:t>Table of Contents</w:t>
      </w:r>
    </w:p>
    <w:p w14:paraId="33C70BBD" w14:textId="3E59CACB"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Declaration </w:t>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Pr="0039386E">
        <w:rPr>
          <w:rFonts w:cs="Arial"/>
          <w:sz w:val="28"/>
          <w:szCs w:val="28"/>
        </w:rPr>
        <w:t>[</w:t>
      </w:r>
      <w:r w:rsidR="000144E0" w:rsidRPr="0039386E">
        <w:rPr>
          <w:rFonts w:cs="Arial"/>
          <w:sz w:val="28"/>
          <w:szCs w:val="28"/>
        </w:rPr>
        <w:t>2</w:t>
      </w:r>
      <w:r w:rsidRPr="0039386E">
        <w:rPr>
          <w:rFonts w:cs="Arial"/>
          <w:sz w:val="28"/>
          <w:szCs w:val="28"/>
        </w:rPr>
        <w:t>]</w:t>
      </w:r>
    </w:p>
    <w:p w14:paraId="761A153E" w14:textId="6462D387"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Abstract </w:t>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00DD08BF" w:rsidRPr="0039386E">
        <w:rPr>
          <w:rFonts w:cs="Arial"/>
          <w:sz w:val="28"/>
          <w:szCs w:val="28"/>
        </w:rPr>
        <w:tab/>
      </w:r>
      <w:r w:rsidRPr="0039386E">
        <w:rPr>
          <w:rFonts w:cs="Arial"/>
          <w:sz w:val="28"/>
          <w:szCs w:val="28"/>
        </w:rPr>
        <w:t>[</w:t>
      </w:r>
      <w:r w:rsidR="000144E0" w:rsidRPr="0039386E">
        <w:rPr>
          <w:rFonts w:cs="Arial"/>
          <w:sz w:val="28"/>
          <w:szCs w:val="28"/>
        </w:rPr>
        <w:t>5</w:t>
      </w:r>
      <w:r w:rsidRPr="0039386E">
        <w:rPr>
          <w:rFonts w:cs="Arial"/>
          <w:sz w:val="28"/>
          <w:szCs w:val="28"/>
        </w:rPr>
        <w:t>]</w:t>
      </w:r>
    </w:p>
    <w:p w14:paraId="61ADF115" w14:textId="168BA1DB"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CHAPTER 1: INTRODUCTION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8</w:t>
      </w:r>
      <w:r w:rsidR="004A40C4" w:rsidRPr="0039386E">
        <w:rPr>
          <w:rFonts w:cs="Arial"/>
          <w:sz w:val="28"/>
          <w:szCs w:val="28"/>
        </w:rPr>
        <w:t>]</w:t>
      </w:r>
    </w:p>
    <w:p w14:paraId="6906971B" w14:textId="2060A5FC"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CHAPTER 2: BACKGROUND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11</w:t>
      </w:r>
      <w:r w:rsidR="004A40C4" w:rsidRPr="0039386E">
        <w:rPr>
          <w:rFonts w:cs="Arial"/>
          <w:sz w:val="28"/>
          <w:szCs w:val="28"/>
        </w:rPr>
        <w:t>]</w:t>
      </w:r>
    </w:p>
    <w:p w14:paraId="3CDFD6E7" w14:textId="7E0194A2" w:rsidR="000F25D9" w:rsidRPr="0039386E" w:rsidRDefault="000F25D9" w:rsidP="0039386E">
      <w:pPr>
        <w:pStyle w:val="Heading1"/>
        <w:spacing w:line="360" w:lineRule="auto"/>
        <w:jc w:val="both"/>
        <w:rPr>
          <w:rFonts w:cs="Arial"/>
          <w:sz w:val="28"/>
          <w:szCs w:val="28"/>
        </w:rPr>
      </w:pPr>
      <w:r w:rsidRPr="0039386E">
        <w:rPr>
          <w:rFonts w:cs="Arial"/>
          <w:sz w:val="28"/>
          <w:szCs w:val="28"/>
        </w:rPr>
        <w:t>CHAPTER 3: RESEARCH METHODOLOGY</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17</w:t>
      </w:r>
      <w:r w:rsidR="004A40C4" w:rsidRPr="0039386E">
        <w:rPr>
          <w:rFonts w:cs="Arial"/>
          <w:sz w:val="28"/>
          <w:szCs w:val="28"/>
        </w:rPr>
        <w:t>]</w:t>
      </w:r>
      <w:r w:rsidRPr="0039386E">
        <w:rPr>
          <w:rFonts w:cs="Arial"/>
          <w:sz w:val="28"/>
          <w:szCs w:val="28"/>
        </w:rPr>
        <w:t xml:space="preserve"> </w:t>
      </w:r>
    </w:p>
    <w:p w14:paraId="72442B90" w14:textId="1E61342F"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3.1 Research Design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17</w:t>
      </w:r>
      <w:r w:rsidR="004A40C4" w:rsidRPr="0039386E">
        <w:rPr>
          <w:rFonts w:cs="Arial"/>
          <w:sz w:val="28"/>
          <w:szCs w:val="28"/>
        </w:rPr>
        <w:t>]</w:t>
      </w:r>
    </w:p>
    <w:p w14:paraId="3C4836BD" w14:textId="64B272BE"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3.2 Search Strategy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17</w:t>
      </w:r>
      <w:r w:rsidR="004A40C4" w:rsidRPr="0039386E">
        <w:rPr>
          <w:rFonts w:cs="Arial"/>
          <w:sz w:val="28"/>
          <w:szCs w:val="28"/>
        </w:rPr>
        <w:t>]</w:t>
      </w:r>
    </w:p>
    <w:p w14:paraId="3968BB37" w14:textId="5C3BF724"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3.3 Inclusion and Exclusion Criteria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18</w:t>
      </w:r>
      <w:r w:rsidR="004A40C4" w:rsidRPr="0039386E">
        <w:rPr>
          <w:rFonts w:cs="Arial"/>
          <w:sz w:val="28"/>
          <w:szCs w:val="28"/>
        </w:rPr>
        <w:t>]</w:t>
      </w:r>
    </w:p>
    <w:p w14:paraId="01E2FC8F" w14:textId="77B3A706"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3.4 Data Analysis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18</w:t>
      </w:r>
      <w:r w:rsidR="004A40C4" w:rsidRPr="0039386E">
        <w:rPr>
          <w:rFonts w:cs="Arial"/>
          <w:sz w:val="28"/>
          <w:szCs w:val="28"/>
        </w:rPr>
        <w:t>]</w:t>
      </w:r>
    </w:p>
    <w:p w14:paraId="7BFFA9AD" w14:textId="3918B7E5"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3.5 Ethical Considerations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19</w:t>
      </w:r>
      <w:r w:rsidR="004A40C4" w:rsidRPr="0039386E">
        <w:rPr>
          <w:rFonts w:cs="Arial"/>
          <w:sz w:val="28"/>
          <w:szCs w:val="28"/>
        </w:rPr>
        <w:t>]</w:t>
      </w:r>
    </w:p>
    <w:p w14:paraId="1A1D46BE" w14:textId="0919D380"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3.6 Research Quality and Trustworthiness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19</w:t>
      </w:r>
      <w:r w:rsidR="004A40C4" w:rsidRPr="0039386E">
        <w:rPr>
          <w:rFonts w:cs="Arial"/>
          <w:sz w:val="28"/>
          <w:szCs w:val="28"/>
        </w:rPr>
        <w:t>]</w:t>
      </w:r>
    </w:p>
    <w:p w14:paraId="702F98FF" w14:textId="46FF61D6"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3.7 Summary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19</w:t>
      </w:r>
      <w:r w:rsidR="004A40C4" w:rsidRPr="0039386E">
        <w:rPr>
          <w:rFonts w:cs="Arial"/>
          <w:sz w:val="28"/>
          <w:szCs w:val="28"/>
        </w:rPr>
        <w:t>]</w:t>
      </w:r>
    </w:p>
    <w:p w14:paraId="6D0D74C2" w14:textId="6678DF2E"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CHAPTER 4: RESULTS AND DISCUSSION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20</w:t>
      </w:r>
      <w:r w:rsidR="004A40C4" w:rsidRPr="0039386E">
        <w:rPr>
          <w:rFonts w:cs="Arial"/>
          <w:sz w:val="28"/>
          <w:szCs w:val="28"/>
        </w:rPr>
        <w:t>]</w:t>
      </w:r>
    </w:p>
    <w:p w14:paraId="384515B6" w14:textId="31E0FE1B"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4.1 Introduction to Findings and Discussion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BC5816" w:rsidRPr="0039386E">
        <w:rPr>
          <w:rFonts w:cs="Arial"/>
          <w:sz w:val="28"/>
          <w:szCs w:val="28"/>
        </w:rPr>
        <w:t>20</w:t>
      </w:r>
      <w:r w:rsidR="004A40C4" w:rsidRPr="0039386E">
        <w:rPr>
          <w:rFonts w:cs="Arial"/>
          <w:sz w:val="28"/>
          <w:szCs w:val="28"/>
        </w:rPr>
        <w:t>]</w:t>
      </w:r>
    </w:p>
    <w:p w14:paraId="4D5EBBDC" w14:textId="69D2533A" w:rsidR="000F25D9" w:rsidRPr="0039386E" w:rsidRDefault="000F25D9" w:rsidP="0039386E">
      <w:pPr>
        <w:pStyle w:val="Heading1"/>
        <w:spacing w:line="360" w:lineRule="auto"/>
        <w:jc w:val="both"/>
        <w:rPr>
          <w:rFonts w:cs="Arial"/>
          <w:sz w:val="28"/>
          <w:szCs w:val="28"/>
        </w:rPr>
      </w:pPr>
      <w:r w:rsidRPr="0039386E">
        <w:rPr>
          <w:rFonts w:cs="Arial"/>
          <w:sz w:val="28"/>
          <w:szCs w:val="28"/>
        </w:rPr>
        <w:t>4.2 Theme One</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21</w:t>
      </w:r>
      <w:r w:rsidR="004A40C4" w:rsidRPr="0039386E">
        <w:rPr>
          <w:rFonts w:cs="Arial"/>
          <w:sz w:val="28"/>
          <w:szCs w:val="28"/>
        </w:rPr>
        <w:t>]</w:t>
      </w:r>
    </w:p>
    <w:p w14:paraId="4659D178" w14:textId="3205C9EE" w:rsidR="000F25D9" w:rsidRPr="0039386E" w:rsidRDefault="000F25D9" w:rsidP="0039386E">
      <w:pPr>
        <w:pStyle w:val="Heading1"/>
        <w:spacing w:line="360" w:lineRule="auto"/>
        <w:jc w:val="both"/>
        <w:rPr>
          <w:rFonts w:cs="Arial"/>
          <w:sz w:val="28"/>
          <w:szCs w:val="28"/>
        </w:rPr>
      </w:pPr>
      <w:r w:rsidRPr="0039386E">
        <w:rPr>
          <w:rFonts w:cs="Arial"/>
          <w:sz w:val="28"/>
          <w:szCs w:val="28"/>
        </w:rPr>
        <w:t>4.3 Theme Two</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23</w:t>
      </w:r>
      <w:r w:rsidR="004A40C4" w:rsidRPr="0039386E">
        <w:rPr>
          <w:rFonts w:cs="Arial"/>
          <w:sz w:val="28"/>
          <w:szCs w:val="28"/>
        </w:rPr>
        <w:t>]</w:t>
      </w:r>
    </w:p>
    <w:p w14:paraId="7EC5CDAB" w14:textId="232086E8" w:rsidR="000F25D9" w:rsidRPr="0039386E" w:rsidRDefault="000F25D9" w:rsidP="0039386E">
      <w:pPr>
        <w:pStyle w:val="Heading1"/>
        <w:spacing w:line="360" w:lineRule="auto"/>
        <w:jc w:val="both"/>
        <w:rPr>
          <w:rFonts w:cs="Arial"/>
          <w:sz w:val="28"/>
          <w:szCs w:val="28"/>
        </w:rPr>
      </w:pPr>
      <w:r w:rsidRPr="0039386E">
        <w:rPr>
          <w:rFonts w:cs="Arial"/>
          <w:sz w:val="28"/>
          <w:szCs w:val="28"/>
        </w:rPr>
        <w:t>4.4 Theme Three</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2</w:t>
      </w:r>
      <w:r w:rsidR="004A40C4" w:rsidRPr="0039386E">
        <w:rPr>
          <w:rFonts w:cs="Arial"/>
          <w:sz w:val="28"/>
          <w:szCs w:val="28"/>
        </w:rPr>
        <w:t>5]</w:t>
      </w:r>
    </w:p>
    <w:p w14:paraId="05701A9A" w14:textId="4E010B9D" w:rsidR="000F25D9" w:rsidRPr="0039386E" w:rsidRDefault="000F25D9" w:rsidP="0039386E">
      <w:pPr>
        <w:pStyle w:val="Heading1"/>
        <w:spacing w:line="360" w:lineRule="auto"/>
        <w:jc w:val="both"/>
        <w:rPr>
          <w:rFonts w:cs="Arial"/>
          <w:sz w:val="28"/>
          <w:szCs w:val="28"/>
        </w:rPr>
      </w:pPr>
      <w:r w:rsidRPr="0039386E">
        <w:rPr>
          <w:rFonts w:cs="Arial"/>
          <w:sz w:val="28"/>
          <w:szCs w:val="28"/>
        </w:rPr>
        <w:t>4.5 Theme Four</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27</w:t>
      </w:r>
      <w:r w:rsidR="004A40C4" w:rsidRPr="0039386E">
        <w:rPr>
          <w:rFonts w:cs="Arial"/>
          <w:sz w:val="28"/>
          <w:szCs w:val="28"/>
        </w:rPr>
        <w:t>]</w:t>
      </w:r>
    </w:p>
    <w:p w14:paraId="38B934A0" w14:textId="57F7FBD2"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4.6 Chapter Summary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30</w:t>
      </w:r>
      <w:r w:rsidR="004A40C4" w:rsidRPr="0039386E">
        <w:rPr>
          <w:rFonts w:cs="Arial"/>
          <w:sz w:val="28"/>
          <w:szCs w:val="28"/>
        </w:rPr>
        <w:t>]</w:t>
      </w:r>
    </w:p>
    <w:p w14:paraId="3424BE2F" w14:textId="301C8810"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CHAPTER 5: CONCLUSION AND RECOMMENDATIONS </w:t>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32</w:t>
      </w:r>
      <w:r w:rsidR="004A40C4" w:rsidRPr="0039386E">
        <w:rPr>
          <w:rFonts w:cs="Arial"/>
          <w:sz w:val="28"/>
          <w:szCs w:val="28"/>
        </w:rPr>
        <w:t>]</w:t>
      </w:r>
    </w:p>
    <w:p w14:paraId="00A0E5AC" w14:textId="1416010D"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5.1 Introduction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32</w:t>
      </w:r>
      <w:r w:rsidR="004A40C4" w:rsidRPr="0039386E">
        <w:rPr>
          <w:rFonts w:cs="Arial"/>
          <w:sz w:val="28"/>
          <w:szCs w:val="28"/>
        </w:rPr>
        <w:t>]</w:t>
      </w:r>
    </w:p>
    <w:p w14:paraId="3797ADBC" w14:textId="6DD7FF12"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5.2 Achievement of the Research Aim and Objectives </w:t>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32</w:t>
      </w:r>
      <w:r w:rsidR="004A40C4" w:rsidRPr="0039386E">
        <w:rPr>
          <w:rFonts w:cs="Arial"/>
          <w:sz w:val="28"/>
          <w:szCs w:val="28"/>
        </w:rPr>
        <w:t>]</w:t>
      </w:r>
    </w:p>
    <w:p w14:paraId="50F0CC41" w14:textId="32713084"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5.3 Key Conclusions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33</w:t>
      </w:r>
      <w:r w:rsidR="004A40C4" w:rsidRPr="0039386E">
        <w:rPr>
          <w:rFonts w:cs="Arial"/>
          <w:sz w:val="28"/>
          <w:szCs w:val="28"/>
        </w:rPr>
        <w:t>]</w:t>
      </w:r>
    </w:p>
    <w:p w14:paraId="40D8BF71" w14:textId="5AB3C610" w:rsidR="000F25D9" w:rsidRPr="0039386E" w:rsidRDefault="000F25D9" w:rsidP="0039386E">
      <w:pPr>
        <w:pStyle w:val="Heading1"/>
        <w:spacing w:line="360" w:lineRule="auto"/>
        <w:jc w:val="both"/>
        <w:rPr>
          <w:rFonts w:cs="Arial"/>
          <w:sz w:val="28"/>
          <w:szCs w:val="28"/>
        </w:rPr>
      </w:pPr>
      <w:r w:rsidRPr="0039386E">
        <w:rPr>
          <w:rFonts w:cs="Arial"/>
          <w:sz w:val="28"/>
          <w:szCs w:val="28"/>
        </w:rPr>
        <w:t>5.4 Recommendations for Health and Social Care Practice</w:t>
      </w:r>
      <w:r w:rsidR="004A40C4" w:rsidRPr="0039386E">
        <w:rPr>
          <w:rFonts w:cs="Arial"/>
          <w:sz w:val="28"/>
          <w:szCs w:val="28"/>
        </w:rPr>
        <w:t>[</w:t>
      </w:r>
      <w:r w:rsidR="005D69A0" w:rsidRPr="0039386E">
        <w:rPr>
          <w:rFonts w:cs="Arial"/>
          <w:sz w:val="28"/>
          <w:szCs w:val="28"/>
        </w:rPr>
        <w:t>33</w:t>
      </w:r>
      <w:r w:rsidR="004A40C4" w:rsidRPr="0039386E">
        <w:rPr>
          <w:rFonts w:cs="Arial"/>
          <w:sz w:val="28"/>
          <w:szCs w:val="28"/>
        </w:rPr>
        <w:t>]</w:t>
      </w:r>
      <w:r w:rsidRPr="0039386E">
        <w:rPr>
          <w:rFonts w:cs="Arial"/>
          <w:sz w:val="28"/>
          <w:szCs w:val="28"/>
        </w:rPr>
        <w:t xml:space="preserve"> </w:t>
      </w:r>
    </w:p>
    <w:p w14:paraId="5635261F" w14:textId="25FADEEA"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5.5 Limitations of the Study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34</w:t>
      </w:r>
      <w:r w:rsidR="004A40C4" w:rsidRPr="0039386E">
        <w:rPr>
          <w:rFonts w:cs="Arial"/>
          <w:sz w:val="28"/>
          <w:szCs w:val="28"/>
        </w:rPr>
        <w:t>]</w:t>
      </w:r>
    </w:p>
    <w:p w14:paraId="50044575" w14:textId="24467E7E"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5.6 Recommendations for Future Research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w:t>
      </w:r>
      <w:r w:rsidR="004A40C4" w:rsidRPr="0039386E">
        <w:rPr>
          <w:rFonts w:cs="Arial"/>
          <w:sz w:val="28"/>
          <w:szCs w:val="28"/>
        </w:rPr>
        <w:t>5]</w:t>
      </w:r>
    </w:p>
    <w:p w14:paraId="4EE97D4F" w14:textId="2F83CC72"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5.7 Conclusion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w:t>
      </w:r>
      <w:r w:rsidR="00D33426" w:rsidRPr="0039386E">
        <w:rPr>
          <w:rFonts w:cs="Arial"/>
          <w:sz w:val="28"/>
          <w:szCs w:val="28"/>
        </w:rPr>
        <w:t>5</w:t>
      </w:r>
      <w:r w:rsidR="004A40C4" w:rsidRPr="0039386E">
        <w:rPr>
          <w:rFonts w:cs="Arial"/>
          <w:sz w:val="28"/>
          <w:szCs w:val="28"/>
        </w:rPr>
        <w:t>]</w:t>
      </w:r>
    </w:p>
    <w:p w14:paraId="6E791770" w14:textId="25BAA53A"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REFERENCE LIST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3</w:t>
      </w:r>
      <w:r w:rsidR="00D33426" w:rsidRPr="0039386E">
        <w:rPr>
          <w:rFonts w:cs="Arial"/>
          <w:sz w:val="28"/>
          <w:szCs w:val="28"/>
        </w:rPr>
        <w:t>6-43</w:t>
      </w:r>
      <w:r w:rsidR="004A40C4" w:rsidRPr="0039386E">
        <w:rPr>
          <w:rFonts w:cs="Arial"/>
          <w:sz w:val="28"/>
          <w:szCs w:val="28"/>
        </w:rPr>
        <w:t>]</w:t>
      </w:r>
    </w:p>
    <w:p w14:paraId="3685186D" w14:textId="55712ECC" w:rsidR="000F25D9" w:rsidRPr="0039386E" w:rsidRDefault="000F25D9" w:rsidP="0039386E">
      <w:pPr>
        <w:pStyle w:val="Heading1"/>
        <w:spacing w:line="360" w:lineRule="auto"/>
        <w:jc w:val="both"/>
        <w:rPr>
          <w:rFonts w:cs="Arial"/>
          <w:sz w:val="28"/>
          <w:szCs w:val="28"/>
        </w:rPr>
      </w:pPr>
      <w:r w:rsidRPr="0039386E">
        <w:rPr>
          <w:rFonts w:cs="Arial"/>
          <w:sz w:val="28"/>
          <w:szCs w:val="28"/>
        </w:rPr>
        <w:lastRenderedPageBreak/>
        <w:t xml:space="preserve">APPENDICES </w:t>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ab/>
      </w:r>
      <w:r w:rsidR="005D69A0" w:rsidRPr="0039386E">
        <w:rPr>
          <w:rFonts w:cs="Arial"/>
          <w:sz w:val="28"/>
          <w:szCs w:val="28"/>
        </w:rPr>
        <w:t>[</w:t>
      </w:r>
      <w:r w:rsidR="005D69A0" w:rsidRPr="0039386E">
        <w:rPr>
          <w:rFonts w:cs="Arial"/>
          <w:sz w:val="28"/>
          <w:szCs w:val="28"/>
        </w:rPr>
        <w:t>44</w:t>
      </w:r>
      <w:r w:rsidR="005D69A0" w:rsidRPr="0039386E">
        <w:rPr>
          <w:rFonts w:cs="Arial"/>
          <w:sz w:val="28"/>
          <w:szCs w:val="28"/>
        </w:rPr>
        <w:t>]</w:t>
      </w:r>
    </w:p>
    <w:p w14:paraId="2B06E770" w14:textId="784AEC09"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A – Complete Search Strategy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44</w:t>
      </w:r>
      <w:r w:rsidR="004A40C4" w:rsidRPr="0039386E">
        <w:rPr>
          <w:rFonts w:cs="Arial"/>
          <w:sz w:val="28"/>
          <w:szCs w:val="28"/>
        </w:rPr>
        <w:t>]</w:t>
      </w:r>
    </w:p>
    <w:p w14:paraId="42E9855C" w14:textId="6D4E08F5"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B – PRISMA 2020 Flow Diagram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4</w:t>
      </w:r>
      <w:r w:rsidR="004A40C4" w:rsidRPr="0039386E">
        <w:rPr>
          <w:rFonts w:cs="Arial"/>
          <w:sz w:val="28"/>
          <w:szCs w:val="28"/>
        </w:rPr>
        <w:t>5]</w:t>
      </w:r>
    </w:p>
    <w:p w14:paraId="13ADF3D0" w14:textId="20D4423D"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C – Source Tracking Table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46</w:t>
      </w:r>
      <w:r w:rsidR="004A40C4" w:rsidRPr="0039386E">
        <w:rPr>
          <w:rFonts w:cs="Arial"/>
          <w:sz w:val="28"/>
          <w:szCs w:val="28"/>
        </w:rPr>
        <w:t>]</w:t>
      </w:r>
    </w:p>
    <w:p w14:paraId="136F40CA" w14:textId="5412C4E6"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D – Critical Appraisal Table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47</w:t>
      </w:r>
      <w:r w:rsidR="004A40C4" w:rsidRPr="0039386E">
        <w:rPr>
          <w:rFonts w:cs="Arial"/>
          <w:sz w:val="28"/>
          <w:szCs w:val="28"/>
        </w:rPr>
        <w:t>]</w:t>
      </w:r>
    </w:p>
    <w:p w14:paraId="2E155123" w14:textId="01F03757"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E – Themes Generated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48</w:t>
      </w:r>
      <w:r w:rsidR="004A40C4" w:rsidRPr="0039386E">
        <w:rPr>
          <w:rFonts w:cs="Arial"/>
          <w:sz w:val="28"/>
          <w:szCs w:val="28"/>
        </w:rPr>
        <w:t>]</w:t>
      </w:r>
    </w:p>
    <w:p w14:paraId="02D677B2" w14:textId="0F17F8FB"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F – Research Timeline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w:t>
      </w:r>
      <w:r w:rsidR="005D69A0" w:rsidRPr="0039386E">
        <w:rPr>
          <w:rFonts w:cs="Arial"/>
          <w:sz w:val="28"/>
          <w:szCs w:val="28"/>
        </w:rPr>
        <w:t>49</w:t>
      </w:r>
      <w:r w:rsidR="004A40C4" w:rsidRPr="0039386E">
        <w:rPr>
          <w:rFonts w:cs="Arial"/>
          <w:sz w:val="28"/>
          <w:szCs w:val="28"/>
        </w:rPr>
        <w:t>]</w:t>
      </w:r>
      <w:r w:rsidR="004A40C4" w:rsidRPr="0039386E">
        <w:rPr>
          <w:rFonts w:cs="Arial"/>
          <w:sz w:val="28"/>
          <w:szCs w:val="28"/>
        </w:rPr>
        <w:tab/>
      </w:r>
    </w:p>
    <w:p w14:paraId="78BAA22E" w14:textId="25B77792" w:rsidR="000F25D9" w:rsidRPr="0039386E" w:rsidRDefault="000F25D9" w:rsidP="0039386E">
      <w:pPr>
        <w:pStyle w:val="Heading1"/>
        <w:spacing w:line="360" w:lineRule="auto"/>
        <w:jc w:val="both"/>
        <w:rPr>
          <w:rFonts w:cs="Arial"/>
          <w:sz w:val="28"/>
          <w:szCs w:val="28"/>
        </w:rPr>
      </w:pPr>
      <w:r w:rsidRPr="0039386E">
        <w:rPr>
          <w:rFonts w:cs="Arial"/>
          <w:sz w:val="28"/>
          <w:szCs w:val="28"/>
        </w:rPr>
        <w:t xml:space="preserve">Appendix G – Ethical Considerations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[5</w:t>
      </w:r>
      <w:r w:rsidR="005D69A0" w:rsidRPr="0039386E">
        <w:rPr>
          <w:rFonts w:cs="Arial"/>
          <w:sz w:val="28"/>
          <w:szCs w:val="28"/>
        </w:rPr>
        <w:t>0</w:t>
      </w:r>
      <w:r w:rsidR="004A40C4" w:rsidRPr="0039386E">
        <w:rPr>
          <w:rFonts w:cs="Arial"/>
          <w:sz w:val="28"/>
          <w:szCs w:val="28"/>
        </w:rPr>
        <w:t>]</w:t>
      </w:r>
    </w:p>
    <w:p w14:paraId="2AECB999" w14:textId="0A72F356" w:rsidR="000F25D9" w:rsidRPr="0039386E" w:rsidRDefault="000F25D9" w:rsidP="0039386E">
      <w:pPr>
        <w:pStyle w:val="Heading1"/>
        <w:spacing w:line="360" w:lineRule="auto"/>
        <w:jc w:val="both"/>
        <w:rPr>
          <w:rFonts w:cs="Arial"/>
        </w:rPr>
      </w:pPr>
      <w:r w:rsidRPr="0039386E">
        <w:rPr>
          <w:rFonts w:cs="Arial"/>
          <w:sz w:val="28"/>
          <w:szCs w:val="28"/>
        </w:rPr>
        <w:t xml:space="preserve">Appendix H – Abbreviations </w:t>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ab/>
      </w:r>
      <w:r w:rsidR="004A40C4" w:rsidRPr="0039386E">
        <w:rPr>
          <w:rFonts w:cs="Arial"/>
          <w:sz w:val="28"/>
          <w:szCs w:val="28"/>
        </w:rPr>
        <w:t>[5</w:t>
      </w:r>
      <w:r w:rsidR="005D69A0" w:rsidRPr="0039386E">
        <w:rPr>
          <w:rFonts w:cs="Arial"/>
          <w:sz w:val="28"/>
          <w:szCs w:val="28"/>
        </w:rPr>
        <w:t>1</w:t>
      </w:r>
      <w:r w:rsidR="004A40C4" w:rsidRPr="0039386E">
        <w:rPr>
          <w:rFonts w:cs="Arial"/>
          <w:sz w:val="28"/>
          <w:szCs w:val="28"/>
        </w:rPr>
        <w:t>]</w:t>
      </w:r>
    </w:p>
    <w:p w14:paraId="36281E84" w14:textId="77777777" w:rsidR="00583E08" w:rsidRPr="0039386E" w:rsidRDefault="00583E08" w:rsidP="0039386E">
      <w:pPr>
        <w:pStyle w:val="Heading1"/>
        <w:spacing w:line="360" w:lineRule="auto"/>
        <w:ind w:left="0"/>
        <w:jc w:val="both"/>
        <w:rPr>
          <w:rFonts w:cs="Arial"/>
        </w:rPr>
      </w:pPr>
    </w:p>
    <w:p w14:paraId="53DC3A1D" w14:textId="77777777" w:rsidR="00583E08" w:rsidRPr="0039386E" w:rsidRDefault="00583E08" w:rsidP="0039386E">
      <w:pPr>
        <w:pStyle w:val="Heading1"/>
        <w:spacing w:line="360" w:lineRule="auto"/>
        <w:ind w:left="0"/>
        <w:jc w:val="both"/>
        <w:rPr>
          <w:rFonts w:cs="Arial"/>
          <w:b w:val="0"/>
        </w:rPr>
      </w:pPr>
    </w:p>
    <w:p w14:paraId="756C3EE0" w14:textId="77777777" w:rsidR="00804B94" w:rsidRPr="0039386E" w:rsidRDefault="00804B94" w:rsidP="0039386E">
      <w:pPr>
        <w:rPr>
          <w:rFonts w:ascii="Arial" w:hAnsi="Arial" w:cs="Arial"/>
        </w:rPr>
      </w:pPr>
    </w:p>
    <w:p w14:paraId="3EF52184" w14:textId="77777777" w:rsidR="00804B94" w:rsidRPr="0039386E" w:rsidRDefault="00804B94" w:rsidP="0039386E">
      <w:pPr>
        <w:rPr>
          <w:rFonts w:ascii="Arial" w:hAnsi="Arial" w:cs="Arial"/>
        </w:rPr>
      </w:pPr>
    </w:p>
    <w:p w14:paraId="52F0D83D" w14:textId="77777777" w:rsidR="00804B94" w:rsidRPr="0039386E" w:rsidRDefault="00804B94" w:rsidP="0039386E">
      <w:pPr>
        <w:rPr>
          <w:rFonts w:ascii="Arial" w:hAnsi="Arial" w:cs="Arial"/>
        </w:rPr>
      </w:pPr>
    </w:p>
    <w:p w14:paraId="4DF07CEB" w14:textId="77777777" w:rsidR="00804B94" w:rsidRPr="0039386E" w:rsidRDefault="00804B94" w:rsidP="0039386E">
      <w:pPr>
        <w:rPr>
          <w:rFonts w:ascii="Arial" w:hAnsi="Arial" w:cs="Arial"/>
        </w:rPr>
      </w:pPr>
    </w:p>
    <w:p w14:paraId="61CFD6DF" w14:textId="77777777" w:rsidR="00804B94" w:rsidRPr="0039386E" w:rsidRDefault="00804B94" w:rsidP="0039386E">
      <w:pPr>
        <w:rPr>
          <w:rFonts w:ascii="Arial" w:hAnsi="Arial" w:cs="Arial"/>
        </w:rPr>
      </w:pPr>
    </w:p>
    <w:p w14:paraId="417D68A4" w14:textId="77777777" w:rsidR="00804B94" w:rsidRPr="0039386E" w:rsidRDefault="00804B94" w:rsidP="0039386E">
      <w:pPr>
        <w:rPr>
          <w:rFonts w:ascii="Arial" w:hAnsi="Arial" w:cs="Arial"/>
        </w:rPr>
      </w:pPr>
    </w:p>
    <w:p w14:paraId="201F102A" w14:textId="77777777" w:rsidR="00804B94" w:rsidRPr="0039386E" w:rsidRDefault="00804B94" w:rsidP="0039386E">
      <w:pPr>
        <w:rPr>
          <w:rFonts w:ascii="Arial" w:hAnsi="Arial" w:cs="Arial"/>
        </w:rPr>
      </w:pPr>
    </w:p>
    <w:p w14:paraId="5D0A8789" w14:textId="77777777" w:rsidR="00804B94" w:rsidRPr="0039386E" w:rsidRDefault="00804B94" w:rsidP="0039386E">
      <w:pPr>
        <w:rPr>
          <w:rFonts w:ascii="Arial" w:hAnsi="Arial" w:cs="Arial"/>
        </w:rPr>
      </w:pPr>
    </w:p>
    <w:p w14:paraId="786DF943" w14:textId="77777777" w:rsidR="00804B94" w:rsidRPr="0039386E" w:rsidRDefault="00804B94" w:rsidP="0039386E">
      <w:pPr>
        <w:rPr>
          <w:rFonts w:ascii="Arial" w:hAnsi="Arial" w:cs="Arial"/>
        </w:rPr>
      </w:pPr>
    </w:p>
    <w:p w14:paraId="612D2BA4" w14:textId="77777777" w:rsidR="00804B94" w:rsidRPr="0039386E" w:rsidRDefault="00804B94" w:rsidP="0039386E">
      <w:pPr>
        <w:rPr>
          <w:rFonts w:ascii="Arial" w:hAnsi="Arial" w:cs="Arial"/>
        </w:rPr>
      </w:pPr>
    </w:p>
    <w:p w14:paraId="44606545" w14:textId="77777777" w:rsidR="00804B94" w:rsidRPr="0039386E" w:rsidRDefault="00804B94" w:rsidP="0039386E">
      <w:pPr>
        <w:rPr>
          <w:rFonts w:ascii="Arial" w:hAnsi="Arial" w:cs="Arial"/>
        </w:rPr>
      </w:pPr>
    </w:p>
    <w:p w14:paraId="19556EF2" w14:textId="77777777" w:rsidR="00804B94" w:rsidRPr="0039386E" w:rsidRDefault="00804B94" w:rsidP="0039386E">
      <w:pPr>
        <w:rPr>
          <w:rFonts w:ascii="Arial" w:hAnsi="Arial" w:cs="Arial"/>
        </w:rPr>
      </w:pPr>
    </w:p>
    <w:p w14:paraId="4CA19B6B" w14:textId="77777777" w:rsidR="00804B94" w:rsidRPr="0039386E" w:rsidRDefault="00804B94" w:rsidP="0039386E">
      <w:pPr>
        <w:rPr>
          <w:rFonts w:ascii="Arial" w:hAnsi="Arial" w:cs="Arial"/>
        </w:rPr>
      </w:pPr>
    </w:p>
    <w:p w14:paraId="5C4D72C1" w14:textId="77777777" w:rsidR="00804B94" w:rsidRPr="0039386E" w:rsidRDefault="00804B94" w:rsidP="0039386E">
      <w:pPr>
        <w:rPr>
          <w:rFonts w:ascii="Arial" w:hAnsi="Arial" w:cs="Arial"/>
        </w:rPr>
      </w:pPr>
    </w:p>
    <w:p w14:paraId="66BE3F66" w14:textId="77777777" w:rsidR="00730C3C" w:rsidRDefault="00730C3C" w:rsidP="0039386E">
      <w:pPr>
        <w:pStyle w:val="Heading1"/>
        <w:spacing w:line="360" w:lineRule="auto"/>
        <w:ind w:left="0"/>
        <w:jc w:val="both"/>
        <w:rPr>
          <w:rFonts w:cs="Arial"/>
        </w:rPr>
      </w:pPr>
    </w:p>
    <w:p w14:paraId="7B9D7B90" w14:textId="77777777" w:rsidR="0039386E" w:rsidRPr="0039386E" w:rsidRDefault="0039386E" w:rsidP="0039386E">
      <w:pPr>
        <w:pStyle w:val="Heading1"/>
        <w:spacing w:line="360" w:lineRule="auto"/>
        <w:ind w:left="0"/>
        <w:jc w:val="both"/>
        <w:rPr>
          <w:rFonts w:cs="Arial"/>
        </w:rPr>
      </w:pPr>
    </w:p>
    <w:p w14:paraId="0CE92433" w14:textId="77777777" w:rsidR="00CB3CF1" w:rsidRPr="0039386E" w:rsidRDefault="00CB3CF1" w:rsidP="0039386E">
      <w:pPr>
        <w:pStyle w:val="Heading1"/>
        <w:jc w:val="both"/>
        <w:rPr>
          <w:rFonts w:cs="Arial"/>
        </w:rPr>
      </w:pPr>
      <w:r w:rsidRPr="0039386E">
        <w:rPr>
          <w:rFonts w:cs="Arial"/>
        </w:rPr>
        <w:lastRenderedPageBreak/>
        <w:t>CHAPTER 1: INTRODUCTION</w:t>
      </w:r>
    </w:p>
    <w:p w14:paraId="466FAC78" w14:textId="77777777" w:rsidR="00583E08" w:rsidRPr="0039386E" w:rsidRDefault="00583E08" w:rsidP="0039386E">
      <w:pPr>
        <w:pStyle w:val="Heading1"/>
        <w:jc w:val="both"/>
        <w:rPr>
          <w:rFonts w:cs="Arial"/>
        </w:rPr>
      </w:pPr>
    </w:p>
    <w:p w14:paraId="671E5EF7"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On both national and international health priorities, mental health problems in childhood have become progressively more significant as evidence mounts that many psychological illnesses start early in life (Kessler et al., 2005; World Health Organization, 2021). In particular, children 10 to 12 years old are in a critical developmental stage between late childhood and early adolescence when emotional, cognitive, and social changes accelerate (Eccles, 1999). This transitional period is characterized by growing academic demands, more sensitivity to peer interactions, and the early formation of identity, which might all enhance the vulnerability to mental health difficulties (Compas et al. , 2017). Understanding developmental pathways and directing early intervention strategies requires, therefore, investigating mental disorders inside this age cohort.</w:t>
      </w:r>
    </w:p>
    <w:p w14:paraId="132E0A8A" w14:textId="77777777" w:rsidR="00CB3CF1" w:rsidRPr="0039386E" w:rsidRDefault="00CB3CF1" w:rsidP="0039386E">
      <w:pPr>
        <w:spacing w:after="0"/>
        <w:rPr>
          <w:rFonts w:ascii="Arial" w:eastAsia="Times New Roman" w:hAnsi="Arial" w:cs="Arial"/>
          <w:kern w:val="0"/>
          <w:lang w:eastAsia="en-GB"/>
          <w14:ligatures w14:val="none"/>
        </w:rPr>
      </w:pPr>
    </w:p>
    <w:p w14:paraId="68571DAE"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Psychopathology is the study of mental illnesses including their categorization, causes, and effects on daily activities (Carr, 2016). Usually, mental health issues in children are divided into internalising and externalising diseases (Achenbach and Edelbrock, 1978). Internalising disorders include anxiety and depression, which are characterised by symptoms that are directed inwards, such as social withdrawal, low mood, and excessive anxiety (Essau et al., 2014). On the other hand, externalising disorders like attention-deficit/hyperactivity disorder (ADHD) and conduct disorder show themselves through observable actions like impulsivity, aggression, and breaking laws (American Psychiatric Association, 2013). Even though this framework is helpful, it has been criticised for making the complicated nature of childhood mental health too simple, especially since so many disorders happen together (Angold et al., 1999). This emphasizes the need for a more nuanced knowledge of psychopathology that considers developmental background and overlapping symptoms.</w:t>
      </w:r>
    </w:p>
    <w:p w14:paraId="711A9C56" w14:textId="77777777" w:rsidR="00CB3CF1" w:rsidRPr="0039386E" w:rsidRDefault="00CB3CF1" w:rsidP="0039386E">
      <w:pPr>
        <w:spacing w:after="0"/>
        <w:rPr>
          <w:rFonts w:ascii="Arial" w:eastAsia="Times New Roman" w:hAnsi="Arial" w:cs="Arial"/>
          <w:kern w:val="0"/>
          <w:lang w:eastAsia="en-GB"/>
          <w14:ligatures w14:val="none"/>
        </w:rPr>
      </w:pPr>
    </w:p>
    <w:p w14:paraId="24EC8050"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Mental health disorders among children are common and growing. According to epidemiological studies, between 10 and 20 percent of children and teenagers around the world struggle with mental health issues (Polanczyk et al. , 2015). Recent data for the United Kingdom reveal increasing frequency of emotional disturbances in children aged 8 to 13, especially anxiety-related disorders (NHS Digital, 2022). Studies show that practically half of all </w:t>
      </w:r>
      <w:proofErr w:type="gramStart"/>
      <w:r w:rsidRPr="0039386E">
        <w:rPr>
          <w:rFonts w:ascii="Arial" w:eastAsia="Times New Roman" w:hAnsi="Arial" w:cs="Arial"/>
          <w:kern w:val="0"/>
          <w:lang w:eastAsia="en-GB"/>
          <w14:ligatures w14:val="none"/>
        </w:rPr>
        <w:t>lifetime</w:t>
      </w:r>
      <w:proofErr w:type="gramEnd"/>
      <w:r w:rsidRPr="0039386E">
        <w:rPr>
          <w:rFonts w:ascii="Arial" w:eastAsia="Times New Roman" w:hAnsi="Arial" w:cs="Arial"/>
          <w:kern w:val="0"/>
          <w:lang w:eastAsia="en-GB"/>
          <w14:ligatures w14:val="none"/>
        </w:rPr>
        <w:t xml:space="preserve"> mental health disorders start before the age of 14, underlining the need of early diagnosis (Kessler et al. , 2005). However, despite growing awareness, many children remain undiagnosed or without treatment, suggesting a divide between policy goals and the availability of services (Children’s Commissioner for England, 2021). In the UK, policy frameworks are increasingly emphasizing early intervention in children's mental health. Organizations such as the National Institute for Health and Care Excellence (NICE, 2019) offer </w:t>
      </w:r>
      <w:r w:rsidRPr="0039386E">
        <w:rPr>
          <w:rFonts w:ascii="Arial" w:eastAsia="Times New Roman" w:hAnsi="Arial" w:cs="Arial"/>
          <w:kern w:val="0"/>
          <w:lang w:eastAsia="en-GB"/>
          <w14:ligatures w14:val="none"/>
        </w:rPr>
        <w:lastRenderedPageBreak/>
        <w:t>guidelines based on evidence for recognizing and treating mental health issues, while NHS England (2022) advocates for integrated care through services like Child and Adolescent Mental Health Services (CAMHS). These efforts indicate a transition towards preventive and early intervention methods, acknowledging that timely support can enhance long-term outcomes and lessen the strain on health and social care systems (Allen, 2011; Heckman, 2006). However, the success of these strategies remains debated, with evidence pointing to significant challenges, such as lengthy waiting times, regional differences, and limited accessibility (Frith, 2016; Children’s Commissioner for England, 2021). This situation raises important questions about the effectiveness of current systems in addressing the needs of children aged 10 to 12. This dissertation intends to investigate mental disorders and psychopathology in children aged 10 to 12, focusing specifically on internalising and externalising issues, related risk factors, and the role of early identification and intervention within UK health and social care frameworks. By employing a biopsychosocial approach (Engel, 1977), the study acknowledges that mental health is influenced by the interplay of biological, psychological, and social factors. This perspective allows for a more thorough understanding of the complex nature of childhood mental health and avoids simplistic explanations that blame difficulties on a singular cause.</w:t>
      </w:r>
    </w:p>
    <w:p w14:paraId="20033449" w14:textId="77777777" w:rsidR="00CB3CF1" w:rsidRPr="0039386E" w:rsidRDefault="00CB3CF1" w:rsidP="0039386E">
      <w:pPr>
        <w:spacing w:after="0"/>
        <w:rPr>
          <w:rFonts w:ascii="Arial" w:eastAsia="Times New Roman" w:hAnsi="Arial" w:cs="Arial"/>
          <w:kern w:val="0"/>
          <w:lang w:eastAsia="en-GB"/>
          <w14:ligatures w14:val="none"/>
        </w:rPr>
      </w:pPr>
    </w:p>
    <w:p w14:paraId="35F9A957"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goals of this research are fourfold. First, it aims to define and critically analyse essential concepts related to childhood psychopathology, including the categorization of internalising and externalising disorders. Second, it seeks to evaluate the biological, psychological, and social risk factors connected to the emergence of mental health problems during middle childhood. Third, the study assesses current early identification and intervention methods in the UK, encompassing policy frameworks, NICE guidelines, and CAMHS services. Lastly, it seeks to offer evidence-based recommendations to enhance early intervention, improve collaboration among different agencies, and bolster support for children and their families. The rationale behind this research is based on the understanding that middle childhood is a vital period for early intervention. During this stage, initial signs of emotional and behavioral problems may surface but can often be overlooked or misunderstood Patel et al., (2018). Neglecting to address these issues can lead to the continuation of mental health problems into adolescence and adulthood, resulting in significant long-term impacts, including decreased educational success, social isolation, and a heightened risk of mental illness (Rutter et al. , 2001; Goodman et al. , 2011). Although existing research has examined childhood mental health in general terms, there is a relative scarcity of focused analysis specifically targeting the 10 to 12 age group, particularly in the context of UK service provision. Thus, this study aims to fill this gap by delivering a concentrated examination of this developmental phase.</w:t>
      </w:r>
    </w:p>
    <w:p w14:paraId="45E239C2"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lastRenderedPageBreak/>
        <w:t>In terms of methodology, this study utilizes a secondary research design, relying on scholarly literature, policy documents, and health reports. Thematic analysis will be used to uncover significant patterns and themes in the data (Braun and Clarke, 2006). This method facilitates the integration of various sources while allowing for a critical assessment of existing evidence. Additionally, it aids in pinpointing weaknesses in current understandings and practices, which is crucial for forming valuable recommendations. In summary, this chapter has outlined the primary focus of the dissertation, highlighting the significance of recognizing mental disorders in children aged 10 to 12 and the importance of early intervention in health and social care. It has also pointed out the shortcomings of existing systems and the necessity for more research. The next chapter will offer a comprehensive background, exploring theoretical frameworks, prevalence, risk factors, and policy measures in greater detail.</w:t>
      </w:r>
    </w:p>
    <w:p w14:paraId="12CEA870"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1D2085D0"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03BA4E17"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1D526D73"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7E3D84E1"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191F9D1C"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6CDAE7E7"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24FF739E"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7703410C"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52E36298" w14:textId="77777777" w:rsidR="00CB3CF1" w:rsidRPr="0039386E" w:rsidRDefault="00CB3CF1" w:rsidP="0039386E">
      <w:pPr>
        <w:spacing w:before="100" w:beforeAutospacing="1" w:after="100" w:afterAutospacing="1"/>
        <w:outlineLvl w:val="0"/>
        <w:rPr>
          <w:rFonts w:ascii="Arial" w:eastAsia="Times New Roman" w:hAnsi="Arial" w:cs="Arial"/>
          <w:b/>
          <w:bCs/>
          <w:kern w:val="36"/>
          <w:sz w:val="32"/>
          <w:szCs w:val="32"/>
          <w:lang w:eastAsia="en-GB"/>
          <w14:ligatures w14:val="none"/>
        </w:rPr>
      </w:pPr>
    </w:p>
    <w:p w14:paraId="784A3729" w14:textId="77777777" w:rsidR="00CB3CF1" w:rsidRPr="0039386E" w:rsidRDefault="00CB3CF1" w:rsidP="0039386E">
      <w:pPr>
        <w:pStyle w:val="Heading1"/>
        <w:jc w:val="both"/>
        <w:rPr>
          <w:rFonts w:cs="Arial"/>
        </w:rPr>
      </w:pPr>
    </w:p>
    <w:p w14:paraId="506796BC" w14:textId="77777777" w:rsidR="00BC5816" w:rsidRPr="0039386E" w:rsidRDefault="00BC5816" w:rsidP="0039386E">
      <w:pPr>
        <w:pStyle w:val="Heading1"/>
        <w:jc w:val="both"/>
        <w:rPr>
          <w:rFonts w:cs="Arial"/>
        </w:rPr>
      </w:pPr>
    </w:p>
    <w:p w14:paraId="1579FE2F" w14:textId="77777777" w:rsidR="00BC5816" w:rsidRPr="0039386E" w:rsidRDefault="00BC5816" w:rsidP="0039386E">
      <w:pPr>
        <w:pStyle w:val="Heading1"/>
        <w:jc w:val="both"/>
        <w:rPr>
          <w:rFonts w:cs="Arial"/>
        </w:rPr>
      </w:pPr>
    </w:p>
    <w:p w14:paraId="523306D8" w14:textId="77777777" w:rsidR="00CB3CF1" w:rsidRPr="0039386E" w:rsidRDefault="00CB3CF1" w:rsidP="0039386E">
      <w:pPr>
        <w:pStyle w:val="Heading1"/>
        <w:jc w:val="both"/>
        <w:rPr>
          <w:rFonts w:cs="Arial"/>
        </w:rPr>
      </w:pPr>
      <w:r w:rsidRPr="0039386E">
        <w:rPr>
          <w:rFonts w:cs="Arial"/>
        </w:rPr>
        <w:lastRenderedPageBreak/>
        <w:t>CHAPTER 2: BACKGROUND</w:t>
      </w:r>
    </w:p>
    <w:p w14:paraId="18749CEC" w14:textId="77777777" w:rsidR="00583E08" w:rsidRPr="0039386E" w:rsidRDefault="00583E08" w:rsidP="0039386E">
      <w:pPr>
        <w:pStyle w:val="Heading1"/>
        <w:jc w:val="both"/>
        <w:rPr>
          <w:rFonts w:cs="Arial"/>
        </w:rPr>
      </w:pPr>
    </w:p>
    <w:p w14:paraId="0A9A7C7D"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Childhood psychopathology is a complex field focused on the examination of emotional, behavioral, and developmental disorders in children. Unlike adult mental health, understanding childhood psychopathology requires a developmental viewpoint, as children's cognitive, emotional, and social abilities are always changing (Mash and Wolfe, 2016). This developmental perspective is crucial for differentiating between normal behaviors and significant clinical issues, as actions that are common at one stage of growth may be seen as problematic at another (Rutter et al. , 2001). Therefore, to accurately identify and categorize mental health disorders in children, a detailed understanding of developmental processes is necessary.</w:t>
      </w:r>
    </w:p>
    <w:p w14:paraId="63A69017"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A prominent framework in child psychopathology differentiates between internalizing and externalizing disorders (Achenbach and Edelbrock, 1978). Internalizing disorders, which include anxiety and depression, are characterized by symptoms directed inward, such as sadness, fear, and social withdrawal (Essau et al., 2014). These disorders are often less apparent and, as a result, underdiagnosed, particularly in educational settings where quiet or withdrawn behaviors may go unnoticed (Costello et al. , 2003). Conversely, externalizing disorders like ADHD and conduct disorder are marked by outward behaviors such as aggression, hyperactivity, and defiance (American Psychiatric Association, 2013). While these behaviors are more visible, they frequently face stigma and may be misinterpreted as intentional misbehaviour rather than signs of underlying psychological issues (Kazdin, 2017).</w:t>
      </w:r>
    </w:p>
    <w:p w14:paraId="07F2A38B"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Despite the usefulness of this classification, it has faced criticism. Researchers argue that the internalizing-externalizing distinction oversimplifies the intricacies of mental health by neglecting comorbidity and overlapping symptoms (Angold et al. , 1999). For example, children with ADHD may also suffer from anxiety, while those experiencing depression may show irritability and behavioral issues. This indicates that a dimensional approach to psychopathology may offer a more accurate reflection of children's experiences (Krueger and Markon, 2006). Such critiques are crucial as they illuminate the shortcomings of diagnostic systems and emphasize the importance of a comprehensive assessment. The rise in mental health disorders among children has become a significant concern for researchers and policymakers alike. Global estimates suggest that nearly one in eight children face a diagnosable mental health condition (Polanczyk et al. , 2015). In the UK, NHS Digital (2022) has reported an increase in emotional disorders, particularly in pre-adolescent children. This trend may be linked to various factors, such as heightened academic pressure, the impact of social media, and shifting family dynamics (Twenge, 2017). However, it is also essential to question whether the rising prevalence indicates greater awareness and diagnosis rather than </w:t>
      </w:r>
      <w:r w:rsidRPr="0039386E">
        <w:rPr>
          <w:rFonts w:ascii="Arial" w:eastAsia="Times New Roman" w:hAnsi="Arial" w:cs="Arial"/>
          <w:kern w:val="0"/>
          <w:lang w:eastAsia="en-GB"/>
          <w14:ligatures w14:val="none"/>
        </w:rPr>
        <w:lastRenderedPageBreak/>
        <w:t>an actual increase in occurrence (Fombonne, 2009). This complexity underscores the necessity for careful interpretation of mental health data and critical evaluation.</w:t>
      </w:r>
    </w:p>
    <w:p w14:paraId="0278AF2B"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biopsychosocial model offers a thorough framework for understanding the emergence of mental health challenges in children (Engel, 1977). Biological factors encompass genetic predisposition, neurodevelopmental differences, and physiological processes. Research indicates that children with a familial history of mental illness are at a heightened risk of experiencing similar conditions (Thapar et al. , 2012). Neuroimaging studies have revealed structural and functional differences in the brains of children with ADHD and anxiety disorders, particularly in areas related to emotional regulation and executive functioning (Shaw et al. , 2007). However, biological explanations alone do not provide a complete understanding, as they fail to consider environmental factors. Psychological influences are also crucial in determining mental health outcomes. Cognitive theories, such as Beck’s (1976) cognitive model, propose that unhealthy thought patterns contribute to the development of internalizing disorders. Children who view situations negatively or who possess low self-esteem are more susceptible to developing anxiety and depression. Furthermore, emotional regulation is a significant factor, as challenges in managing emotions have been linked to a variety of mental health issues (Gross, 2015).</w:t>
      </w:r>
    </w:p>
    <w:p w14:paraId="6AE4A36A"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Moreover, early experiences such as trauma, neglect, and inconsistent caregiving can hinder psychological growth and heighten susceptibility to mental health disorders (Perry and Pollard, 1998). Attachment theory provides significant understanding regarding the impact of early relationships on mental wellbeing. Bowlby (1969) asserted that a secure bond between a child and caregiver is vital for proper emotional growth. Research supports this perspective, indicating that insecure attachments are linked to a higher likelihood of experiencing both internalizing and externalizing disorders (Fearon et al. , 2010). Nevertheless, attachment theory has faced criticism for overemphasizing early relationships while undervaluing the significance of later experiences (Rutter, 2012). This underscores the necessity of a lifespan perspective when exploring mental health. Social factors are critical in the emergence of mental health issues in childhood. The family environment, economic status, and relationships with peers greatly affect emotional and behavioral results (Reiss, 2013). Children living in poverty face continuous stressors, such as financial uncertainty and unstable housing, which can adversely affect their mental health (Evans and Kim, 2013). Furthermore, the mental health of parents and their parenting styles are essential influences on a child's wellbeing (Goodman et al. , 2011).</w:t>
      </w:r>
    </w:p>
    <w:p w14:paraId="605E0C73"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Peer relationships gain increasing importance during middle childhood. Incidents of bullying, social rejection, and conflicts with peers are closely linked to mental health problems </w:t>
      </w:r>
      <w:r w:rsidRPr="0039386E">
        <w:rPr>
          <w:rFonts w:ascii="Arial" w:eastAsia="Times New Roman" w:hAnsi="Arial" w:cs="Arial"/>
          <w:kern w:val="0"/>
          <w:lang w:eastAsia="en-GB"/>
          <w14:ligatures w14:val="none"/>
        </w:rPr>
        <w:lastRenderedPageBreak/>
        <w:t>(Arseneault, 2018). Children who find it challenging to build positive relationships may experience feelings of loneliness and low self-esteem, which can lead to internalizing disorders. On the other hand, supportive peer interactions can serve as protective factors, enhancing resilience and emotional health (Luthar et al. , 2000). This illustrates the importance of recognizing both risk and protective factors in understanding mental health. The interplay between biological, psychological, and social factors emphasizes the complexity of childhood psychopathology. Mental health issues generally arise from the cumulative effects of various influences rather than from a single source (Rutter, 2012). This supports the necessity for comprehensive assessment and intervention approaches that consider the broader context of the child.</w:t>
      </w:r>
    </w:p>
    <w:p w14:paraId="13107AC3"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early recognition and intervention in children's mental health are widely acknowledged as critical for enhancing outcomes (Allen, 2011). Early intervention refers to the process of detecting issues at the beginning and offering timely assistance to avoid further complications (Heckman, 2006). Research indicates that early intervention can greatly improve long-term results, such as educational success and social skills (Patel et al., 2018). However, the execution of early intervention strategies remains inconsistent. In the United Kingdom, entities like Child and Adolescent Mental Health Services (CAMHS) are fundamental to delivering mental health support for children (NHS England, 2022). The National Institute for Health and Care Excellence (NICE) guidelines provide research-based recommendations for evaluation and treatment, highlighting the significance of early detection and collaborative efforts among multiple agencies (NICE, 2019). Additionally, schools play a vital role in identifying early indications of mental health struggles and offering initial assistance (Department for Education, 2018). Despite these strategies, considerable obstacles persist. Access to CAMHS is frequently constrained, characterized by prolonged waiting periods and elevated referral criteria (Children’s Commissioner for England, 2021). A significant number of children do not qualify for specialized services and, as a result, remain without support. Moreover, shortages in the workforce and financial limitations restrict service capabilities (Frith, 2016). Disparities in access further complicate these challenges, with children from underprivileged backgrounds being less likely to receive adequate care (Reiss, 2013). These issues raise doubts regarding the efficacy of existing systems and underscore the need for reform.</w:t>
      </w:r>
    </w:p>
    <w:p w14:paraId="7A423C4A"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Collaboration among multiple agencies is widely deemed crucial for tackling these challenges. Successful intervention necessitates cooperation among healthcare providers, educators, social workers, and families (Department of Education, 2018). However, in practice, collaboration is often obstructed by institutional barriers, communication issues, and limitations in resources (Atkinson et al. , 2007). This indicates that while policy underscores integration, the execution of such collaboration proves problematic. In light of these </w:t>
      </w:r>
      <w:r w:rsidRPr="0039386E">
        <w:rPr>
          <w:rFonts w:ascii="Arial" w:eastAsia="Times New Roman" w:hAnsi="Arial" w:cs="Arial"/>
          <w:kern w:val="0"/>
          <w:lang w:eastAsia="en-GB"/>
          <w14:ligatures w14:val="none"/>
        </w:rPr>
        <w:lastRenderedPageBreak/>
        <w:t>challenges, there has been a growing focus on preventive strategies. Interventions in schools, community programs, and public health initiatives seek to foster resilience and well-being (Weare and Nind, 2011). Although these strategies show potential, their effectiveness varies, necessitating further research to identify best practices.</w:t>
      </w:r>
    </w:p>
    <w:p w14:paraId="5A0FDE97"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In summary, this chapter has presented a comprehensive analysis of childhood mental health issues, emphasizing the complexity of both internalizing and externalizing disorders, as well as the interaction of biological, psychological, and social factors. It has also explored the significance of early intervention and identified the shortcomings of existing systems in the UK. This analysis forms a basis for the upcoming review of relevant literature and the formulation of evidence-based recommendations. An additional vital aspect of childhood mental health is the influence of educational settings on the identification and management of mental health challenges. Schools are among the primary environments where children aged 10 to 12 spend considerable time, thereby placing educators in a crucial position to notice changes in behavior and emotions (Department for Education, 2018). Teachers often serve as some of the first professionals to detect early indications of internalizing and externalizing issues, including withdrawal, anxiety, disruptive conduct, and concentration difficulties. Nevertheless, research indicates that many educators may lack the necessary training and confidence to effectively recognize and address mental health concerns (Loades and Mastroyannopoulou, 2010). This situation highlights a significant gap between policy expectations and actual practice in schools.</w:t>
      </w:r>
    </w:p>
    <w:p w14:paraId="2DDB1C80"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To address this challenge, the UK government has launched initiatives aimed at enhancing mental health support within educational institutions, including the establishment of Mental Health Support Teams (MHSTs) and the promotion of comprehensive approaches to wellbeing throughout schools (NHS England, 2019). These strategies focus on early identification, preventative measures, and the incorporation of mental health considerations into daily school activities. While these initiatives mark a significant advancement, their effectiveness is inconsistent, with disparities in funding, staffing, and regional execution influencing outcomes (Ford et al. , 2021). This suggests that although policy advancements are consistent with early intervention principles, systemic obstacles continue to hinder their effectiveness. Another critical issue concerns the impact of cultural and social diversity on the understanding and diagnosis of mental health challenges. Studies show that children from minority ethnic backgrounds are less likely to utilize mental health services and may face differences in diagnosis and treatment (Dogra et al. , 2012). Cultural stigma associated with mental health, language barriers, and the absence of culturally sensitive services contribute to their underrepresentation within support frameworks. Additionally, diagnostic systems, such as those detailed in the DSM-5 (American Psychiatric Association, 2013), have faced criticism </w:t>
      </w:r>
      <w:r w:rsidRPr="0039386E">
        <w:rPr>
          <w:rFonts w:ascii="Arial" w:eastAsia="Times New Roman" w:hAnsi="Arial" w:cs="Arial"/>
          <w:kern w:val="0"/>
          <w:lang w:eastAsia="en-GB"/>
          <w14:ligatures w14:val="none"/>
        </w:rPr>
        <w:lastRenderedPageBreak/>
        <w:t>for their Western-centric viewpoints, which may restrict their applicability to various populations (Fernando, 2017). This raises crucial questions regarding the inclusivity and fairness of contemporary mental health systems.</w:t>
      </w:r>
    </w:p>
    <w:p w14:paraId="49E12594"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Gender differences significantly contribute to issues related to childhood mental health. Research indicates that boys are more frequently diagnosed with externalizing disorders, whereas girls tend to face internalizing problems (Zahn-Waxler et al. , 2008). However, these trends may be influenced by biases in diagnosis and recognition, rather than reflecting actual differences in occurrence. For instance, boys’ disruptive behaviors often garner more attention, while girls’ emotional struggles may go unnoticed (Crick and Zahn-Waxler, 2003). This situation underscores the necessity for more nuanced and gender-sensitive methods for assessment and intervention. In addition to examining risk factors, it is vital to acknowledge protective elements that can help reduce the likelihood of developing mental health issues. Protective factors encompass supportive family dynamics, positive peer relationships, effective coping mechanisms, and availability of resources (Luthar et al. , 2000). Resilience theory indicates that certain children can adapt positively even in the face of challenges, emphasizing the importance of strengths-oriented approaches (Masten, 2014). Programs aimed at fostering resilience, such as social and emotional learning initiatives, have demonstrated improvements in mental health outcomes and reductions in behavioral issues (Durlak et al. , 2011). Nevertheless, critics caution that focusing excessively on resilience might unfairly place responsibility on individuals instead of addressing broader societal inequalities (Joseph, 2013). This view suggests that a balanced strategy is necessary, one that considers both individual and structural elements. Moreover, digital environments have emerged as an increasingly pertinent factor influencing children’s mental health. The growth of social media and digital technology has changed children's social interactions, offering both advantages and hazards (Twenge, 2017). While online platforms can facilitate social support and provide valuable information, they are also associated with heightened anxiety, cyberbullying, and diminished self-esteem (Odgers and Jensen, 2020). For children aged 10-12, who are beginning to engage more extensively with digital spaces, these factors may be especially impactful. Nevertheless, the link between digital media and mental health remains intricate and debated, with some research indicating minimal or context-specific effects (Przybylski and Weinstein, 2017). This complexity emphasizes the need for additional research in this domain.</w:t>
      </w:r>
    </w:p>
    <w:p w14:paraId="5D6B78C1"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Lastly, it is essential to assess the overall effectiveness of early intervention strategies within the United Kingdom critically. Although there is substantial evidence supporting the advantages of early intervention (Heckman, 2006), the execution of these strategies is often inconsistent. Fragmentation among services, insufficient funding, and inadequate integration </w:t>
      </w:r>
      <w:r w:rsidRPr="0039386E">
        <w:rPr>
          <w:rFonts w:ascii="Arial" w:eastAsia="Times New Roman" w:hAnsi="Arial" w:cs="Arial"/>
          <w:kern w:val="0"/>
          <w:lang w:eastAsia="en-GB"/>
          <w14:ligatures w14:val="none"/>
        </w:rPr>
        <w:lastRenderedPageBreak/>
        <w:t>between health, educational, and social care systems present notable challenges (Frith, 2016). Furthermore, early intervention is sometimes narrowly defined by age rather than by the timing of support in relation to individual needs (Allen, 2011). This limitation can lead to missed opportunities for timely assistance. In conclusion, this comprehensive discussion further highlights the complexity of childhood mental health issues and the multifaceted nature of early intervention. Elements such as educational contexts, cultural diversity, gender variances, protective factors, and digital environments are all vital in influencing children’s mental well-being. Although policy frameworks in the UK exhibit a strong commitment to early intervention, significant hurdles remain in translating these principles into effective practice. Addressing these challenges necessitates a more integrated, inclusive, and evidence-based approach to promoting children’s mental health.</w:t>
      </w:r>
    </w:p>
    <w:p w14:paraId="7F0463B8" w14:textId="77777777" w:rsidR="00CB3CF1" w:rsidRPr="0039386E" w:rsidRDefault="00CB3CF1" w:rsidP="0039386E">
      <w:pPr>
        <w:rPr>
          <w:rFonts w:ascii="Arial" w:eastAsia="Times New Roman" w:hAnsi="Arial" w:cs="Arial"/>
          <w:kern w:val="0"/>
          <w:lang w:eastAsia="en-GB"/>
          <w14:ligatures w14:val="none"/>
        </w:rPr>
      </w:pPr>
    </w:p>
    <w:p w14:paraId="6672815A" w14:textId="77777777" w:rsidR="00CB3CF1" w:rsidRPr="0039386E" w:rsidRDefault="00CB3CF1" w:rsidP="0039386E">
      <w:pPr>
        <w:rPr>
          <w:rFonts w:ascii="Arial" w:eastAsia="Times New Roman" w:hAnsi="Arial" w:cs="Arial"/>
          <w:kern w:val="0"/>
          <w:lang w:eastAsia="en-GB"/>
          <w14:ligatures w14:val="none"/>
        </w:rPr>
      </w:pPr>
    </w:p>
    <w:p w14:paraId="51D94F1B" w14:textId="77777777" w:rsidR="00CB3CF1" w:rsidRPr="0039386E" w:rsidRDefault="00CB3CF1" w:rsidP="0039386E">
      <w:pPr>
        <w:rPr>
          <w:rFonts w:ascii="Arial" w:eastAsia="Times New Roman" w:hAnsi="Arial" w:cs="Arial"/>
          <w:kern w:val="0"/>
          <w:lang w:eastAsia="en-GB"/>
          <w14:ligatures w14:val="none"/>
        </w:rPr>
      </w:pPr>
    </w:p>
    <w:p w14:paraId="18BCB0DA" w14:textId="77777777" w:rsidR="00CB3CF1" w:rsidRPr="0039386E" w:rsidRDefault="00CB3CF1" w:rsidP="0039386E">
      <w:pPr>
        <w:rPr>
          <w:rFonts w:ascii="Arial" w:eastAsia="Times New Roman" w:hAnsi="Arial" w:cs="Arial"/>
          <w:kern w:val="0"/>
          <w:lang w:eastAsia="en-GB"/>
          <w14:ligatures w14:val="none"/>
        </w:rPr>
      </w:pPr>
    </w:p>
    <w:p w14:paraId="19D96035" w14:textId="77777777" w:rsidR="00CB3CF1" w:rsidRPr="0039386E" w:rsidRDefault="00CB3CF1" w:rsidP="0039386E">
      <w:pPr>
        <w:rPr>
          <w:rFonts w:ascii="Arial" w:eastAsia="Times New Roman" w:hAnsi="Arial" w:cs="Arial"/>
          <w:kern w:val="0"/>
          <w:lang w:eastAsia="en-GB"/>
          <w14:ligatures w14:val="none"/>
        </w:rPr>
      </w:pPr>
    </w:p>
    <w:p w14:paraId="434C8FE5" w14:textId="77777777" w:rsidR="00CB3CF1" w:rsidRPr="0039386E" w:rsidRDefault="00CB3CF1" w:rsidP="0039386E">
      <w:pPr>
        <w:rPr>
          <w:rFonts w:ascii="Arial" w:eastAsia="Times New Roman" w:hAnsi="Arial" w:cs="Arial"/>
          <w:kern w:val="0"/>
          <w:lang w:eastAsia="en-GB"/>
          <w14:ligatures w14:val="none"/>
        </w:rPr>
      </w:pPr>
    </w:p>
    <w:p w14:paraId="6B391855" w14:textId="77777777" w:rsidR="00CB3CF1" w:rsidRPr="0039386E" w:rsidRDefault="00CB3CF1" w:rsidP="0039386E">
      <w:pPr>
        <w:rPr>
          <w:rFonts w:ascii="Arial" w:eastAsia="Times New Roman" w:hAnsi="Arial" w:cs="Arial"/>
          <w:kern w:val="0"/>
          <w:lang w:eastAsia="en-GB"/>
          <w14:ligatures w14:val="none"/>
        </w:rPr>
      </w:pPr>
    </w:p>
    <w:p w14:paraId="08677469" w14:textId="77777777" w:rsidR="00CB3CF1" w:rsidRPr="0039386E" w:rsidRDefault="00CB3CF1" w:rsidP="0039386E">
      <w:pPr>
        <w:rPr>
          <w:rFonts w:ascii="Arial" w:eastAsia="Times New Roman" w:hAnsi="Arial" w:cs="Arial"/>
          <w:kern w:val="0"/>
          <w:lang w:eastAsia="en-GB"/>
          <w14:ligatures w14:val="none"/>
        </w:rPr>
      </w:pPr>
    </w:p>
    <w:p w14:paraId="03E9999E" w14:textId="77777777" w:rsidR="00CB3CF1" w:rsidRPr="0039386E" w:rsidRDefault="00CB3CF1" w:rsidP="0039386E">
      <w:pPr>
        <w:rPr>
          <w:rFonts w:ascii="Arial" w:eastAsia="Times New Roman" w:hAnsi="Arial" w:cs="Arial"/>
          <w:kern w:val="0"/>
          <w:lang w:eastAsia="en-GB"/>
          <w14:ligatures w14:val="none"/>
        </w:rPr>
      </w:pPr>
    </w:p>
    <w:p w14:paraId="33B70217" w14:textId="77777777" w:rsidR="00CB3CF1" w:rsidRPr="0039386E" w:rsidRDefault="00CB3CF1" w:rsidP="0039386E">
      <w:pPr>
        <w:rPr>
          <w:rFonts w:ascii="Arial" w:eastAsia="Times New Roman" w:hAnsi="Arial" w:cs="Arial"/>
          <w:kern w:val="0"/>
          <w:lang w:eastAsia="en-GB"/>
          <w14:ligatures w14:val="none"/>
        </w:rPr>
      </w:pPr>
    </w:p>
    <w:p w14:paraId="0ED7EEF8" w14:textId="77777777" w:rsidR="00CB3CF1" w:rsidRPr="0039386E" w:rsidRDefault="00CB3CF1" w:rsidP="0039386E">
      <w:pPr>
        <w:rPr>
          <w:rFonts w:ascii="Arial" w:eastAsia="Times New Roman" w:hAnsi="Arial" w:cs="Arial"/>
          <w:kern w:val="0"/>
          <w:lang w:eastAsia="en-GB"/>
          <w14:ligatures w14:val="none"/>
        </w:rPr>
      </w:pPr>
    </w:p>
    <w:p w14:paraId="0CF765EE" w14:textId="77777777" w:rsidR="00CB3CF1" w:rsidRPr="0039386E" w:rsidRDefault="00CB3CF1" w:rsidP="0039386E">
      <w:pPr>
        <w:rPr>
          <w:rFonts w:ascii="Arial" w:eastAsia="Times New Roman" w:hAnsi="Arial" w:cs="Arial"/>
          <w:kern w:val="0"/>
          <w:lang w:eastAsia="en-GB"/>
          <w14:ligatures w14:val="none"/>
        </w:rPr>
      </w:pPr>
    </w:p>
    <w:p w14:paraId="0A0E1A08" w14:textId="77777777" w:rsidR="00CB3CF1" w:rsidRPr="0039386E" w:rsidRDefault="00CB3CF1" w:rsidP="0039386E">
      <w:pPr>
        <w:rPr>
          <w:rFonts w:ascii="Arial" w:eastAsia="Times New Roman" w:hAnsi="Arial" w:cs="Arial"/>
          <w:kern w:val="0"/>
          <w:lang w:eastAsia="en-GB"/>
          <w14:ligatures w14:val="none"/>
        </w:rPr>
      </w:pPr>
    </w:p>
    <w:p w14:paraId="5A094BB8" w14:textId="77777777" w:rsidR="00CB3CF1" w:rsidRPr="0039386E" w:rsidRDefault="00CB3CF1" w:rsidP="0039386E">
      <w:pPr>
        <w:rPr>
          <w:rFonts w:ascii="Arial" w:eastAsia="Times New Roman" w:hAnsi="Arial" w:cs="Arial"/>
          <w:kern w:val="0"/>
          <w:lang w:eastAsia="en-GB"/>
          <w14:ligatures w14:val="none"/>
        </w:rPr>
      </w:pPr>
    </w:p>
    <w:p w14:paraId="31AAAF21" w14:textId="77777777" w:rsidR="00CB3CF1" w:rsidRPr="0039386E" w:rsidRDefault="00CB3CF1" w:rsidP="0039386E">
      <w:pPr>
        <w:rPr>
          <w:rFonts w:ascii="Arial" w:eastAsia="Times New Roman" w:hAnsi="Arial" w:cs="Arial"/>
          <w:kern w:val="0"/>
          <w:lang w:eastAsia="en-GB"/>
          <w14:ligatures w14:val="none"/>
        </w:rPr>
      </w:pPr>
    </w:p>
    <w:p w14:paraId="5FAD6713" w14:textId="77777777" w:rsidR="00BC5816" w:rsidRPr="0039386E" w:rsidRDefault="00BC5816" w:rsidP="0039386E">
      <w:pPr>
        <w:rPr>
          <w:rFonts w:ascii="Arial" w:eastAsia="Times New Roman" w:hAnsi="Arial" w:cs="Arial"/>
          <w:kern w:val="0"/>
          <w:lang w:eastAsia="en-GB"/>
          <w14:ligatures w14:val="none"/>
        </w:rPr>
      </w:pPr>
    </w:p>
    <w:p w14:paraId="463F7CBB" w14:textId="77777777" w:rsidR="00BC5816" w:rsidRPr="0039386E" w:rsidRDefault="00BC5816" w:rsidP="0039386E">
      <w:pPr>
        <w:rPr>
          <w:rFonts w:ascii="Arial" w:eastAsia="Times New Roman" w:hAnsi="Arial" w:cs="Arial"/>
          <w:kern w:val="0"/>
          <w:lang w:eastAsia="en-GB"/>
          <w14:ligatures w14:val="none"/>
        </w:rPr>
      </w:pPr>
    </w:p>
    <w:p w14:paraId="7196B76B" w14:textId="77777777" w:rsidR="00CB3CF1" w:rsidRPr="0039386E" w:rsidRDefault="00CB3CF1" w:rsidP="0039386E">
      <w:pPr>
        <w:rPr>
          <w:rFonts w:ascii="Arial" w:eastAsia="Times New Roman" w:hAnsi="Arial" w:cs="Arial"/>
          <w:kern w:val="0"/>
          <w:lang w:eastAsia="en-GB"/>
          <w14:ligatures w14:val="none"/>
        </w:rPr>
      </w:pPr>
    </w:p>
    <w:p w14:paraId="3E07746A" w14:textId="77777777" w:rsidR="00CB3CF1" w:rsidRPr="0039386E" w:rsidRDefault="00CB3CF1" w:rsidP="0039386E">
      <w:pPr>
        <w:pStyle w:val="Heading1"/>
        <w:jc w:val="both"/>
        <w:rPr>
          <w:rFonts w:cs="Arial"/>
        </w:rPr>
      </w:pPr>
      <w:r w:rsidRPr="0039386E">
        <w:rPr>
          <w:rFonts w:cs="Arial"/>
        </w:rPr>
        <w:lastRenderedPageBreak/>
        <w:t>CHAPTER 3 – RESEARCH METHODOLOGY</w:t>
      </w:r>
    </w:p>
    <w:p w14:paraId="0964FCBA"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t>3.1 Research Design</w:t>
      </w:r>
    </w:p>
    <w:p w14:paraId="02401768" w14:textId="77777777" w:rsidR="00CB3CF1" w:rsidRPr="0039386E" w:rsidRDefault="00CB3CF1" w:rsidP="0039386E">
      <w:pPr>
        <w:spacing w:before="100" w:beforeAutospacing="1" w:after="100" w:afterAutospacing="1"/>
        <w:outlineLvl w:val="1"/>
        <w:rPr>
          <w:rFonts w:ascii="Arial" w:eastAsia="Aptos" w:hAnsi="Arial" w:cs="Arial"/>
          <w:lang w:eastAsia="en-US"/>
        </w:rPr>
      </w:pPr>
      <w:r w:rsidRPr="0039386E">
        <w:rPr>
          <w:rFonts w:ascii="Arial" w:eastAsia="Aptos" w:hAnsi="Arial" w:cs="Arial"/>
          <w:lang w:eastAsia="en-US"/>
        </w:rPr>
        <w:t>This dissertation used desk-based secondary research to explore mental disorders and psychopathology in children aged 10–12 years within UK health and social care. Rather than collecting primary data, it drew on peer-reviewed studies, official reports and policy guidance. The evidence was synthesised through thematic analysis to identify patterns, compare findings and consider their relevance to early intervention. Aveyard (2019) explains that secondary research supports a structured appraisal of existing evidence from a range of credible sources. This approach was appropriate because childhood mental health is influenced by interacting biological, psychological and social factors, and substantial relevant evidence already exists. It also enabled comparison between clinical evidence, policy priorities and service-level challenges, which is important when considering early intervention in the UK. A qualitative approach enabled findings to be interpreted within their educational, family and service contexts, rather than focusing only on numerical outcomes (Snyder, 2019).</w:t>
      </w:r>
    </w:p>
    <w:p w14:paraId="6FCEAE38"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t>3.2 Search Strategy</w:t>
      </w:r>
    </w:p>
    <w:p w14:paraId="502B5928" w14:textId="77DAD004" w:rsidR="00CB3CF1" w:rsidRPr="0039386E" w:rsidRDefault="00CB3CF1" w:rsidP="0039386E">
      <w:pPr>
        <w:spacing w:before="100" w:beforeAutospacing="1" w:after="100" w:afterAutospacing="1"/>
        <w:outlineLvl w:val="1"/>
        <w:rPr>
          <w:rFonts w:ascii="Arial" w:eastAsia="Aptos" w:hAnsi="Arial" w:cs="Arial"/>
          <w:lang w:eastAsia="en-US"/>
        </w:rPr>
      </w:pPr>
      <w:r w:rsidRPr="0039386E">
        <w:rPr>
          <w:rFonts w:ascii="Arial" w:eastAsia="Aptos" w:hAnsi="Arial" w:cs="Arial"/>
          <w:lang w:eastAsia="en-US"/>
        </w:rPr>
        <w:t>A structured and transparent search process was used to identify evidence relevant to the research aim. The search focused on common mental disorders, risk factors and early intervention for children aged 10–12 years. CINAHL, PubMed, PsycINFO and Google Scholar were searched because they provide access to health, psychology and social-care literature. CINAHL was particularly useful for nursing and health-care evidence, PubMed for biomedical research and PsycINFO for psychological research. Google Scholar was used to identify additional relevant material, while professional sources, including NICE, NHS Digital and the World Health Organization (WHO, 2022), were used to locate current guidance and reports. Combining academic and official sources strengthened the relevance of the evidence to UK practice.</w:t>
      </w:r>
      <w:r w:rsidRPr="0039386E">
        <w:rPr>
          <w:rFonts w:ascii="Arial" w:eastAsia="Aptos" w:hAnsi="Arial" w:cs="Arial"/>
          <w:lang w:eastAsia="en-US"/>
        </w:rPr>
        <w:t xml:space="preserve"> </w:t>
      </w:r>
      <w:r w:rsidRPr="0039386E">
        <w:rPr>
          <w:rFonts w:ascii="Arial" w:eastAsia="Aptos" w:hAnsi="Arial" w:cs="Arial"/>
          <w:lang w:eastAsia="en-US"/>
        </w:rPr>
        <w:t xml:space="preserve">Search terms included ‘child mental health’, ‘psychopathology’, ‘anxiety’, ‘depression’, ‘ADHD’, ‘conduct disorder’, ‘internalising disorders’, ‘externalising disorders’, ‘early intervention’, ‘CAMHS’ and ‘health and social care’. Boolean operators, including AND </w:t>
      </w:r>
      <w:proofErr w:type="spellStart"/>
      <w:r w:rsidRPr="0039386E">
        <w:rPr>
          <w:rFonts w:ascii="Arial" w:eastAsia="Aptos" w:hAnsi="Arial" w:cs="Arial"/>
          <w:lang w:eastAsia="en-US"/>
        </w:rPr>
        <w:t>and</w:t>
      </w:r>
      <w:proofErr w:type="spellEnd"/>
      <w:r w:rsidRPr="0039386E">
        <w:rPr>
          <w:rFonts w:ascii="Arial" w:eastAsia="Aptos" w:hAnsi="Arial" w:cs="Arial"/>
          <w:lang w:eastAsia="en-US"/>
        </w:rPr>
        <w:t xml:space="preserve"> OR, and truncation were used to combine terms and broaden or narrow the results where necessary (Aveyard, 2019). Search strings were adapted to the functions of each database while retaining the same core concepts. The full search strategy is provided in Appendix A.</w:t>
      </w:r>
    </w:p>
    <w:p w14:paraId="48E7F243" w14:textId="77777777" w:rsidR="00CB3CF1" w:rsidRPr="0039386E" w:rsidRDefault="00CB3CF1" w:rsidP="0039386E">
      <w:pPr>
        <w:spacing w:before="100" w:beforeAutospacing="1" w:after="100" w:afterAutospacing="1"/>
        <w:outlineLvl w:val="1"/>
        <w:rPr>
          <w:rFonts w:ascii="Arial" w:eastAsia="Aptos" w:hAnsi="Arial" w:cs="Arial"/>
          <w:lang w:eastAsia="en-US"/>
        </w:rPr>
      </w:pPr>
    </w:p>
    <w:p w14:paraId="2A082428"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lastRenderedPageBreak/>
        <w:t>3.3 Inclusion and Exclusion Criteria</w:t>
      </w:r>
    </w:p>
    <w:p w14:paraId="18CB6EEA" w14:textId="08569B5A" w:rsidR="00CB3CF1" w:rsidRPr="0039386E" w:rsidRDefault="00CB3CF1" w:rsidP="0039386E">
      <w:pPr>
        <w:spacing w:before="100" w:beforeAutospacing="1" w:after="100" w:afterAutospacing="1"/>
        <w:outlineLvl w:val="1"/>
        <w:rPr>
          <w:rFonts w:ascii="Arial" w:eastAsia="Aptos" w:hAnsi="Arial" w:cs="Arial"/>
          <w:lang w:eastAsia="en-US"/>
        </w:rPr>
      </w:pPr>
      <w:r w:rsidRPr="0039386E">
        <w:rPr>
          <w:rFonts w:ascii="Arial" w:eastAsia="Aptos" w:hAnsi="Arial" w:cs="Arial"/>
          <w:lang w:eastAsia="en-US"/>
        </w:rPr>
        <w:t>Predefined inclusion and exclusion criteria were used to select relevant and credible evidence. Peer-reviewed studies and appropriate official reports published between 2018 and 2025 were prioritised. A small number of older seminal studies were retained where they informed established theories, developmental pathways or core concepts. Studies had to be written in English and focus on childhood mental disorders, psychopathology, biopsychosocial risk factors or early intervention. Evidence focused specifically on children aged 10–12 years was preferred; studies using closely related child age groups were included only where their findings were clearly relevant to this population.</w:t>
      </w:r>
      <w:r w:rsidRPr="0039386E">
        <w:rPr>
          <w:rFonts w:ascii="Arial" w:eastAsia="Aptos" w:hAnsi="Arial" w:cs="Arial"/>
          <w:lang w:eastAsia="en-US"/>
        </w:rPr>
        <w:t xml:space="preserve"> </w:t>
      </w:r>
      <w:r w:rsidRPr="0039386E">
        <w:rPr>
          <w:rFonts w:ascii="Arial" w:eastAsia="Aptos" w:hAnsi="Arial" w:cs="Arial"/>
          <w:lang w:eastAsia="en-US"/>
        </w:rPr>
        <w:t>Studies were excluded if they focused exclusively on adults, unrelated physical-health conditions or interventions not concerned with childhood mental health. Opinion pieces, conference abstracts and sources without sufficient methodological detail were also excluded. Records were screened against these criteria before inclusion, and reasons for exclusion were documented in the study-selection process. These criteria improved consistency and ensured that the selected evidence remained aligned with the research aim and UK health and social care context (Aveyard, 2019).</w:t>
      </w:r>
    </w:p>
    <w:p w14:paraId="4F6ACD84"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t>3.4 Data Analysis</w:t>
      </w:r>
    </w:p>
    <w:p w14:paraId="74AF9475" w14:textId="1644ABC6" w:rsidR="00CB3CF1" w:rsidRPr="0039386E" w:rsidRDefault="00CB3CF1" w:rsidP="0039386E">
      <w:pPr>
        <w:spacing w:before="100" w:beforeAutospacing="1" w:after="100" w:afterAutospacing="1"/>
        <w:outlineLvl w:val="1"/>
        <w:rPr>
          <w:rFonts w:ascii="Arial" w:eastAsia="Aptos" w:hAnsi="Arial" w:cs="Arial"/>
          <w:sz w:val="24"/>
          <w:szCs w:val="24"/>
          <w:lang w:eastAsia="en-US"/>
        </w:rPr>
      </w:pPr>
      <w:r w:rsidRPr="0039386E">
        <w:rPr>
          <w:rFonts w:ascii="Arial" w:eastAsia="Aptos" w:hAnsi="Arial" w:cs="Arial"/>
          <w:sz w:val="24"/>
          <w:szCs w:val="24"/>
          <w:lang w:eastAsia="en-US"/>
        </w:rPr>
        <w:t>The selected evidence was analysed using Braun and Clarke’s (2022) six-phase thematic-analysis framework: familiarisation, coding, generating themes, reviewing themes, defining and naming themes, and writing up findings. Each source was read repeatedly, and meaningful information was coded, including symptoms, risk factors, family and school influences, service access and early support. Similar codes were compared and grouped to identify broader patterns across the evidence. Coding was completed manually using notes and the source-tracking table so that the links between the selected evidence, codes and final themes could be checked throughout the process.</w:t>
      </w:r>
      <w:r w:rsidRPr="0039386E">
        <w:rPr>
          <w:rFonts w:ascii="Arial" w:eastAsia="Aptos" w:hAnsi="Arial" w:cs="Arial"/>
          <w:sz w:val="24"/>
          <w:szCs w:val="24"/>
          <w:lang w:eastAsia="en-US"/>
        </w:rPr>
        <w:t xml:space="preserve"> </w:t>
      </w:r>
      <w:r w:rsidRPr="0039386E">
        <w:rPr>
          <w:rFonts w:ascii="Arial" w:eastAsia="Aptos" w:hAnsi="Arial" w:cs="Arial"/>
          <w:sz w:val="24"/>
          <w:szCs w:val="24"/>
          <w:lang w:eastAsia="en-US"/>
        </w:rPr>
        <w:t>The final four themes were: internalising disorders in children aged 10–12 years; externalising disorders in children aged 10–12 years; biopsychosocial risk factors associated with childhood psychopathology; and early intervention within UK health and social care. The themes were reviewed against the selected evidence to ensure that they reflected patterns across studies rather than isolated findings. This process provided a clear foundation for the findings and discussion in Chapter 4 (Braun and Clarke, 2022).</w:t>
      </w:r>
    </w:p>
    <w:p w14:paraId="632B9F0F" w14:textId="77777777" w:rsidR="00CB3CF1" w:rsidRPr="0039386E" w:rsidRDefault="00CB3CF1" w:rsidP="0039386E">
      <w:pPr>
        <w:spacing w:before="100" w:beforeAutospacing="1" w:after="100" w:afterAutospacing="1"/>
        <w:outlineLvl w:val="1"/>
        <w:rPr>
          <w:rFonts w:ascii="Arial" w:eastAsia="Aptos" w:hAnsi="Arial" w:cs="Arial"/>
          <w:sz w:val="24"/>
          <w:szCs w:val="24"/>
          <w:lang w:eastAsia="en-US"/>
        </w:rPr>
      </w:pPr>
    </w:p>
    <w:p w14:paraId="0EDF5387"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lastRenderedPageBreak/>
        <w:t>3.5 Ethical Considerations</w:t>
      </w:r>
    </w:p>
    <w:p w14:paraId="289421CF" w14:textId="77777777" w:rsidR="00CB3CF1" w:rsidRPr="0039386E" w:rsidRDefault="00CB3CF1" w:rsidP="0039386E">
      <w:pPr>
        <w:spacing w:before="100" w:beforeAutospacing="1" w:after="100" w:afterAutospacing="1"/>
        <w:outlineLvl w:val="1"/>
        <w:rPr>
          <w:rFonts w:ascii="Arial" w:eastAsia="Aptos" w:hAnsi="Arial" w:cs="Arial"/>
          <w:sz w:val="24"/>
          <w:szCs w:val="24"/>
          <w:lang w:eastAsia="en-US"/>
        </w:rPr>
      </w:pPr>
      <w:r w:rsidRPr="0039386E">
        <w:rPr>
          <w:rFonts w:ascii="Arial" w:eastAsia="Aptos" w:hAnsi="Arial" w:cs="Arial"/>
          <w:sz w:val="24"/>
          <w:szCs w:val="24"/>
          <w:lang w:eastAsia="en-US"/>
        </w:rPr>
        <w:t>This study did not involve human participants or primary data collection; therefore, formal ethical approval was not required. Nevertheless, ethical academic practice was maintained through accurate UWTSD Harvard referencing, careful paraphrasing and acknowledgement of all authors’ ideas to avoid plagiarism. Evidence was interpreted fairly, with attention given to both its strengths and limitations, and no findings were presented as more certain than the evidence allowed. Copyright was respected by using only information necessary for academic discussion and by not reproducing material without acknowledgement.</w:t>
      </w:r>
    </w:p>
    <w:p w14:paraId="55E1CBC7"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t>3.6 Research Quality and Trustworthiness</w:t>
      </w:r>
    </w:p>
    <w:p w14:paraId="5253795E" w14:textId="77777777" w:rsidR="00CB3CF1" w:rsidRPr="0039386E" w:rsidRDefault="00CB3CF1" w:rsidP="0039386E">
      <w:pPr>
        <w:spacing w:before="100" w:beforeAutospacing="1" w:after="100" w:afterAutospacing="1"/>
        <w:outlineLvl w:val="1"/>
        <w:rPr>
          <w:rFonts w:ascii="Arial" w:eastAsia="Aptos" w:hAnsi="Arial" w:cs="Arial"/>
          <w:sz w:val="24"/>
          <w:szCs w:val="24"/>
          <w:lang w:eastAsia="en-US"/>
        </w:rPr>
      </w:pPr>
      <w:r w:rsidRPr="0039386E">
        <w:rPr>
          <w:rFonts w:ascii="Arial" w:eastAsia="Aptos" w:hAnsi="Arial" w:cs="Arial"/>
          <w:sz w:val="24"/>
          <w:szCs w:val="24"/>
          <w:lang w:eastAsia="en-US"/>
        </w:rPr>
        <w:t xml:space="preserve">Trustworthiness was supported through a documented search strategy, clear eligibility criteria and a transparent thematic-analysis process. An audit trail, including the search strategy and source-tracking table in the appendices, records </w:t>
      </w:r>
      <w:proofErr w:type="spellStart"/>
      <w:r w:rsidRPr="0039386E">
        <w:rPr>
          <w:rFonts w:ascii="Arial" w:eastAsia="Aptos" w:hAnsi="Arial" w:cs="Arial"/>
          <w:sz w:val="24"/>
          <w:szCs w:val="24"/>
          <w:lang w:eastAsia="en-US"/>
        </w:rPr>
        <w:t>how</w:t>
      </w:r>
      <w:proofErr w:type="spellEnd"/>
      <w:r w:rsidRPr="0039386E">
        <w:rPr>
          <w:rFonts w:ascii="Arial" w:eastAsia="Aptos" w:hAnsi="Arial" w:cs="Arial"/>
          <w:sz w:val="24"/>
          <w:szCs w:val="24"/>
          <w:lang w:eastAsia="en-US"/>
        </w:rPr>
        <w:t xml:space="preserve"> evidence was identified, selected and analysed. Using peer-reviewed studies alongside official guidance strengthened the applicability of the findings to practice. The review also considered study limitations and did not rely on a single source, which supports credibility and confirmability (Nowell et al., 2017; Braun and Clarke, 2022). Although secondary research cannot remove all risk of selection bias, these steps made the process more transparent and enabled the findings to be traced back to the selected evidence.</w:t>
      </w:r>
    </w:p>
    <w:p w14:paraId="6763F073" w14:textId="77777777" w:rsidR="00CB3CF1" w:rsidRPr="0039386E" w:rsidRDefault="00CB3CF1" w:rsidP="0039386E">
      <w:pPr>
        <w:spacing w:before="100" w:beforeAutospacing="1" w:after="100" w:afterAutospacing="1"/>
        <w:outlineLvl w:val="1"/>
        <w:rPr>
          <w:rFonts w:ascii="Arial" w:eastAsia="Aptos" w:hAnsi="Arial" w:cs="Arial"/>
          <w:b/>
          <w:bCs/>
          <w:sz w:val="28"/>
          <w:szCs w:val="28"/>
          <w:lang w:eastAsia="en-US"/>
        </w:rPr>
      </w:pPr>
      <w:r w:rsidRPr="0039386E">
        <w:rPr>
          <w:rFonts w:ascii="Arial" w:eastAsia="Aptos" w:hAnsi="Arial" w:cs="Arial"/>
          <w:b/>
          <w:bCs/>
          <w:sz w:val="28"/>
          <w:szCs w:val="28"/>
          <w:lang w:eastAsia="en-US"/>
        </w:rPr>
        <w:t>3.7 Summary</w:t>
      </w:r>
    </w:p>
    <w:p w14:paraId="000C5BCD" w14:textId="77777777" w:rsidR="00CB3CF1" w:rsidRPr="0039386E" w:rsidRDefault="00CB3CF1" w:rsidP="0039386E">
      <w:pPr>
        <w:spacing w:before="100" w:beforeAutospacing="1" w:after="100" w:afterAutospacing="1"/>
        <w:outlineLvl w:val="1"/>
        <w:rPr>
          <w:rFonts w:ascii="Arial" w:eastAsia="Aptos" w:hAnsi="Arial" w:cs="Arial"/>
          <w:sz w:val="24"/>
          <w:szCs w:val="24"/>
          <w:lang w:eastAsia="en-US"/>
        </w:rPr>
      </w:pPr>
      <w:r w:rsidRPr="0039386E">
        <w:rPr>
          <w:rFonts w:ascii="Arial" w:eastAsia="Aptos" w:hAnsi="Arial" w:cs="Arial"/>
          <w:sz w:val="24"/>
          <w:szCs w:val="24"/>
          <w:lang w:eastAsia="en-US"/>
        </w:rPr>
        <w:t>This chapter has outlined the desk-based secondary-research methodology used in this dissertation. It described the search and selection process, thematic analysis, ethical considerations and measures used to support research quality. These procedures provide a transparent basis for the thematic findings discussed in Chapter 4 and the recommendations developed in Chapter 5.</w:t>
      </w:r>
    </w:p>
    <w:p w14:paraId="653C7762" w14:textId="77777777" w:rsidR="00CB3CF1" w:rsidRPr="0039386E" w:rsidRDefault="00CB3CF1" w:rsidP="0039386E">
      <w:pPr>
        <w:spacing w:before="100" w:beforeAutospacing="1" w:after="100" w:afterAutospacing="1"/>
        <w:outlineLvl w:val="1"/>
        <w:rPr>
          <w:rFonts w:ascii="Arial" w:eastAsia="Aptos" w:hAnsi="Arial" w:cs="Arial"/>
          <w:sz w:val="24"/>
          <w:szCs w:val="24"/>
          <w:lang w:eastAsia="en-US"/>
        </w:rPr>
      </w:pPr>
    </w:p>
    <w:p w14:paraId="74CE88F3" w14:textId="77777777" w:rsidR="00CB3CF1" w:rsidRPr="0039386E" w:rsidRDefault="00CB3CF1" w:rsidP="0039386E">
      <w:pPr>
        <w:spacing w:before="100" w:beforeAutospacing="1" w:after="100" w:afterAutospacing="1"/>
        <w:outlineLvl w:val="1"/>
        <w:rPr>
          <w:rFonts w:ascii="Arial" w:eastAsia="Aptos" w:hAnsi="Arial" w:cs="Arial"/>
          <w:sz w:val="24"/>
          <w:szCs w:val="24"/>
          <w:lang w:eastAsia="en-US"/>
        </w:rPr>
      </w:pPr>
    </w:p>
    <w:p w14:paraId="3ABF8E42" w14:textId="77777777" w:rsidR="00CB3CF1" w:rsidRPr="0039386E" w:rsidRDefault="00CB3CF1" w:rsidP="0039386E">
      <w:pPr>
        <w:pStyle w:val="Heading1"/>
        <w:jc w:val="both"/>
        <w:rPr>
          <w:rFonts w:cs="Arial"/>
        </w:rPr>
      </w:pPr>
      <w:r w:rsidRPr="0039386E">
        <w:rPr>
          <w:rFonts w:cs="Arial"/>
        </w:rPr>
        <w:lastRenderedPageBreak/>
        <w:t>CHAPTER 4: RESULTS AND DISCUSSION</w:t>
      </w:r>
    </w:p>
    <w:p w14:paraId="364B2FC8" w14:textId="77777777" w:rsidR="00583E08" w:rsidRPr="0039386E" w:rsidRDefault="00583E08" w:rsidP="0039386E">
      <w:pPr>
        <w:pStyle w:val="Heading1"/>
        <w:jc w:val="both"/>
        <w:rPr>
          <w:rFonts w:cs="Arial"/>
        </w:rPr>
      </w:pPr>
    </w:p>
    <w:p w14:paraId="61C14893" w14:textId="77777777" w:rsidR="00CB3CF1" w:rsidRPr="0039386E" w:rsidRDefault="00CB3CF1" w:rsidP="0039386E">
      <w:pPr>
        <w:spacing w:after="0"/>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4.1 Introduction to Findings and Discussion</w:t>
      </w:r>
    </w:p>
    <w:p w14:paraId="4F0A1DFF"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This chapter presents and critically discusses the findings generated through the desk-based secondary research undertaken for this dissertation. The discussion explores the research aim of examining mental disorders and psychopathology in children aged 10–12 years, with particular emphasis on the importance of early intervention within UK health and social care. Rather than presenting the selected literature individually, this chapter synthesises and critically evaluates the evidence by identifying areas of agreement and disagreement, considering methodological strengths and limitations, and examining the implications for health and social care practice.</w:t>
      </w:r>
    </w:p>
    <w:p w14:paraId="522D9D5F"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findings are organised into four interconnected themes that emerged from the thematic analysis of the selected literature:</w:t>
      </w:r>
    </w:p>
    <w:p w14:paraId="3AFB2845" w14:textId="77777777" w:rsidR="00CB3CF1" w:rsidRPr="0039386E" w:rsidRDefault="00CB3CF1" w:rsidP="0039386E">
      <w:pPr>
        <w:numPr>
          <w:ilvl w:val="0"/>
          <w:numId w:val="101"/>
        </w:numPr>
        <w:spacing w:after="0"/>
        <w:rPr>
          <w:rFonts w:ascii="Arial" w:eastAsia="Times New Roman" w:hAnsi="Arial" w:cs="Arial"/>
          <w:kern w:val="0"/>
          <w:lang w:eastAsia="en-GB"/>
          <w14:ligatures w14:val="none"/>
        </w:rPr>
      </w:pPr>
      <w:r w:rsidRPr="0039386E">
        <w:rPr>
          <w:rFonts w:ascii="Arial" w:eastAsia="Times New Roman" w:hAnsi="Arial" w:cs="Arial"/>
          <w:b/>
          <w:bCs/>
          <w:kern w:val="0"/>
          <w:lang w:eastAsia="en-GB"/>
          <w14:ligatures w14:val="none"/>
        </w:rPr>
        <w:t>Internalising Disorders in Children Aged 10–12 Years</w:t>
      </w:r>
      <w:r w:rsidRPr="0039386E">
        <w:rPr>
          <w:rFonts w:ascii="Arial" w:eastAsia="Times New Roman" w:hAnsi="Arial" w:cs="Arial"/>
          <w:kern w:val="0"/>
          <w:lang w:eastAsia="en-GB"/>
          <w14:ligatures w14:val="none"/>
        </w:rPr>
        <w:t xml:space="preserve"> </w:t>
      </w:r>
    </w:p>
    <w:p w14:paraId="5044A1FA" w14:textId="77777777" w:rsidR="00CB3CF1" w:rsidRPr="0039386E" w:rsidRDefault="00CB3CF1" w:rsidP="0039386E">
      <w:pPr>
        <w:numPr>
          <w:ilvl w:val="0"/>
          <w:numId w:val="101"/>
        </w:numPr>
        <w:spacing w:after="0"/>
        <w:rPr>
          <w:rFonts w:ascii="Arial" w:eastAsia="Times New Roman" w:hAnsi="Arial" w:cs="Arial"/>
          <w:kern w:val="0"/>
          <w:lang w:eastAsia="en-GB"/>
          <w14:ligatures w14:val="none"/>
        </w:rPr>
      </w:pPr>
      <w:r w:rsidRPr="0039386E">
        <w:rPr>
          <w:rFonts w:ascii="Arial" w:eastAsia="Times New Roman" w:hAnsi="Arial" w:cs="Arial"/>
          <w:b/>
          <w:bCs/>
          <w:kern w:val="0"/>
          <w:lang w:eastAsia="en-GB"/>
          <w14:ligatures w14:val="none"/>
        </w:rPr>
        <w:t>Externalising Disorders in Children Aged 10–12 Years</w:t>
      </w:r>
      <w:r w:rsidRPr="0039386E">
        <w:rPr>
          <w:rFonts w:ascii="Arial" w:eastAsia="Times New Roman" w:hAnsi="Arial" w:cs="Arial"/>
          <w:kern w:val="0"/>
          <w:lang w:eastAsia="en-GB"/>
          <w14:ligatures w14:val="none"/>
        </w:rPr>
        <w:t xml:space="preserve"> </w:t>
      </w:r>
    </w:p>
    <w:p w14:paraId="7406D586" w14:textId="77777777" w:rsidR="00CB3CF1" w:rsidRPr="0039386E" w:rsidRDefault="00CB3CF1" w:rsidP="0039386E">
      <w:pPr>
        <w:numPr>
          <w:ilvl w:val="0"/>
          <w:numId w:val="101"/>
        </w:numPr>
        <w:spacing w:after="0"/>
        <w:rPr>
          <w:rFonts w:ascii="Arial" w:eastAsia="Times New Roman" w:hAnsi="Arial" w:cs="Arial"/>
          <w:kern w:val="0"/>
          <w:lang w:eastAsia="en-GB"/>
          <w14:ligatures w14:val="none"/>
        </w:rPr>
      </w:pPr>
      <w:r w:rsidRPr="0039386E">
        <w:rPr>
          <w:rFonts w:ascii="Arial" w:eastAsia="Times New Roman" w:hAnsi="Arial" w:cs="Arial"/>
          <w:b/>
          <w:bCs/>
          <w:kern w:val="0"/>
          <w:lang w:eastAsia="en-GB"/>
          <w14:ligatures w14:val="none"/>
        </w:rPr>
        <w:t>Biopsychosocial Risk Factors Associated with Childhood Psychopathology</w:t>
      </w:r>
      <w:r w:rsidRPr="0039386E">
        <w:rPr>
          <w:rFonts w:ascii="Arial" w:eastAsia="Times New Roman" w:hAnsi="Arial" w:cs="Arial"/>
          <w:kern w:val="0"/>
          <w:lang w:eastAsia="en-GB"/>
          <w14:ligatures w14:val="none"/>
        </w:rPr>
        <w:t xml:space="preserve"> </w:t>
      </w:r>
    </w:p>
    <w:p w14:paraId="453A707D" w14:textId="77777777" w:rsidR="00CB3CF1" w:rsidRPr="0039386E" w:rsidRDefault="00CB3CF1" w:rsidP="0039386E">
      <w:pPr>
        <w:numPr>
          <w:ilvl w:val="0"/>
          <w:numId w:val="101"/>
        </w:numPr>
        <w:spacing w:after="0"/>
        <w:rPr>
          <w:rFonts w:ascii="Arial" w:eastAsia="Times New Roman" w:hAnsi="Arial" w:cs="Arial"/>
          <w:kern w:val="0"/>
          <w:lang w:eastAsia="en-GB"/>
          <w14:ligatures w14:val="none"/>
        </w:rPr>
      </w:pPr>
      <w:r w:rsidRPr="0039386E">
        <w:rPr>
          <w:rFonts w:ascii="Arial" w:eastAsia="Times New Roman" w:hAnsi="Arial" w:cs="Arial"/>
          <w:b/>
          <w:bCs/>
          <w:kern w:val="0"/>
          <w:lang w:eastAsia="en-GB"/>
          <w14:ligatures w14:val="none"/>
        </w:rPr>
        <w:t>Early Intervention within UK Health and Social Care</w:t>
      </w:r>
      <w:r w:rsidRPr="0039386E">
        <w:rPr>
          <w:rFonts w:ascii="Arial" w:eastAsia="Times New Roman" w:hAnsi="Arial" w:cs="Arial"/>
          <w:kern w:val="0"/>
          <w:lang w:eastAsia="en-GB"/>
          <w14:ligatures w14:val="none"/>
        </w:rPr>
        <w:t xml:space="preserve"> </w:t>
      </w:r>
    </w:p>
    <w:p w14:paraId="6DFA3A28" w14:textId="77777777" w:rsidR="00CB3CF1"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four themes were developed through thematic analysis of the selected studies presented in the Results Summary Table. Each study was reviewed to identify recurring concepts and patterns relating to childhood psychopathology, associated biopsychosocial risk factors and approaches to early intervention. Initial codes were generated from the findings of the selected studies before being grouped into broader categories based on shared characteristics. These categories were then refined into four overarching themes that reflected the most consistent evidence across the literature. Although the detailed analytical process is described in Chapter 3, this approach provided a structured framework for synthesising and critically evaluating the evidence presented in this chapter.</w:t>
      </w:r>
    </w:p>
    <w:p w14:paraId="728E08A0" w14:textId="77777777" w:rsidR="00583E08" w:rsidRPr="0039386E" w:rsidRDefault="00CB3CF1" w:rsidP="0039386E">
      <w:pPr>
        <w:spacing w:after="0"/>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Together, these themes examine the prevalence and impact of common internalising and externalising disorders, the biological, psychological and social factors associated with childhood psychopathology, and the role of early intervention in improving outcomes for children aged 10–12 years. Throughout the discussion, evidence from peer-reviewed research, national clinical guidance and policy documents is critically compared to evaluate its relevance to this specific age group and to consider the implications for UK health and social care practice</w:t>
      </w:r>
      <w:r w:rsidR="00583E08" w:rsidRPr="0039386E">
        <w:rPr>
          <w:rFonts w:ascii="Arial" w:eastAsia="Times New Roman" w:hAnsi="Arial" w:cs="Arial"/>
          <w:kern w:val="0"/>
          <w:lang w:eastAsia="en-GB"/>
          <w14:ligatures w14:val="none"/>
        </w:rPr>
        <w:t>.</w:t>
      </w:r>
    </w:p>
    <w:p w14:paraId="358FD633" w14:textId="77777777" w:rsidR="00583E08" w:rsidRPr="0039386E" w:rsidRDefault="00583E08" w:rsidP="0039386E">
      <w:pPr>
        <w:spacing w:after="0"/>
        <w:rPr>
          <w:rFonts w:ascii="Arial" w:eastAsia="Times New Roman" w:hAnsi="Arial" w:cs="Arial"/>
          <w:kern w:val="0"/>
          <w:lang w:eastAsia="en-GB"/>
          <w14:ligatures w14:val="none"/>
        </w:rPr>
      </w:pPr>
    </w:p>
    <w:p w14:paraId="61E379B6" w14:textId="77777777" w:rsidR="00583E08" w:rsidRPr="0039386E" w:rsidRDefault="00583E08" w:rsidP="0039386E">
      <w:pPr>
        <w:spacing w:after="0"/>
        <w:rPr>
          <w:rFonts w:ascii="Arial" w:eastAsia="Times New Roman" w:hAnsi="Arial" w:cs="Arial"/>
          <w:kern w:val="0"/>
          <w:lang w:eastAsia="en-GB"/>
          <w14:ligatures w14:val="none"/>
        </w:rPr>
      </w:pPr>
    </w:p>
    <w:p w14:paraId="02F70E08" w14:textId="77777777" w:rsidR="00583E08" w:rsidRPr="0039386E" w:rsidRDefault="00583E08" w:rsidP="0039386E">
      <w:pPr>
        <w:spacing w:after="0"/>
        <w:rPr>
          <w:rFonts w:ascii="Arial" w:eastAsia="Times New Roman" w:hAnsi="Arial" w:cs="Arial"/>
          <w:kern w:val="0"/>
          <w:lang w:eastAsia="en-GB"/>
          <w14:ligatures w14:val="none"/>
        </w:rPr>
      </w:pPr>
    </w:p>
    <w:p w14:paraId="6B13E91E" w14:textId="6EC126B6" w:rsidR="00CB3CF1" w:rsidRPr="0039386E" w:rsidRDefault="00CB3CF1" w:rsidP="0039386E">
      <w:pPr>
        <w:spacing w:after="0"/>
        <w:rPr>
          <w:rFonts w:ascii="Arial" w:eastAsia="Times New Roman" w:hAnsi="Arial" w:cs="Arial"/>
          <w:b/>
          <w:bCs/>
          <w:kern w:val="0"/>
          <w:sz w:val="27"/>
          <w:szCs w:val="27"/>
          <w:lang w:eastAsia="en-GB"/>
          <w14:ligatures w14:val="none"/>
        </w:rPr>
      </w:pPr>
      <w:r w:rsidRPr="0039386E">
        <w:rPr>
          <w:rFonts w:ascii="Arial" w:eastAsia="Times New Roman" w:hAnsi="Arial" w:cs="Arial"/>
          <w:b/>
          <w:bCs/>
          <w:kern w:val="0"/>
          <w:sz w:val="27"/>
          <w:szCs w:val="27"/>
          <w:lang w:eastAsia="en-GB"/>
          <w14:ligatures w14:val="none"/>
        </w:rPr>
        <w:lastRenderedPageBreak/>
        <w:t xml:space="preserve">4.2 Theme One: Internalising Disorders in Children Aged 10–12 Years </w:t>
      </w:r>
    </w:p>
    <w:p w14:paraId="75E30381" w14:textId="77777777" w:rsidR="00CB3CF1" w:rsidRPr="0039386E" w:rsidRDefault="00CB3CF1" w:rsidP="0039386E">
      <w:pPr>
        <w:spacing w:before="100" w:beforeAutospacing="1" w:after="100" w:afterAutospacing="1"/>
        <w:outlineLvl w:val="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The thematic analysis of the selected studies identified internalising disorders as one of the principal themes influencing the mental health of children aged 10–12 years. Internalising disorders are characterised by emotional distress directed inwardly and most commonly include anxiety and depressive disorders. Unlike externalising disorders, these conditions are often less visible because children may conceal their emotions rather than display disruptive behaviours. Consequently, symptoms may remain unrecognised until they begin to affect emotional wellbeing, educational attainment, peer relationships and everyday functioning. This is particularly significant during late childhood, as children aged 10–12 </w:t>
      </w:r>
      <w:proofErr w:type="spellStart"/>
      <w:r w:rsidRPr="0039386E">
        <w:rPr>
          <w:rFonts w:ascii="Arial" w:eastAsia="Times New Roman" w:hAnsi="Arial" w:cs="Arial"/>
          <w:kern w:val="0"/>
          <w:lang w:eastAsia="en-GB"/>
          <w14:ligatures w14:val="none"/>
        </w:rPr>
        <w:t>years experience</w:t>
      </w:r>
      <w:proofErr w:type="spellEnd"/>
      <w:r w:rsidRPr="0039386E">
        <w:rPr>
          <w:rFonts w:ascii="Arial" w:eastAsia="Times New Roman" w:hAnsi="Arial" w:cs="Arial"/>
          <w:kern w:val="0"/>
          <w:lang w:eastAsia="en-GB"/>
          <w14:ligatures w14:val="none"/>
        </w:rPr>
        <w:t xml:space="preserve"> increasing academic expectations, changing peer relationships and the transition towards adolescence, all of which may increase vulnerability to emotional difficulties. The evidence therefore indicates that recognising internalising disorders during this developmental stage is essential to prevent symptoms from becoming more persistent and to improve longer-term health and social outcomes. Anxiety disorders are consistently reported as among the most common mental health conditions affecting children and young people. Polanczyk et al. (2015) identified anxiety disorders as representing a substantial proportion of childhood mental disorders worldwide, demonstrating their importance as a public health concern. Similarly, Kessler et al. (2005) found that many lifetime mental disorders begin before the age of 14 years, suggesting that emotional difficulties frequently emerge during late childhood and early adolescence. Although both studies include wider child and adolescent populations rather than focusing exclusively on children aged 10–12 years, they provide strong evidence supporting the importance of early recognition. However, developmental differences associated with emotional maturity, family relationships and educational experiences should be considered when applying these findings to children in late childhood.</w:t>
      </w:r>
    </w:p>
    <w:p w14:paraId="210A6360" w14:textId="77777777" w:rsidR="00CB3CF1" w:rsidRPr="0039386E" w:rsidRDefault="00CB3CF1" w:rsidP="0039386E">
      <w:pPr>
        <w:spacing w:before="100" w:beforeAutospacing="1" w:after="100" w:afterAutospacing="1"/>
        <w:outlineLvl w:val="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Internalising disorders can remain hidden because children may not express their distress through disruptive behaviour. Anxiety may present as excessive worry, social withdrawal, school avoidance, low self-confidence, sleep disturbance or physical symptoms such as headaches and stomach pain. Some children internalise their distress, making difficulties harder for parents, teachers and healthcare professionals to identify promptly. Professionals should therefore remain alert to subtle emotional and behavioural changes rather than relying only on overt behavioural problems (National Institute for Health and Care Excellence, 2022; Loades and Mastroyannopoulou, 2010). Anxiety may be associated with reduced school attendance, including school refusal and unauthorised absence. This can restrict children’s educational participation and opportunities for social interaction. However, the available evidence does not always establish that anxiety is the direct cause of absence. Assessment </w:t>
      </w:r>
      <w:r w:rsidRPr="0039386E">
        <w:rPr>
          <w:rFonts w:ascii="Arial" w:eastAsia="Times New Roman" w:hAnsi="Arial" w:cs="Arial"/>
          <w:kern w:val="0"/>
          <w:lang w:eastAsia="en-GB"/>
          <w14:ligatures w14:val="none"/>
        </w:rPr>
        <w:lastRenderedPageBreak/>
        <w:t>should therefore consider children’s emotional wellbeing, attendance, peer relationships and overall functioning rather than focusing only on symptom severity (Finning et al., 2019). Depressive disorders also represent an important aspect of childhood psychopathology. Although depression has traditionally been associated with adolescence, evidence indicates that clinically significant depressive symptoms may develop before adolescence and can affect children's motivation, educational performance, emotional regulation and social functioning (National Institute for Health and Care Excellence, 2019). Depression commonly co-occurs with anxiety, increasing diagnostic complexity and reinforcing the importance of comprehensive assessment. Rather than considering emotional disorders independently, professionals should adopt a holistic biopsychosocial approach that examines the interaction between emotional wellbeing, family circumstances, school experiences and social relationships. Such an approach enables interventions to address both the symptoms experienced by the child and the wider environmental factors that may contribute to psychological distress.</w:t>
      </w:r>
    </w:p>
    <w:p w14:paraId="269328ED" w14:textId="77777777" w:rsidR="00CB3CF1" w:rsidRPr="0039386E" w:rsidRDefault="00CB3CF1" w:rsidP="0039386E">
      <w:pPr>
        <w:spacing w:before="100" w:beforeAutospacing="1" w:after="100" w:afterAutospacing="1"/>
        <w:outlineLvl w:val="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Current UK guidance further supports the importance of early identification and intervention. NICE (2019) recommends that children presenting with symptoms of depression receive timely assessment and evidence-based intervention appropriate to the severity of their needs. Similarly, schools are recognised as playing an important role in identifying emerging emotional difficulties because teachers are often the first professionals to observe changes in behaviour, attendance or academic performance. However, educational professionals are not responsible for diagnosing mental health disorders. Instead, they should work collaboratively with families, primary care services and Child and Adolescent Mental Health Services (CAMHS) to ensure children receive appropriate assessment and support. This collaborative approach reflects current UK policy promoting earlier intervention and integrated working across education, health and social care. Although the available evidence consistently highlights the importance of recognising internalising disorders early, several limitations should be acknowledged. Much of the literature examines broad child and adolescent populations rather than children aged 10–12 years specifically, reducing the direct applicability of findings to this developmental stage. In addition, many studies rely on parent or teacher reports, which may underestimate emotional difficulties because internalising symptoms are often concealed by affected children. Differences in research design and outcome measures also make direct comparison between studies more challenging. Nevertheless, the overall evidence demonstrates consistent agreement that early recognition and intervention can improve emotional wellbeing, educational engagement and social functioning while reducing the likelihood that anxiety and depressive disorders continue into adolescence.</w:t>
      </w:r>
    </w:p>
    <w:p w14:paraId="7695D7C6" w14:textId="77777777" w:rsidR="00CB3CF1" w:rsidRPr="0039386E" w:rsidRDefault="00CB3CF1" w:rsidP="0039386E">
      <w:pPr>
        <w:spacing w:before="100" w:beforeAutospacing="1" w:after="100" w:afterAutospacing="1"/>
        <w:outlineLvl w:val="1"/>
        <w:rPr>
          <w:rFonts w:ascii="Arial" w:eastAsia="Times New Roman" w:hAnsi="Arial" w:cs="Arial"/>
          <w:kern w:val="0"/>
          <w:lang w:eastAsia="en-GB"/>
          <w14:ligatures w14:val="none"/>
        </w:rPr>
      </w:pPr>
      <w:r w:rsidRPr="0039386E">
        <w:rPr>
          <w:rFonts w:ascii="Arial" w:eastAsia="Times New Roman" w:hAnsi="Arial" w:cs="Arial"/>
          <w:b/>
          <w:bCs/>
          <w:kern w:val="0"/>
          <w:sz w:val="28"/>
          <w:szCs w:val="28"/>
          <w:lang w:eastAsia="en-GB"/>
          <w14:ligatures w14:val="none"/>
        </w:rPr>
        <w:lastRenderedPageBreak/>
        <w:t>Examples from the Selected Studies</w:t>
      </w:r>
    </w:p>
    <w:p w14:paraId="6D83B24D" w14:textId="77777777" w:rsidR="00CB3CF1" w:rsidRPr="0039386E" w:rsidRDefault="00CB3CF1" w:rsidP="0039386E">
      <w:pPr>
        <w:spacing w:before="100" w:beforeAutospacing="1" w:after="100" w:afterAutospacing="1"/>
        <w:outlineLvl w:val="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selected studies consistently identified anxiety and depression as the principal internalising disorders affecting children and young people. Polanczyk et al. (2015) demonstrated the high prevalence of anxiety disorders internationally, while Kessler et al. (2005) showed that many mental disorders first emerge before the age of 14 years, highlighting the importance of recognising symptoms during late childhood. NICE (2019) further emphasises the need for timely assessment and evidence-based intervention for childhood depression within UK health and social care. Collectively, these studies demonstrate that early recognition of internalising disorders can improve access to appropriate support, reduce symptom progression and promote better educational, social and emotional outcomes. However, further UK-based research focusing specifically on children aged 10–12 years would strengthen the evidence base and support the development of age-appropriate interventions.</w:t>
      </w:r>
    </w:p>
    <w:p w14:paraId="705C190C" w14:textId="77777777" w:rsidR="00CB3CF1" w:rsidRPr="0039386E" w:rsidRDefault="00CB3CF1" w:rsidP="0039386E">
      <w:pPr>
        <w:spacing w:before="100" w:beforeAutospacing="1" w:after="100" w:afterAutospacing="1"/>
        <w:outlineLvl w:val="1"/>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 xml:space="preserve">4.3 Theme Two: Externalising Disorders in Children Aged 10–12 Years </w:t>
      </w:r>
    </w:p>
    <w:p w14:paraId="1839E2EA" w14:textId="77777777" w:rsidR="00CB3CF1" w:rsidRPr="0039386E" w:rsidRDefault="00CB3CF1" w:rsidP="0039386E">
      <w:pPr>
        <w:spacing w:before="100" w:beforeAutospacing="1" w:after="100" w:afterAutospacing="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thematic analysis identified externalising disorders as the second major theme affecting children aged 10–12 years. These disorders, including Attention Deficit Hyperactivity Disorder (ADHD) and conduct disorder, are characterised by outwardly directed behaviours such as impulsivity, hyperactivity, aggression and emotional dysregulation. Although these behaviours are often more visible than internalising disorders, they should not be regarded simply as behavioural problems. The American Psychiatric Association (2022) recognises that externalising disorders arise through complex interactions between neurodevelopmental, psychological and environmental factors, highlighting the need for comprehensive assessment and multidisciplinary intervention. ADHD is one of the most common neurodevelopmental disorders in childhood and is characterised by persistent inattention, hyperactivity and impulsivity that impair functioning across educational, social and family settings (National Institute for Health and Care Excellence, 2018). Symptoms usually emerge before the age of 12 years, making children aged 10–12 years particularly relevant to this dissertation. Faraone et al. (2021) argue that ADHD primarily affects executive functioning, self-regulation and cognitive processing rather than representing disruptive behaviour alone. This perspective suggests that intervention should address children's developmental needs through educational support, behavioural strategies and, where appropriate, medication. However, much of the available evidence is based on wider child and adolescent populations, limiting its direct applicability to late childhood.</w:t>
      </w:r>
    </w:p>
    <w:p w14:paraId="7FC2E0BA" w14:textId="77777777" w:rsidR="00CB3CF1" w:rsidRPr="0039386E" w:rsidRDefault="00CB3CF1" w:rsidP="0039386E">
      <w:pPr>
        <w:spacing w:before="100" w:beforeAutospacing="1" w:after="100" w:afterAutospacing="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lastRenderedPageBreak/>
        <w:t>ADHD can affect more than behaviour alone. Children may experience difficulties sustaining attention, organising tasks, regulating emotions and maintaining positive peer relationships. These difficulties can affect classroom engagement, educational participation, family life and self-esteem. Assessment and intervention should therefore consider functioning across educational, social and family settings rather than focusing only on core symptoms (Faraone et al., 2021; National Institute for Health and Care Excellence, 2018). Conduct disorder represents a further externalising condition characterised by persistent aggression, oppositional behaviour and repeated violation of social norms (National Institute for Health and Care Excellence, 2017). Although less prevalent than ADHD, its long-term consequences may include poor educational outcomes, family conflict and increased involvement with health and social care services. Reiss (2013) found that socioeconomic disadvantage increases children's exposure to behavioural and emotional risk factors, while wider evidence highlights the contribution of adverse childhood experiences, inconsistent parenting and family conflict. Nevertheless, these factors are not deterministic, as positive family relationships, supportive schools and timely intervention may strengthen resilience.</w:t>
      </w:r>
    </w:p>
    <w:p w14:paraId="723448D6" w14:textId="77777777" w:rsidR="00CB3CF1" w:rsidRPr="0039386E" w:rsidRDefault="00CB3CF1" w:rsidP="0039386E">
      <w:pPr>
        <w:spacing w:before="100" w:beforeAutospacing="1" w:after="100" w:afterAutospacing="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literature also indicates that ADHD and conduct disorder frequently coexist, increasing the complexity of assessment and intervention (American Psychiatric Association, 2022; Faraone et al., 2021). Children with co-occurring conditions often experience greater behavioural impairment and educational difficulties, reinforcing the importance of multidisciplinary assessment involving education, healthcare and social care professionals. Family-centred approaches are particularly important, recognising the role of parents and carers in supporting behavioural strategies across home and school environments. UK guidance recommends early, multidisciplinary intervention for externalising disorders. NICE (2017; 2018) advocates psychoeducation, behavioural interventions, educational adjustments and parent-training programmes, with medication considered where clinically appropriate for ADHD. However, the effectiveness of these interventions depends on timely access to services, family engagement and coordinated working between schools, primary care, Child and Adolescent Mental Health Services (CAMHS) and social care. Ongoing pressures on CAMHS, workforce shortages and regional variation in service provision may delay assessment and treatment, increasing the importance of school-based support and community early-help services while children await specialist intervention.</w:t>
      </w:r>
    </w:p>
    <w:p w14:paraId="5ADB30F4" w14:textId="77777777" w:rsidR="00CB3CF1" w:rsidRPr="0039386E" w:rsidRDefault="00CB3CF1" w:rsidP="0039386E">
      <w:pPr>
        <w:spacing w:before="100" w:beforeAutospacing="1" w:after="100" w:afterAutospacing="1"/>
        <w:rPr>
          <w:rFonts w:ascii="Arial" w:eastAsia="Times New Roman" w:hAnsi="Arial" w:cs="Arial"/>
          <w:kern w:val="0"/>
          <w:sz w:val="28"/>
          <w:szCs w:val="28"/>
          <w:lang w:eastAsia="en-GB"/>
          <w14:ligatures w14:val="none"/>
        </w:rPr>
      </w:pPr>
      <w:r w:rsidRPr="0039386E">
        <w:rPr>
          <w:rFonts w:ascii="Arial" w:eastAsia="Times New Roman" w:hAnsi="Arial" w:cs="Arial"/>
          <w:b/>
          <w:bCs/>
          <w:kern w:val="0"/>
          <w:sz w:val="28"/>
          <w:szCs w:val="28"/>
          <w:lang w:eastAsia="en-GB"/>
          <w14:ligatures w14:val="none"/>
        </w:rPr>
        <w:t>Examples from the Selected Studies</w:t>
      </w:r>
    </w:p>
    <w:p w14:paraId="25F1DA2F" w14:textId="77777777" w:rsidR="00CB3CF1" w:rsidRPr="0039386E" w:rsidRDefault="00CB3CF1" w:rsidP="0039386E">
      <w:pPr>
        <w:spacing w:before="100" w:beforeAutospacing="1" w:after="100" w:afterAutospacing="1"/>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The studies included in this review consistently emphasise the importance of early recognition and coordinated management of externalising disorders. Faraone et al. (2021) provide </w:t>
      </w:r>
      <w:r w:rsidRPr="0039386E">
        <w:rPr>
          <w:rFonts w:ascii="Arial" w:eastAsia="Times New Roman" w:hAnsi="Arial" w:cs="Arial"/>
          <w:kern w:val="0"/>
          <w:lang w:eastAsia="en-GB"/>
          <w14:ligatures w14:val="none"/>
        </w:rPr>
        <w:lastRenderedPageBreak/>
        <w:t>comprehensive evidence describing ADHD as a neurodevelopmental disorder affecting executive functioning, while Reiss (2013) highlights the influence of socioeconomic disadvantage on behavioural and emotional development. NICE (2017; 2018) complements these findings through evidence-based recommendations promoting multidisciplinary and family-centred care. Collectively, the evidence suggests that effective management of ADHD and conduct disorder requires early identification, comprehensive assessment and coordinated intervention that addresses children's biological, psychological and social needs.</w:t>
      </w:r>
    </w:p>
    <w:p w14:paraId="4A4BF2DF" w14:textId="77777777" w:rsidR="00CB3CF1" w:rsidRPr="0039386E" w:rsidRDefault="00CB3CF1" w:rsidP="0039386E">
      <w:pPr>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4.4 Theme Three: Biopsychosocial Risk Factors Associated with Childhood Psychopathology</w:t>
      </w:r>
    </w:p>
    <w:p w14:paraId="5EB13EE2"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thematic analysis identified biopsychosocial risk factors as a central theme influencing the development of psychopathology among children aged 10–12 years. Rather than arising from a single biological, psychological or environmental cause, childhood mental disorders develop through the interaction of multiple risk and protective factors that shape emotional, cognitive and behavioural development. This reflects the biopsychosocial model, which recognises that children's mental health is influenced by individual characteristics, family experiences and wider social environments. During late childhood, increasing academic expectations, changing peer relationships and the transition towards adolescence may heighten vulnerability to mental health difficulties. Biological factors contribute to children's susceptibility to mental disorders, although genetic vulnerability should not be viewed as a direct cause of psychopathology. Faraone et al. (2021) suggest that inherited susceptibility may increase the likelihood of conditions such as anxiety, depression and Attention Deficit Hyperactivity Disorder (ADHD), but mental health outcomes are also shaped by environmental experiences. This supports the biopsychosocial perspective, which recognises that biological influences interact continuously with psychological and social factors throughout development.</w:t>
      </w:r>
    </w:p>
    <w:p w14:paraId="50C65731"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Psychological factors also influence children's ability to respond to adversity. Emotional regulation, self-esteem, coping strategies and resilience affect how children manage stressful experiences and adapt to developmental challenges. Masten et al. (2021) argue that resilience is a dynamic process that can be strengthened through supportive relationships, positive school environments and community services rather than being viewed as a fixed personal characteristic. This suggests that interventions should focus on enhancing protective factors alongside reducing risks. Family relationships consistently emerge as one of the strongest influences on childhood mental health. Fearon et al. (2010) demonstrated that secure attachment is associated with more positive emotional development, whereas insecure attachment increases vulnerability to emotional and behavioural difficulties. Parental mental </w:t>
      </w:r>
      <w:r w:rsidRPr="0039386E">
        <w:rPr>
          <w:rFonts w:ascii="Arial" w:eastAsia="Times New Roman" w:hAnsi="Arial" w:cs="Arial"/>
          <w:kern w:val="0"/>
          <w:lang w:eastAsia="en-GB"/>
          <w14:ligatures w14:val="none"/>
        </w:rPr>
        <w:lastRenderedPageBreak/>
        <w:t>illness, family conflict and inconsistent parenting have also been linked to poorer psychological outcomes. However, these factors are not deterministic, as stable caregiving relationships and timely support may strengthen resilience. Consequently, family-centred approaches remain fundamental to assessment and intervention within UK health and social care. Adverse Childhood Experiences (ACEs) and socioeconomic disadvantage further increase children's vulnerability to psychopathology. Petruccelli, Davis and Berman (2019) found that exposure to multiple ACEs is associated with greater risks of anxiety, depression and behavioural difficulties, while Walsh et al. (2019) and Reiss (2013) demonstrate that socioeconomic disadvantage often increases children's exposure to cumulative psychological and environmental risks. Nevertheless, many children experiencing adversity demonstrate positive adjustment when protective factors, including supportive families, effective schools and access to appropriate services, are present. These findings reinforce the importance of addressing wider social determinants of health alongside individual clinical needs.</w:t>
      </w:r>
    </w:p>
    <w:p w14:paraId="640BCCA3"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Educational experiences also influence children's psychological wellbeing. Positive school environments promote resilience, emotional development and early identification of mental health difficulties, whereas bullying, peer victimisation and poor school connectedness increase the risk of anxiety, depression and behavioural problems. Arseneault (2018) identified bullying as a significant predictor of poorer emotional wellbeing, highlighting the importance of supportive educational environments during the transition from primary to secondary school. These findings emphasise that schools should be recognised as key partners in promoting children's mental health and facilitating access to early intervention. Although the evidence strongly supports the biopsychosocial model, several limitations should be acknowledged. Many studies identify associations rather than causal relationships, making it difficult to determine the relative contribution of individual risk factors. In addition, much of the available evidence includes broad child and adolescent populations rather than children aged 10–12 years specifically, limiting direct applicability to late childhood. Differences in study design and healthcare systems further contribute to variation across the evidence base. Consequently, further age-specific UK research is required to improve understanding of biopsychosocial influences during this developmental stage.</w:t>
      </w:r>
    </w:p>
    <w:p w14:paraId="33B68140" w14:textId="77777777" w:rsidR="00CB3CF1" w:rsidRPr="0039386E" w:rsidRDefault="00CB3CF1" w:rsidP="0039386E">
      <w:pPr>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Examples from the Selected Studies</w:t>
      </w:r>
    </w:p>
    <w:p w14:paraId="7B894DA3"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The studies included in this review consistently demonstrate that childhood psychopathology develops through interacting biological, psychological and social influences. Fearon et al. (2010) highlight the protective role of secure attachment, while Arseneault (2018) identifies bullying as a significant social risk factor. Reiss (2013) and Walsh et al. (2019) demonstrate how socioeconomic disadvantage contributes to cumulative risks, and Petruccelli, Davis and </w:t>
      </w:r>
      <w:r w:rsidRPr="0039386E">
        <w:rPr>
          <w:rFonts w:ascii="Arial" w:eastAsia="Times New Roman" w:hAnsi="Arial" w:cs="Arial"/>
          <w:kern w:val="0"/>
          <w:lang w:eastAsia="en-GB"/>
          <w14:ligatures w14:val="none"/>
        </w:rPr>
        <w:lastRenderedPageBreak/>
        <w:t>Berman (2019) show that multiple adverse childhood experiences substantially increase the likelihood of mental health difficulties. Collectively, these findings support the biopsychosocial framework underpinning this dissertation while highlighting the need for further research focused specifically on children aged 10–12 years.</w:t>
      </w:r>
    </w:p>
    <w:p w14:paraId="5D745ACD" w14:textId="77777777" w:rsidR="00CB3CF1" w:rsidRPr="0039386E" w:rsidRDefault="00CB3CF1" w:rsidP="0039386E">
      <w:pPr>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4.5 Theme Four: Early Intervention within UK Health and Social Care</w:t>
      </w:r>
    </w:p>
    <w:p w14:paraId="53CC5C96"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thematic analysis identified early intervention as the fourth major theme influencing outcomes for children aged 10–12 years experiencing mental disorders and psychopathology. Across the selected studies, early intervention was consistently associated with improved emotional wellbeing, educational engagement and social functioning, while reducing the likelihood that emerging mental health difficulties would become more severe or persistent. However, the evidence also indicates that intervention effectiveness varies according to the child's presenting needs, the type and timing of intervention, the quality of multidisciplinary collaboration and the accessibility of services. Consequently, early intervention should not be viewed as a single programme or treatment but as a coordinated process involving families, schools, healthcare professionals and social care services working together to identify concerns and provide timely, developmentally appropriate support.</w:t>
      </w:r>
    </w:p>
    <w:p w14:paraId="6208D8D5"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Patel et al., (2018) argue that many mental disorders begin before adulthood, making childhood a critical period for recognising psychological difficulties before they become established. Their findings suggest that investment in prevention and early support may improve long-term educational, emotional and social outcomes while reducing the wider economic burden associated with untreated mental illness. Although Patel et al.,(2018) examined broad child and adolescent populations rather than children aged 10–12 years specifically, the evidence remains relevant because late childhood is characterised by increasing academic expectations, changing peer relationships and preparation for the transition to secondary education. These developmental changes may increase vulnerability to psychological difficulties, highlighting the importance of identifying concerns before symptoms become more complex. Within the United Kingdom, Child and Adolescent Mental Health Services (CAMHS) provide specialist assessment and intervention for children experiencing moderate to severe mental health difficulties. Their multidisciplinary structure can support collaboration between psychiatrists, psychologists, mental health nurses, social workers and education professionals (NHS England, 2022). However, increasing demand and waiting times continue to affect timely access to support. In England, 949,200 children and young people were referred to mental health services in 2022–23, while 270,300 remained waiting for support. Although these figures cover a wider age range than children aged 10–12 </w:t>
      </w:r>
      <w:r w:rsidRPr="0039386E">
        <w:rPr>
          <w:rFonts w:ascii="Arial" w:eastAsia="Times New Roman" w:hAnsi="Arial" w:cs="Arial"/>
          <w:kern w:val="0"/>
          <w:lang w:eastAsia="en-GB"/>
          <w14:ligatures w14:val="none"/>
        </w:rPr>
        <w:lastRenderedPageBreak/>
        <w:t>years, they demonstrate service pressures that may delay early intervention (Children’s Commissioner, 2024).</w:t>
      </w:r>
    </w:p>
    <w:p w14:paraId="08734444"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Schools are important settings for early intervention because staff may notice changes in children’s attendance, behaviour, emotional wellbeing or educational engagement. However, teachers and pastoral staff should not be expected to diagnose mental disorders. Their role is to recognise potential concerns, provide appropriate pastoral support and follow clear referral pathways with families and relevant health or social care services. A whole-school approach, staff training and joint working with local services can strengthen early identification and support (Department for Education, 2018; National Institute for Health and Care Excellence, 2022). The literature also identifies an important gap for children whose emotional or behavioural difficulties significantly affect daily functioning but do not meet the threshold for specialist CAMHS intervention. These children may continue to experience declining educational attainment, family stress and social difficulties while waiting for further assessment or support. Consequently, responsibility frequently falls upon schools, GPs, school nursing services, local authority early-help teams and voluntary organisations to provide ongoing monitoring and intervention. This demonstrates that effective early intervention depends not only on specialist services but also on accessible community provision capable of supporting children before problems become more severe.</w:t>
      </w:r>
    </w:p>
    <w:p w14:paraId="490E92DC"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Effective early intervention also depends upon coordinated multidisciplinary collaboration. Schools, GPs, CAMHS, school nurses, social workers, local authorities, NHS Trusts and voluntary organisations each contribute different expertise to children's assessment and care. Shared care planning, effective communication and appropriate information sharing enable professionals to coordinate interventions across home, school and community settings while reducing unnecessary duplication of assessments. This collaborative approach reflects the biopsychosocial framework underpinning this dissertation by recognising that children's mental health is influenced by interconnected biological, psychological and social factors requiring integrated rather than isolated professional responses. Without effective partnership working, children may experience fragmented care, inconsistent support and delays in accessing appropriate interventions. Family involvement consistently emerged throughout the literature as a fundamental component of successful early intervention. Parents and carers are often the first to notice changes in their child's behaviour, emotional wellbeing or social functioning and therefore play an essential role in seeking support and maintaining engagement with interventions. NICE (2022) recommends that families should be actively involved in assessment, decision-making and intervention planning wherever appropriate. However, successful family involvement is influenced by wider contextual factors, including parental mental health, socioeconomic circumstances, cultural beliefs and access to local </w:t>
      </w:r>
      <w:r w:rsidRPr="0039386E">
        <w:rPr>
          <w:rFonts w:ascii="Arial" w:eastAsia="Times New Roman" w:hAnsi="Arial" w:cs="Arial"/>
          <w:kern w:val="0"/>
          <w:lang w:eastAsia="en-GB"/>
          <w14:ligatures w14:val="none"/>
        </w:rPr>
        <w:lastRenderedPageBreak/>
        <w:t>support services. Consequently, although family-centred approaches are associated with improved outcomes, interventions should remain flexible and responsive to the individual circumstances of each family rather than assuming equal capacity for participation.</w:t>
      </w:r>
    </w:p>
    <w:p w14:paraId="4F24D790"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Despite strong policy support, significant challenges continue to affect the implementation of early intervention across the United Kingdom. NHS Digital (2023) reports sustained increases in referrals to children's mental health services, placing considerable pressure on existing CAMHS resources and contributing to extended waiting times. During these delays, children may experience worsening emotional wellbeing, declining school attendance and increasing family stress. Furthermore, regional variation in service provision means that access to support may differ depending on where children live, creating inequalities in care. Reiss (2013) further argues that socioeconomic disadvantage increases children's exposure to multiple psychological and environmental risk factors while simultaneously reducing access to supportive resources, demonstrating that wider social inequalities continue to influence children's mental health outcomes. These findings suggest that improving early intervention requires more than simply expanding specialist services. Investment is also needed in workforce development, school-based mental health provision, early-help services and community organisations that provide preventative support below specialist thresholds. Teachers require appropriate mental health training and clear referral pathways, while healthcare professionals need sufficient workforce capacity to respond promptly once concerns are identified. Similarly, local authorities and voluntary organisations require sustainable funding to maintain community-based services that reduce pressure on specialist provision. Such investment may improve continuity of care, reduce waiting times and promote earlier access to support for children aged 10–12 years.</w:t>
      </w:r>
    </w:p>
    <w:p w14:paraId="536EA0C1" w14:textId="77777777" w:rsidR="00CB3CF1" w:rsidRPr="0039386E" w:rsidRDefault="00CB3CF1" w:rsidP="0039386E">
      <w:pPr>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Examples from the Selected Studies</w:t>
      </w:r>
    </w:p>
    <w:p w14:paraId="5619E61A"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The strongest studies included within the Results Summary Table consistently support the importance of early intervention while highlighting practical challenges in implementation. Patel et al., (2018) demonstrate that many mental disorders begin during childhood and argue that investment in prevention improves long-term outcomes. NICE (2022) recommends whole-school approaches, multidisciplinary collaboration and active family involvement to promote timely identification and intervention, while NHS Digital (2023) illustrates the increasing demand placed on CAMHS and the continuing pressures on service capacity. Reiss (2013) complements these findings by demonstrating how socioeconomic disadvantage influences both mental health risk and access to support. Collectively, these studies suggest that successful early intervention depends on coordinated working across health, education and </w:t>
      </w:r>
      <w:r w:rsidRPr="0039386E">
        <w:rPr>
          <w:rFonts w:ascii="Arial" w:eastAsia="Times New Roman" w:hAnsi="Arial" w:cs="Arial"/>
          <w:kern w:val="0"/>
          <w:lang w:eastAsia="en-GB"/>
          <w14:ligatures w14:val="none"/>
        </w:rPr>
        <w:lastRenderedPageBreak/>
        <w:t>social care, supported by adequate workforce capacity, accessible community services and equitable access to care for children aged 10–12 years.</w:t>
      </w:r>
    </w:p>
    <w:p w14:paraId="3A9D530E" w14:textId="77777777" w:rsidR="00CB3CF1" w:rsidRPr="0039386E" w:rsidRDefault="00CB3CF1" w:rsidP="0039386E">
      <w:pPr>
        <w:rPr>
          <w:rFonts w:ascii="Arial" w:eastAsia="Times New Roman" w:hAnsi="Arial" w:cs="Arial"/>
          <w:b/>
          <w:bCs/>
          <w:kern w:val="0"/>
          <w:sz w:val="28"/>
          <w:szCs w:val="28"/>
          <w:lang w:eastAsia="en-GB"/>
          <w14:ligatures w14:val="none"/>
        </w:rPr>
      </w:pPr>
      <w:r w:rsidRPr="0039386E">
        <w:rPr>
          <w:rFonts w:ascii="Arial" w:eastAsia="Times New Roman" w:hAnsi="Arial" w:cs="Arial"/>
          <w:b/>
          <w:bCs/>
          <w:kern w:val="0"/>
          <w:sz w:val="28"/>
          <w:szCs w:val="28"/>
          <w:lang w:eastAsia="en-GB"/>
          <w14:ligatures w14:val="none"/>
        </w:rPr>
        <w:t>4.6 Chapter Summary</w:t>
      </w:r>
    </w:p>
    <w:p w14:paraId="4088113C"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This chapter presented the findings of the thematic analysis undertaken as part of this desk-based secondary research and examined four key themes relating to mental disorders and psychopathology among children aged 10–12 years. The findings demonstrate that childhood mental health difficulties arise through complex interactions between emotional, behavioural, biological, psychological and social influences, reinforcing the importance of adopting a holistic approach to assessment and intervention within UK health and social care. The first theme highlighted the significance of internalising disorders, particularly anxiety and depression, which often remain unrecognised because symptoms are directed inwardly rather than expressed through disruptive behaviour. The evidence suggests that these conditions may negatively affect children's emotional wellbeing, educational engagement and peer relationships, emphasising the importance of early recognition and timely support within schools, primary care and community services.</w:t>
      </w:r>
    </w:p>
    <w:p w14:paraId="3F09F9C6"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The second theme examined externalising disorders, focusing on Attention Deficit Hyperactivity Disorder (ADHD) and conduct disorder. The findings indicate that these disorders should be understood as neurodevelopmental and behavioural conditions influenced by biological, psychological and environmental factors rather than simply behavioural problems. Effective management therefore requires comprehensive assessment, multidisciplinary collaboration and family-centred intervention to improve educational, social and emotional outcomes. The third theme explored the biopsychosocial risk factors associated with childhood psychopathology. The evidence demonstrates that genetic vulnerability, emotional development, family relationships, adverse childhood experiences, socioeconomic disadvantage and school environments interact to influence children's mental health. At the same time, protective factors such as secure attachment, supportive schools, resilience and positive family relationships may reduce vulnerability despite exposure to adversity. These findings reinforce the value of the biopsychosocial framework in understanding childhood mental disorders.</w:t>
      </w:r>
    </w:p>
    <w:p w14:paraId="7CBFE5A3" w14:textId="77777777" w:rsidR="00CB3CF1" w:rsidRPr="0039386E" w:rsidRDefault="00CB3CF1" w:rsidP="0039386E">
      <w:pPr>
        <w:rPr>
          <w:rFonts w:ascii="Arial" w:eastAsia="Times New Roman" w:hAnsi="Arial" w:cs="Arial"/>
          <w:kern w:val="0"/>
          <w:lang w:eastAsia="en-GB"/>
          <w14:ligatures w14:val="none"/>
        </w:rPr>
      </w:pPr>
      <w:r w:rsidRPr="0039386E">
        <w:rPr>
          <w:rFonts w:ascii="Arial" w:eastAsia="Times New Roman" w:hAnsi="Arial" w:cs="Arial"/>
          <w:kern w:val="0"/>
          <w:lang w:eastAsia="en-GB"/>
          <w14:ligatures w14:val="none"/>
        </w:rPr>
        <w:t xml:space="preserve">The final theme considered the importance of early intervention within UK health and social care. Across the selected studies, early identification, multidisciplinary working and active family involvement were consistently associated with more positive developmental outcomes. However, increasing demand for services, workforce shortages, regional inequalities and lengthy CAMHS waiting times continue to limit timely access to support. The evidence therefore suggests that effective early intervention depends upon integrated working across </w:t>
      </w:r>
      <w:r w:rsidRPr="0039386E">
        <w:rPr>
          <w:rFonts w:ascii="Arial" w:eastAsia="Times New Roman" w:hAnsi="Arial" w:cs="Arial"/>
          <w:kern w:val="0"/>
          <w:lang w:eastAsia="en-GB"/>
          <w14:ligatures w14:val="none"/>
        </w:rPr>
        <w:lastRenderedPageBreak/>
        <w:t>education, health and social care, supported by accessible community services and clear referral pathways. Overall, the findings indicate that improving outcomes for children aged 10–12 years requires coordinated, child-centred and family-focused approaches that recognise the interaction of biological, psychological and social influences. Although the evidence provides strong support for early intervention, relatively few studies specifically examine children aged 10–12 years, highlighting the need for further age-specific research within UK health and social care. The following chapter draws together these findings, evaluates how the research aim and objectives have been achieved, discusses the limitations of the study and presents recommendations for practice and future research.</w:t>
      </w:r>
    </w:p>
    <w:p w14:paraId="68D98DB5" w14:textId="77777777" w:rsidR="00CB3CF1" w:rsidRPr="0039386E" w:rsidRDefault="00CB3CF1" w:rsidP="0039386E">
      <w:pPr>
        <w:rPr>
          <w:rFonts w:ascii="Arial" w:eastAsia="Aptos" w:hAnsi="Arial" w:cs="Arial"/>
          <w:b/>
          <w:bCs/>
          <w:sz w:val="32"/>
          <w:szCs w:val="32"/>
          <w:lang w:eastAsia="en-US"/>
        </w:rPr>
      </w:pPr>
    </w:p>
    <w:p w14:paraId="7D1E3D61" w14:textId="77777777" w:rsidR="00CB3CF1" w:rsidRPr="0039386E" w:rsidRDefault="00CB3CF1" w:rsidP="0039386E">
      <w:pPr>
        <w:rPr>
          <w:rFonts w:ascii="Arial" w:eastAsia="Aptos" w:hAnsi="Arial" w:cs="Arial"/>
          <w:b/>
          <w:bCs/>
          <w:sz w:val="32"/>
          <w:szCs w:val="32"/>
          <w:lang w:eastAsia="en-US"/>
        </w:rPr>
      </w:pPr>
    </w:p>
    <w:p w14:paraId="0C25B045" w14:textId="77777777" w:rsidR="00CB3CF1" w:rsidRPr="0039386E" w:rsidRDefault="00CB3CF1" w:rsidP="0039386E">
      <w:pPr>
        <w:rPr>
          <w:rFonts w:ascii="Arial" w:eastAsia="Aptos" w:hAnsi="Arial" w:cs="Arial"/>
          <w:b/>
          <w:bCs/>
          <w:sz w:val="32"/>
          <w:szCs w:val="32"/>
          <w:lang w:eastAsia="en-US"/>
        </w:rPr>
      </w:pPr>
    </w:p>
    <w:p w14:paraId="1CE80EA0" w14:textId="77777777" w:rsidR="00CB3CF1" w:rsidRPr="0039386E" w:rsidRDefault="00CB3CF1" w:rsidP="0039386E">
      <w:pPr>
        <w:rPr>
          <w:rFonts w:ascii="Arial" w:eastAsia="Aptos" w:hAnsi="Arial" w:cs="Arial"/>
          <w:b/>
          <w:bCs/>
          <w:sz w:val="32"/>
          <w:szCs w:val="32"/>
          <w:lang w:eastAsia="en-US"/>
        </w:rPr>
      </w:pPr>
    </w:p>
    <w:p w14:paraId="0D85D583" w14:textId="77777777" w:rsidR="00CB3CF1" w:rsidRPr="0039386E" w:rsidRDefault="00CB3CF1" w:rsidP="0039386E">
      <w:pPr>
        <w:rPr>
          <w:rFonts w:ascii="Arial" w:eastAsia="Aptos" w:hAnsi="Arial" w:cs="Arial"/>
          <w:b/>
          <w:bCs/>
          <w:sz w:val="32"/>
          <w:szCs w:val="32"/>
          <w:lang w:eastAsia="en-US"/>
        </w:rPr>
      </w:pPr>
    </w:p>
    <w:p w14:paraId="625CBDB5" w14:textId="77777777" w:rsidR="00CB3CF1" w:rsidRPr="0039386E" w:rsidRDefault="00CB3CF1" w:rsidP="0039386E">
      <w:pPr>
        <w:rPr>
          <w:rFonts w:ascii="Arial" w:eastAsia="Aptos" w:hAnsi="Arial" w:cs="Arial"/>
          <w:b/>
          <w:bCs/>
          <w:sz w:val="32"/>
          <w:szCs w:val="32"/>
          <w:lang w:eastAsia="en-US"/>
        </w:rPr>
      </w:pPr>
    </w:p>
    <w:p w14:paraId="1AE6AEA9" w14:textId="77777777" w:rsidR="00CB3CF1" w:rsidRPr="0039386E" w:rsidRDefault="00CB3CF1" w:rsidP="0039386E">
      <w:pPr>
        <w:rPr>
          <w:rFonts w:ascii="Arial" w:eastAsia="Aptos" w:hAnsi="Arial" w:cs="Arial"/>
          <w:b/>
          <w:bCs/>
          <w:sz w:val="32"/>
          <w:szCs w:val="32"/>
          <w:lang w:eastAsia="en-US"/>
        </w:rPr>
      </w:pPr>
    </w:p>
    <w:p w14:paraId="1EC73E12" w14:textId="77777777" w:rsidR="00CB3CF1" w:rsidRPr="0039386E" w:rsidRDefault="00CB3CF1" w:rsidP="0039386E">
      <w:pPr>
        <w:rPr>
          <w:rFonts w:ascii="Arial" w:eastAsia="Aptos" w:hAnsi="Arial" w:cs="Arial"/>
          <w:b/>
          <w:bCs/>
          <w:sz w:val="32"/>
          <w:szCs w:val="32"/>
          <w:lang w:eastAsia="en-US"/>
        </w:rPr>
      </w:pPr>
    </w:p>
    <w:p w14:paraId="5CA5069D" w14:textId="77777777" w:rsidR="00CB3CF1" w:rsidRPr="0039386E" w:rsidRDefault="00CB3CF1" w:rsidP="0039386E">
      <w:pPr>
        <w:rPr>
          <w:rFonts w:ascii="Arial" w:eastAsia="Aptos" w:hAnsi="Arial" w:cs="Arial"/>
          <w:b/>
          <w:bCs/>
          <w:sz w:val="32"/>
          <w:szCs w:val="32"/>
          <w:lang w:eastAsia="en-US"/>
        </w:rPr>
      </w:pPr>
    </w:p>
    <w:p w14:paraId="41FB9937" w14:textId="77777777" w:rsidR="00CB3CF1" w:rsidRPr="0039386E" w:rsidRDefault="00CB3CF1" w:rsidP="0039386E">
      <w:pPr>
        <w:rPr>
          <w:rFonts w:ascii="Arial" w:eastAsia="Aptos" w:hAnsi="Arial" w:cs="Arial"/>
          <w:b/>
          <w:bCs/>
          <w:sz w:val="32"/>
          <w:szCs w:val="32"/>
          <w:lang w:eastAsia="en-US"/>
        </w:rPr>
      </w:pPr>
    </w:p>
    <w:p w14:paraId="6C31A733" w14:textId="77777777" w:rsidR="00CB3CF1" w:rsidRPr="0039386E" w:rsidRDefault="00CB3CF1" w:rsidP="0039386E">
      <w:pPr>
        <w:rPr>
          <w:rFonts w:ascii="Arial" w:eastAsia="Aptos" w:hAnsi="Arial" w:cs="Arial"/>
          <w:b/>
          <w:bCs/>
          <w:sz w:val="32"/>
          <w:szCs w:val="32"/>
          <w:lang w:eastAsia="en-US"/>
        </w:rPr>
      </w:pPr>
    </w:p>
    <w:p w14:paraId="47E82FA9" w14:textId="77777777" w:rsidR="00CB3CF1" w:rsidRPr="0039386E" w:rsidRDefault="00CB3CF1" w:rsidP="0039386E">
      <w:pPr>
        <w:rPr>
          <w:rFonts w:ascii="Arial" w:eastAsia="Aptos" w:hAnsi="Arial" w:cs="Arial"/>
          <w:b/>
          <w:bCs/>
          <w:sz w:val="32"/>
          <w:szCs w:val="32"/>
          <w:lang w:eastAsia="en-US"/>
        </w:rPr>
      </w:pPr>
    </w:p>
    <w:p w14:paraId="31794208" w14:textId="77777777" w:rsidR="00CB3CF1" w:rsidRPr="0039386E" w:rsidRDefault="00CB3CF1" w:rsidP="0039386E">
      <w:pPr>
        <w:rPr>
          <w:rFonts w:ascii="Arial" w:eastAsia="Aptos" w:hAnsi="Arial" w:cs="Arial"/>
          <w:b/>
          <w:bCs/>
          <w:sz w:val="32"/>
          <w:szCs w:val="32"/>
          <w:lang w:eastAsia="en-US"/>
        </w:rPr>
      </w:pPr>
    </w:p>
    <w:p w14:paraId="13E70C5E" w14:textId="77777777" w:rsidR="00CB3CF1" w:rsidRPr="0039386E" w:rsidRDefault="00CB3CF1" w:rsidP="0039386E">
      <w:pPr>
        <w:rPr>
          <w:rFonts w:ascii="Arial" w:eastAsia="Aptos" w:hAnsi="Arial" w:cs="Arial"/>
          <w:b/>
          <w:bCs/>
          <w:sz w:val="32"/>
          <w:szCs w:val="32"/>
          <w:lang w:eastAsia="en-US"/>
        </w:rPr>
      </w:pPr>
    </w:p>
    <w:p w14:paraId="21D2355C" w14:textId="77777777" w:rsidR="00CB3CF1" w:rsidRPr="0039386E" w:rsidRDefault="00CB3CF1" w:rsidP="0039386E">
      <w:pPr>
        <w:rPr>
          <w:rFonts w:ascii="Arial" w:eastAsia="Aptos" w:hAnsi="Arial" w:cs="Arial"/>
          <w:b/>
          <w:bCs/>
          <w:sz w:val="32"/>
          <w:szCs w:val="32"/>
          <w:lang w:eastAsia="en-US"/>
        </w:rPr>
      </w:pPr>
    </w:p>
    <w:p w14:paraId="1855E1A4" w14:textId="77777777" w:rsidR="00CB3CF1" w:rsidRPr="0039386E" w:rsidRDefault="00CB3CF1" w:rsidP="0039386E">
      <w:pPr>
        <w:pStyle w:val="Heading1"/>
        <w:jc w:val="both"/>
        <w:rPr>
          <w:rFonts w:cs="Arial"/>
        </w:rPr>
      </w:pPr>
      <w:r w:rsidRPr="0039386E">
        <w:rPr>
          <w:rFonts w:cs="Arial"/>
        </w:rPr>
        <w:lastRenderedPageBreak/>
        <w:t>Chapter 5: Conclusion and Recommendations</w:t>
      </w:r>
    </w:p>
    <w:p w14:paraId="77CA8031" w14:textId="77777777" w:rsidR="00583E08" w:rsidRPr="0039386E" w:rsidRDefault="00583E08" w:rsidP="0039386E">
      <w:pPr>
        <w:pStyle w:val="Heading1"/>
        <w:jc w:val="both"/>
        <w:rPr>
          <w:rFonts w:cs="Arial"/>
        </w:rPr>
      </w:pPr>
    </w:p>
    <w:p w14:paraId="31BE148A"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5.1 Introduction</w:t>
      </w:r>
    </w:p>
    <w:p w14:paraId="6426C24E"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This chapter presents the conclusions of the dissertation by drawing together the findings generated through desk-based secondary research and thematic analysis. The study explored mental disorders and psychopathology among children aged 10–12 years and examined the importance of early intervention within UK health and social care. This chapter evaluates how the research aim and objectives were addressed, summarises the main conclusions, presents recommendations for practice, acknowledges the study’s limitations and identifies priorities for future research.</w:t>
      </w:r>
    </w:p>
    <w:p w14:paraId="3DF911D0"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5.2 Achievement of the Research Aim and Objectives</w:t>
      </w:r>
    </w:p>
    <w:p w14:paraId="172D2C7C"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The aim of this dissertation was to explore mental disorders and psychopathology among children aged 10–12 years and critically examine the importance of early intervention within UK health and social care. This aim was achieved through the synthesis and critical evaluation of research studies, reviews, clinical guidance and policy evidence.</w:t>
      </w:r>
    </w:p>
    <w:p w14:paraId="3B10554F"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The first objective examined common mental disorders affecting children aged 10–12 years. The findings identified anxiety, depression, Attention Deficit Hyperactivity Disorder (ADHD) and conduct disorder as the conditions most frequently discussed within the evidence. Internalising disorders may remain unrecognised because symptoms such as worry, withdrawal and low mood are less visible than disruptive behaviour. In comparison, externalising disorders may be identified earlier because inattention, impulsivity, aggression and behavioural difficulties are more noticeable within school and family settings. Both forms of disorder were associated with negative effects on emotional wellbeing, education, peer relationships and everyday functioning.</w:t>
      </w:r>
    </w:p>
    <w:p w14:paraId="7CA57D61"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The second objective examined biopsychosocial factors associated with childhood psychopathology. The findings showed that mental disorders develop through interactions between biological vulnerability, psychological development and wider social influences rather than a single cause. Family relationships, adverse childhood experiences, poverty, school pressures and peer relationships were important risk factors. However, secure attachments, supportive schools, positive coping strategies and stable relationships may promote resilience. These findings support the biopsychosocial framework and demonstrate the importance of holistic, child-centred assessment.</w:t>
      </w:r>
    </w:p>
    <w:p w14:paraId="73C7EF97"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 xml:space="preserve">The final objective evaluated the importance of early intervention. Early identification, evidence-informed support and multidisciplinary collaboration were associated with improved </w:t>
      </w:r>
      <w:r w:rsidRPr="0039386E">
        <w:rPr>
          <w:rFonts w:ascii="Arial" w:eastAsia="Aptos" w:hAnsi="Arial" w:cs="Arial"/>
          <w:lang w:eastAsia="en-US"/>
        </w:rPr>
        <w:lastRenderedPageBreak/>
        <w:t>emotional wellbeing, educational engagement and social functioning. However, increasing demand for Child and Adolescent Mental Health Services (CAMHS), workforce pressures, service thresholds and regional inequalities continue to delay access. Overall, the findings demonstrate that the research aim and objectives were achieved while also identifying areas requiring further service development and research.</w:t>
      </w:r>
    </w:p>
    <w:p w14:paraId="583F6FB6"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5.3 Key Conclusions</w:t>
      </w:r>
    </w:p>
    <w:p w14:paraId="14AD7CB3"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Childhood psychopathology among children aged 10–12 years is an important health and social care issue requiring developmentally appropriate and preventative support. Anxiety, depression, ADHD and conduct disorder can affect children’s emotional development, education, relationships and family life. These conditions should not be understood only through their symptoms because children’s experiences are also shaped by biological, psychological and social circumstances. A central conclusion is that early identification may prevent emerging difficulties from becoming more severe or persistent. Schools are particularly important because teachers and pastoral staff may notice changes in behaviour, attendance, academic performance or social interaction. However, education professionals should not be expected to diagnose mental disorders. Effective support requires clear referral pathways and collaboration between families, schools, primary care, social care and specialist mental health services. The findings also demonstrate that no single organisation can address childhood psychopathology independently. Multidisciplinary working may improve continuity of care and ensure that emotional, behavioural, educational and social needs are considered together. Nevertheless, the effectiveness of early intervention depends on the availability and accessibility of services. Long waiting times, workforce shortages and high intervention thresholds may leave some children without timely support.</w:t>
      </w:r>
    </w:p>
    <w:p w14:paraId="5E95A1DD"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5.4 Recommendations for Health and Social Care Practice</w:t>
      </w:r>
    </w:p>
    <w:p w14:paraId="2D6F7606"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Recommendation One: Strengthen Early Identification in Schools</w:t>
      </w:r>
    </w:p>
    <w:p w14:paraId="280F9CBF"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Teachers, teaching assistants, pastoral staff and Special Educational Needs Coordinators should receive regular mental health awareness training. Training should help staff recognise signs of anxiety, depression, ADHD and behavioural difficulties while avoiding the misinterpretation of psychological distress as poor behaviour or low ability. Schools should also maintain clear referral pathways to school mental health practitioners, GPs, early-help services and CAMHS.</w:t>
      </w:r>
    </w:p>
    <w:p w14:paraId="79FD19AF" w14:textId="77777777" w:rsidR="00CB3CF1" w:rsidRPr="0039386E" w:rsidRDefault="00CB3CF1" w:rsidP="0039386E">
      <w:pPr>
        <w:rPr>
          <w:rFonts w:ascii="Arial" w:eastAsia="Aptos" w:hAnsi="Arial" w:cs="Arial"/>
          <w:lang w:eastAsia="en-US"/>
        </w:rPr>
      </w:pPr>
    </w:p>
    <w:p w14:paraId="7DCF47A8"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lastRenderedPageBreak/>
        <w:t>Recommendation Two: Improve Access to CAMHS and Community Support</w:t>
      </w:r>
    </w:p>
    <w:p w14:paraId="13FCE641"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CAMHS capacity should be increased through workforce investment and reduced waiting times. Greater community provision is also required for children whose needs do not meet specialist thresholds. Support delivered through schools, primary care, local authorities and voluntary organisations may help children receive earlier intervention and reduce pressure on specialist services.</w:t>
      </w:r>
    </w:p>
    <w:p w14:paraId="681A0694"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Recommendation Three: Strengthen Multidisciplinary Working</w:t>
      </w:r>
    </w:p>
    <w:p w14:paraId="497B5A18"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Health, education and social care services should use clear referral pathways, shared care plans and named professionals to coordinate support where several agencies are involved. Appropriate information sharing should follow safeguarding, confidentiality and data protection requirements. Children and families should also be involved in decisions about assessment, intervention and review.</w:t>
      </w:r>
    </w:p>
    <w:p w14:paraId="1C3C2E00"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Recommendation Four: Expand Preventative and Family-Centred Support</w:t>
      </w:r>
    </w:p>
    <w:p w14:paraId="4BBD8353"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Preventative services should include parenting programmes, family psychoeducation, early-help provision and school-based mental health support. Additional assistance should be available for families affected by poverty, adverse childhood experiences, parental mental illness or housing instability. Support should be flexible and adapted to individual family circumstances rather than relying on standardised approaches.</w:t>
      </w:r>
    </w:p>
    <w:p w14:paraId="4063F260"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5.5 Limitations of the Study</w:t>
      </w:r>
    </w:p>
    <w:p w14:paraId="555623F1"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This dissertation was based on desk-based secondary research and therefore depended on the quality and availability of existing evidence rather than primary data collection (Aveyard, 2019). Only English-language publications were included, which may have excluded relevant international evidence. Much of the literature examined broad child and adolescent populations rather than children aged 10–12 years specifically. This reduced the direct applicability of some findings to late childhood. Differences in study design, samples, outcome measures and healthcare systems also limited comparison between sources. Several studies were conducted outside the United Kingdom, meaning that some findings may not fully reflect UK services and referral pathways. The thematic analysis was also influenced by the researcher’s interpretation when developing codes and themes. However, the use of peer-</w:t>
      </w:r>
      <w:r w:rsidRPr="0039386E">
        <w:rPr>
          <w:rFonts w:ascii="Arial" w:eastAsia="Aptos" w:hAnsi="Arial" w:cs="Arial"/>
          <w:lang w:eastAsia="en-US"/>
        </w:rPr>
        <w:lastRenderedPageBreak/>
        <w:t>reviewed research, reviews, clinical guidance and policy documents strengthened the credibility of the conclusions.</w:t>
      </w:r>
    </w:p>
    <w:p w14:paraId="64ADB0EF"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5.6 Recommendations for Future Research</w:t>
      </w:r>
    </w:p>
    <w:p w14:paraId="7669BF9A"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Future UK research should focus specifically on children aged 10–12 years. Longitudinal studies would improve understanding of how mental disorders develop during late childhood and how early intervention affects outcomes over time. Further studies should evaluate school-based programmes, family-centred interventions and multidisciplinary models of care. Research should also examine CAMHS waiting times, referral thresholds and community support available below specialist service criteria. Greater attention is required to socioeconomic disadvantage, cultural diversity and geographical inequalities. Understanding how these factors influence access and outcomes would support more equitable and culturally appropriate services.</w:t>
      </w:r>
    </w:p>
    <w:p w14:paraId="51E85DAC" w14:textId="77777777" w:rsidR="00CB3CF1" w:rsidRPr="0039386E" w:rsidRDefault="00CB3CF1" w:rsidP="0039386E">
      <w:pPr>
        <w:rPr>
          <w:rFonts w:ascii="Arial" w:eastAsia="Aptos" w:hAnsi="Arial" w:cs="Arial"/>
          <w:b/>
          <w:bCs/>
          <w:sz w:val="28"/>
          <w:szCs w:val="28"/>
          <w:lang w:eastAsia="en-US"/>
        </w:rPr>
      </w:pPr>
      <w:r w:rsidRPr="0039386E">
        <w:rPr>
          <w:rFonts w:ascii="Arial" w:eastAsia="Aptos" w:hAnsi="Arial" w:cs="Arial"/>
          <w:b/>
          <w:bCs/>
          <w:sz w:val="28"/>
          <w:szCs w:val="28"/>
          <w:lang w:eastAsia="en-US"/>
        </w:rPr>
        <w:t>5.7 Conclusion</w:t>
      </w:r>
    </w:p>
    <w:p w14:paraId="5A5E6A85" w14:textId="77777777" w:rsidR="00CB3CF1" w:rsidRPr="0039386E" w:rsidRDefault="00CB3CF1" w:rsidP="0039386E">
      <w:pPr>
        <w:rPr>
          <w:rFonts w:ascii="Arial" w:eastAsia="Aptos" w:hAnsi="Arial" w:cs="Arial"/>
          <w:lang w:eastAsia="en-US"/>
        </w:rPr>
      </w:pPr>
      <w:r w:rsidRPr="0039386E">
        <w:rPr>
          <w:rFonts w:ascii="Arial" w:eastAsia="Aptos" w:hAnsi="Arial" w:cs="Arial"/>
          <w:lang w:eastAsia="en-US"/>
        </w:rPr>
        <w:t>This dissertation found that anxiety, depression, ADHD and conduct disorder are important mental health conditions affecting children aged 10–12 years. Their development is influenced by interacting biological, psychological and social factors, supporting the need for holistic and child-centred assessment. Early identification and coordinated intervention may improve emotional wellbeing, educational participation and social development. However, increasing demand, workforce pressures and inequalities in access remain significant challenges. Overall, improving outcomes requires sustained investment in early identification, preventative services, family-centred support and multidisciplinary working. Strengthening collaboration across health, education and social care may help UK services provide more timely, equitable and developmentally appropriate support for children during late childhood.</w:t>
      </w:r>
    </w:p>
    <w:p w14:paraId="732964C1" w14:textId="77777777" w:rsidR="00CB3CF1" w:rsidRPr="0039386E" w:rsidRDefault="00CB3CF1" w:rsidP="0039386E">
      <w:pPr>
        <w:rPr>
          <w:rFonts w:ascii="Arial" w:eastAsia="Aptos" w:hAnsi="Arial" w:cs="Arial"/>
          <w:b/>
          <w:bCs/>
          <w:lang w:eastAsia="en-US"/>
        </w:rPr>
      </w:pPr>
    </w:p>
    <w:p w14:paraId="160B244C" w14:textId="77777777" w:rsidR="00CB3CF1" w:rsidRPr="0039386E" w:rsidRDefault="00CB3CF1" w:rsidP="0039386E">
      <w:pPr>
        <w:rPr>
          <w:rFonts w:ascii="Arial" w:eastAsia="Aptos" w:hAnsi="Arial" w:cs="Arial"/>
          <w:b/>
          <w:bCs/>
          <w:lang w:eastAsia="en-US"/>
        </w:rPr>
      </w:pPr>
    </w:p>
    <w:p w14:paraId="447C258A" w14:textId="77777777" w:rsidR="00CB3CF1" w:rsidRPr="0039386E" w:rsidRDefault="00CB3CF1" w:rsidP="0039386E">
      <w:pPr>
        <w:rPr>
          <w:rFonts w:ascii="Arial" w:eastAsia="Aptos" w:hAnsi="Arial" w:cs="Arial"/>
          <w:b/>
          <w:bCs/>
          <w:lang w:eastAsia="en-US"/>
        </w:rPr>
      </w:pPr>
    </w:p>
    <w:p w14:paraId="69B9063B" w14:textId="77777777" w:rsidR="00CB3CF1" w:rsidRPr="0039386E" w:rsidRDefault="00CB3CF1" w:rsidP="0039386E">
      <w:pPr>
        <w:rPr>
          <w:rFonts w:ascii="Arial" w:eastAsia="Aptos" w:hAnsi="Arial" w:cs="Arial"/>
          <w:b/>
          <w:bCs/>
          <w:lang w:eastAsia="en-US"/>
        </w:rPr>
      </w:pPr>
    </w:p>
    <w:p w14:paraId="7A31033C" w14:textId="77777777" w:rsidR="00CB3CF1" w:rsidRPr="0039386E" w:rsidRDefault="00CB3CF1" w:rsidP="0039386E">
      <w:pPr>
        <w:rPr>
          <w:rFonts w:ascii="Arial" w:eastAsia="Aptos" w:hAnsi="Arial" w:cs="Arial"/>
          <w:b/>
          <w:bCs/>
          <w:lang w:eastAsia="en-US"/>
        </w:rPr>
      </w:pPr>
    </w:p>
    <w:p w14:paraId="45561406" w14:textId="77777777" w:rsidR="00CB3CF1" w:rsidRPr="0039386E" w:rsidRDefault="00CB3CF1" w:rsidP="0039386E">
      <w:pPr>
        <w:rPr>
          <w:rFonts w:ascii="Arial" w:eastAsia="Aptos" w:hAnsi="Arial" w:cs="Arial"/>
          <w:b/>
          <w:bCs/>
          <w:lang w:eastAsia="en-US"/>
        </w:rPr>
      </w:pPr>
    </w:p>
    <w:p w14:paraId="2E7C244F" w14:textId="77777777" w:rsidR="00CB3CF1" w:rsidRPr="0039386E" w:rsidRDefault="00CB3CF1" w:rsidP="0039386E">
      <w:pPr>
        <w:rPr>
          <w:rFonts w:ascii="Arial" w:eastAsia="Aptos" w:hAnsi="Arial" w:cs="Arial"/>
          <w:b/>
          <w:bCs/>
          <w:lang w:eastAsia="en-US"/>
        </w:rPr>
      </w:pPr>
    </w:p>
    <w:p w14:paraId="3CAE588D" w14:textId="77777777" w:rsidR="000A2779" w:rsidRPr="0039386E" w:rsidRDefault="000A2779" w:rsidP="0039386E">
      <w:pPr>
        <w:rPr>
          <w:rFonts w:ascii="Arial" w:eastAsia="Aptos" w:hAnsi="Arial" w:cs="Arial"/>
          <w:b/>
          <w:bCs/>
          <w:lang w:eastAsia="en-US"/>
        </w:rPr>
      </w:pPr>
    </w:p>
    <w:p w14:paraId="6B89AEF5" w14:textId="77777777" w:rsidR="00CB3CF1" w:rsidRPr="0039386E" w:rsidRDefault="00CB3CF1" w:rsidP="0039386E">
      <w:pPr>
        <w:pStyle w:val="Heading1"/>
        <w:jc w:val="both"/>
        <w:rPr>
          <w:rFonts w:cs="Arial"/>
        </w:rPr>
      </w:pPr>
      <w:r w:rsidRPr="0039386E">
        <w:rPr>
          <w:rFonts w:cs="Arial"/>
        </w:rPr>
        <w:lastRenderedPageBreak/>
        <w:t>References</w:t>
      </w:r>
    </w:p>
    <w:p w14:paraId="2A5B746B" w14:textId="77777777" w:rsidR="00583E08" w:rsidRPr="0039386E" w:rsidRDefault="00583E08" w:rsidP="0039386E">
      <w:pPr>
        <w:pStyle w:val="Heading1"/>
        <w:jc w:val="both"/>
        <w:rPr>
          <w:rFonts w:cs="Arial"/>
        </w:rPr>
      </w:pPr>
    </w:p>
    <w:p w14:paraId="1C09D90E"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Achenbach, T.M. and Edelbrock, C.S. (1978) ‘The classification of child psychopathology: A review and analysis of empirical efforts’, </w:t>
      </w:r>
      <w:r w:rsidRPr="0039386E">
        <w:rPr>
          <w:rFonts w:ascii="Arial" w:eastAsia="Aptos" w:hAnsi="Arial" w:cs="Arial"/>
          <w:i/>
          <w:iCs/>
          <w:lang w:eastAsia="en-US"/>
        </w:rPr>
        <w:t>Psychological Bulletin</w:t>
      </w:r>
      <w:r w:rsidRPr="0039386E">
        <w:rPr>
          <w:rFonts w:ascii="Arial" w:eastAsia="Aptos" w:hAnsi="Arial" w:cs="Arial"/>
          <w:lang w:eastAsia="en-US"/>
        </w:rPr>
        <w:t>, 85(6), pp. 1275–1301. Available at: https://doi.org/10.1037/0033-2909.85.6.1275</w:t>
      </w:r>
    </w:p>
    <w:p w14:paraId="40D89EDD"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Allen, G. (2011) </w:t>
      </w:r>
      <w:r w:rsidRPr="0039386E">
        <w:rPr>
          <w:rFonts w:ascii="Arial" w:eastAsia="Aptos" w:hAnsi="Arial" w:cs="Arial"/>
          <w:i/>
          <w:iCs/>
          <w:lang w:eastAsia="en-US"/>
        </w:rPr>
        <w:t>Early Intervention: The Next Steps</w:t>
      </w:r>
      <w:r w:rsidRPr="0039386E">
        <w:rPr>
          <w:rFonts w:ascii="Arial" w:eastAsia="Aptos" w:hAnsi="Arial" w:cs="Arial"/>
          <w:lang w:eastAsia="en-US"/>
        </w:rPr>
        <w:t>. London: HM Government. Available at: https://www.gov.uk/government/publications/early-intervention-next-steps (Accessed: 23 July 2026).</w:t>
      </w:r>
    </w:p>
    <w:p w14:paraId="515367A4"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American Psychiatric Association (2013) </w:t>
      </w:r>
      <w:r w:rsidRPr="0039386E">
        <w:rPr>
          <w:rFonts w:ascii="Arial" w:eastAsia="Aptos" w:hAnsi="Arial" w:cs="Arial"/>
          <w:i/>
          <w:iCs/>
          <w:lang w:eastAsia="en-US"/>
        </w:rPr>
        <w:t>Diagnostic and Statistical Manual of Mental Disorders (DSM-5)</w:t>
      </w:r>
      <w:r w:rsidRPr="0039386E">
        <w:rPr>
          <w:rFonts w:ascii="Arial" w:eastAsia="Aptos" w:hAnsi="Arial" w:cs="Arial"/>
          <w:lang w:eastAsia="en-US"/>
        </w:rPr>
        <w:t xml:space="preserve">. 5th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Arlington, VA: American Psychiatric Publishing.</w:t>
      </w:r>
    </w:p>
    <w:p w14:paraId="07BBD2E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American Psychiatric Association (2022) </w:t>
      </w:r>
      <w:r w:rsidRPr="0039386E">
        <w:rPr>
          <w:rFonts w:ascii="Arial" w:eastAsia="Aptos" w:hAnsi="Arial" w:cs="Arial"/>
          <w:i/>
          <w:iCs/>
          <w:lang w:eastAsia="en-US"/>
        </w:rPr>
        <w:t>Diagnostic and Statistical Manual of Mental Disorders (DSM-5-TR)</w:t>
      </w:r>
      <w:r w:rsidRPr="0039386E">
        <w:rPr>
          <w:rFonts w:ascii="Arial" w:eastAsia="Aptos" w:hAnsi="Arial" w:cs="Arial"/>
          <w:lang w:eastAsia="en-US"/>
        </w:rPr>
        <w:t xml:space="preserve">. 5th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text revision. Washington, DC: American Psychiatric Association Publishing.</w:t>
      </w:r>
    </w:p>
    <w:p w14:paraId="4B959C1D"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Angold, A., Costello, E.J. and </w:t>
      </w:r>
      <w:proofErr w:type="spellStart"/>
      <w:r w:rsidRPr="0039386E">
        <w:rPr>
          <w:rFonts w:ascii="Arial" w:eastAsia="Aptos" w:hAnsi="Arial" w:cs="Arial"/>
          <w:lang w:eastAsia="en-US"/>
        </w:rPr>
        <w:t>Erkanli</w:t>
      </w:r>
      <w:proofErr w:type="spellEnd"/>
      <w:r w:rsidRPr="0039386E">
        <w:rPr>
          <w:rFonts w:ascii="Arial" w:eastAsia="Aptos" w:hAnsi="Arial" w:cs="Arial"/>
          <w:lang w:eastAsia="en-US"/>
        </w:rPr>
        <w:t xml:space="preserve">, A. (1999) ‘Comorbidity’, </w:t>
      </w:r>
      <w:r w:rsidRPr="0039386E">
        <w:rPr>
          <w:rFonts w:ascii="Arial" w:eastAsia="Aptos" w:hAnsi="Arial" w:cs="Arial"/>
          <w:i/>
          <w:iCs/>
          <w:lang w:eastAsia="en-US"/>
        </w:rPr>
        <w:t>Journal of Child Psychology and Psychiatry</w:t>
      </w:r>
      <w:r w:rsidRPr="0039386E">
        <w:rPr>
          <w:rFonts w:ascii="Arial" w:eastAsia="Aptos" w:hAnsi="Arial" w:cs="Arial"/>
          <w:lang w:eastAsia="en-US"/>
        </w:rPr>
        <w:t>, 40(1), pp. 57–87. Available at: https://doi.org/10.1111/1469-7610.00424</w:t>
      </w:r>
    </w:p>
    <w:p w14:paraId="4592DBFA"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Arseneault, L. (2018) ‘Annual Research Review: The persistent and pervasive impact of being bullied in childhood and adolescence: Implications for policy and practice’, </w:t>
      </w:r>
      <w:r w:rsidRPr="0039386E">
        <w:rPr>
          <w:rFonts w:ascii="Arial" w:eastAsia="Aptos" w:hAnsi="Arial" w:cs="Arial"/>
          <w:i/>
          <w:iCs/>
          <w:lang w:eastAsia="en-US"/>
        </w:rPr>
        <w:t>Journal of Child Psychology and Psychiatry</w:t>
      </w:r>
      <w:r w:rsidRPr="0039386E">
        <w:rPr>
          <w:rFonts w:ascii="Arial" w:eastAsia="Aptos" w:hAnsi="Arial" w:cs="Arial"/>
          <w:lang w:eastAsia="en-US"/>
        </w:rPr>
        <w:t xml:space="preserve">, 59(4), pp. 405–421. Available at: </w:t>
      </w:r>
      <w:hyperlink r:id="rId15" w:tgtFrame="_new" w:history="1">
        <w:r w:rsidRPr="0039386E">
          <w:rPr>
            <w:rFonts w:ascii="Arial" w:eastAsia="Aptos" w:hAnsi="Arial" w:cs="Arial"/>
            <w:color w:val="467886"/>
            <w:u w:val="single"/>
            <w:lang w:eastAsia="en-US"/>
          </w:rPr>
          <w:t>https://doi.org/10.1111/jcpp.12841</w:t>
        </w:r>
      </w:hyperlink>
    </w:p>
    <w:p w14:paraId="2E0DDEB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Atkinson, M., Jones, M. and Lamont, E. (2007) </w:t>
      </w:r>
      <w:r w:rsidRPr="0039386E">
        <w:rPr>
          <w:rFonts w:ascii="Arial" w:eastAsia="Aptos" w:hAnsi="Arial" w:cs="Arial"/>
          <w:i/>
          <w:iCs/>
          <w:lang w:eastAsia="en-US"/>
        </w:rPr>
        <w:t>Multi-agency Working and Its Implications for Practice: A Review of the Literature</w:t>
      </w:r>
      <w:r w:rsidRPr="0039386E">
        <w:rPr>
          <w:rFonts w:ascii="Arial" w:eastAsia="Aptos" w:hAnsi="Arial" w:cs="Arial"/>
          <w:lang w:eastAsia="en-US"/>
        </w:rPr>
        <w:t>. Slough: National Foundation for Educational Research.</w:t>
      </w:r>
    </w:p>
    <w:p w14:paraId="6524C9BF"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Aveyard, H. (2019) </w:t>
      </w:r>
      <w:r w:rsidRPr="0039386E">
        <w:rPr>
          <w:rFonts w:ascii="Arial" w:eastAsia="Aptos" w:hAnsi="Arial" w:cs="Arial"/>
          <w:i/>
          <w:iCs/>
          <w:lang w:eastAsia="en-US"/>
        </w:rPr>
        <w:t>Doing a Literature Review in Health and Social Care: A Practical Guide</w:t>
      </w:r>
      <w:r w:rsidRPr="0039386E">
        <w:rPr>
          <w:rFonts w:ascii="Arial" w:eastAsia="Aptos" w:hAnsi="Arial" w:cs="Arial"/>
          <w:lang w:eastAsia="en-US"/>
        </w:rPr>
        <w:t xml:space="preserve">. 4th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Maidenhead: Open University Press.</w:t>
      </w:r>
    </w:p>
    <w:p w14:paraId="4F5C8CFC"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Beck, A.T. (1976) </w:t>
      </w:r>
      <w:r w:rsidRPr="0039386E">
        <w:rPr>
          <w:rFonts w:ascii="Arial" w:eastAsia="Aptos" w:hAnsi="Arial" w:cs="Arial"/>
          <w:i/>
          <w:iCs/>
          <w:lang w:eastAsia="en-US"/>
        </w:rPr>
        <w:t>Cognitive Therapy and the Emotional Disorders</w:t>
      </w:r>
      <w:r w:rsidRPr="0039386E">
        <w:rPr>
          <w:rFonts w:ascii="Arial" w:eastAsia="Aptos" w:hAnsi="Arial" w:cs="Arial"/>
          <w:lang w:eastAsia="en-US"/>
        </w:rPr>
        <w:t>. New York: International Universities Press.</w:t>
      </w:r>
    </w:p>
    <w:p w14:paraId="2C998F44"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Bowlby, J. (1969) </w:t>
      </w:r>
      <w:r w:rsidRPr="0039386E">
        <w:rPr>
          <w:rFonts w:ascii="Arial" w:eastAsia="Aptos" w:hAnsi="Arial" w:cs="Arial"/>
          <w:i/>
          <w:iCs/>
          <w:lang w:eastAsia="en-US"/>
        </w:rPr>
        <w:t>Attachment and Loss. Volume 1: Attachment</w:t>
      </w:r>
      <w:r w:rsidRPr="0039386E">
        <w:rPr>
          <w:rFonts w:ascii="Arial" w:eastAsia="Aptos" w:hAnsi="Arial" w:cs="Arial"/>
          <w:lang w:eastAsia="en-US"/>
        </w:rPr>
        <w:t>. London: Hogarth Press.</w:t>
      </w:r>
    </w:p>
    <w:p w14:paraId="1A19F6E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Braun, V. and Clarke, V. (2006) ‘Using thematic analysis in psychology’, </w:t>
      </w:r>
      <w:r w:rsidRPr="0039386E">
        <w:rPr>
          <w:rFonts w:ascii="Arial" w:eastAsia="Aptos" w:hAnsi="Arial" w:cs="Arial"/>
          <w:i/>
          <w:iCs/>
          <w:lang w:eastAsia="en-US"/>
        </w:rPr>
        <w:t>Qualitative Research in Psychology</w:t>
      </w:r>
      <w:r w:rsidRPr="0039386E">
        <w:rPr>
          <w:rFonts w:ascii="Arial" w:eastAsia="Aptos" w:hAnsi="Arial" w:cs="Arial"/>
          <w:lang w:eastAsia="en-US"/>
        </w:rPr>
        <w:t xml:space="preserve">, 3(2), pp. 77–101. Available at: </w:t>
      </w:r>
      <w:hyperlink r:id="rId16" w:tgtFrame="_new" w:history="1">
        <w:r w:rsidRPr="0039386E">
          <w:rPr>
            <w:rFonts w:ascii="Arial" w:eastAsia="Aptos" w:hAnsi="Arial" w:cs="Arial"/>
            <w:color w:val="467886"/>
            <w:u w:val="single"/>
            <w:lang w:eastAsia="en-US"/>
          </w:rPr>
          <w:t>https://doi.org/10.1191/1478088706qp063oa</w:t>
        </w:r>
      </w:hyperlink>
    </w:p>
    <w:p w14:paraId="7120BAAD"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Braun, V. and Clarke, V. (2022) </w:t>
      </w:r>
      <w:r w:rsidRPr="0039386E">
        <w:rPr>
          <w:rFonts w:ascii="Arial" w:eastAsia="Aptos" w:hAnsi="Arial" w:cs="Arial"/>
          <w:i/>
          <w:iCs/>
          <w:lang w:eastAsia="en-US"/>
        </w:rPr>
        <w:t>Thematic Analysis: A Practical Guide</w:t>
      </w:r>
      <w:r w:rsidRPr="0039386E">
        <w:rPr>
          <w:rFonts w:ascii="Arial" w:eastAsia="Aptos" w:hAnsi="Arial" w:cs="Arial"/>
          <w:lang w:eastAsia="en-US"/>
        </w:rPr>
        <w:t>. London: SAGE.</w:t>
      </w:r>
    </w:p>
    <w:p w14:paraId="0FA66DBF"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Carr, A. (2016) </w:t>
      </w:r>
      <w:r w:rsidRPr="0039386E">
        <w:rPr>
          <w:rFonts w:ascii="Arial" w:eastAsia="Aptos" w:hAnsi="Arial" w:cs="Arial"/>
          <w:i/>
          <w:iCs/>
          <w:lang w:eastAsia="en-US"/>
        </w:rPr>
        <w:t>The Handbook of Child and Adolescent Clinical Psychology: A Contextual Approach</w:t>
      </w:r>
      <w:r w:rsidRPr="0039386E">
        <w:rPr>
          <w:rFonts w:ascii="Arial" w:eastAsia="Aptos" w:hAnsi="Arial" w:cs="Arial"/>
          <w:lang w:eastAsia="en-US"/>
        </w:rPr>
        <w:t xml:space="preserve">. 3rd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London: Routledge.</w:t>
      </w:r>
    </w:p>
    <w:p w14:paraId="7ECCE544"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Children’s Commissioner (2024) </w:t>
      </w:r>
      <w:r w:rsidRPr="0039386E">
        <w:rPr>
          <w:rFonts w:ascii="Arial" w:eastAsia="Aptos" w:hAnsi="Arial" w:cs="Arial"/>
          <w:i/>
          <w:iCs/>
          <w:lang w:eastAsia="en-US"/>
        </w:rPr>
        <w:t>Children’s mental health services 2022–23</w:t>
      </w:r>
      <w:r w:rsidRPr="0039386E">
        <w:rPr>
          <w:rFonts w:ascii="Arial" w:eastAsia="Aptos" w:hAnsi="Arial" w:cs="Arial"/>
          <w:lang w:eastAsia="en-US"/>
        </w:rPr>
        <w:t xml:space="preserve">. London: Children’s Commissioner for England. Available at: </w:t>
      </w:r>
      <w:hyperlink r:id="rId17" w:tgtFrame="_new" w:history="1">
        <w:r w:rsidRPr="0039386E">
          <w:rPr>
            <w:rFonts w:ascii="Arial" w:eastAsia="Aptos" w:hAnsi="Arial" w:cs="Arial"/>
            <w:color w:val="467886"/>
            <w:u w:val="single"/>
            <w:lang w:eastAsia="en-US"/>
          </w:rPr>
          <w:t>https://assets.childrenscommissioner.gov.uk/wpuploads/2024/03/Childrens-mental-health-services-22-23_CCo-final-report.pdf</w:t>
        </w:r>
      </w:hyperlink>
      <w:r w:rsidRPr="0039386E">
        <w:rPr>
          <w:rFonts w:ascii="Arial" w:eastAsia="Aptos" w:hAnsi="Arial" w:cs="Arial"/>
          <w:lang w:eastAsia="en-US"/>
        </w:rPr>
        <w:t>. (Accessed: 24 July 2026).</w:t>
      </w:r>
    </w:p>
    <w:p w14:paraId="15845A57"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Children’s Commissioner for England (2021) </w:t>
      </w:r>
      <w:r w:rsidRPr="0039386E">
        <w:rPr>
          <w:rFonts w:ascii="Arial" w:eastAsia="Aptos" w:hAnsi="Arial" w:cs="Arial"/>
          <w:i/>
          <w:iCs/>
          <w:lang w:eastAsia="en-US"/>
        </w:rPr>
        <w:t>The state of children’s mental health services 2020/21</w:t>
      </w:r>
      <w:r w:rsidRPr="0039386E">
        <w:rPr>
          <w:rFonts w:ascii="Arial" w:eastAsia="Aptos" w:hAnsi="Arial" w:cs="Arial"/>
          <w:lang w:eastAsia="en-US"/>
        </w:rPr>
        <w:t xml:space="preserve">. London: Children’s Commissioner for England. Available at: </w:t>
      </w:r>
      <w:hyperlink r:id="rId18" w:tgtFrame="_new" w:history="1">
        <w:r w:rsidRPr="0039386E">
          <w:rPr>
            <w:rFonts w:ascii="Arial" w:eastAsia="Aptos" w:hAnsi="Arial" w:cs="Arial"/>
            <w:color w:val="467886"/>
            <w:u w:val="single"/>
            <w:lang w:eastAsia="en-US"/>
          </w:rPr>
          <w:t>https://www.childrenscommissioner.gov.uk/wp-content/uploads/2021/01/cco-the-state-of-childrens-mental-health-services-2020-21.pdf</w:t>
        </w:r>
      </w:hyperlink>
      <w:r w:rsidRPr="0039386E">
        <w:rPr>
          <w:rFonts w:ascii="Arial" w:eastAsia="Aptos" w:hAnsi="Arial" w:cs="Arial"/>
          <w:lang w:eastAsia="en-US"/>
        </w:rPr>
        <w:t xml:space="preserve"> (Accessed: 24 July 2026). </w:t>
      </w:r>
      <w:hyperlink r:id="rId19" w:tgtFrame="_new" w:history="1">
        <w:r w:rsidRPr="0039386E">
          <w:rPr>
            <w:rFonts w:ascii="Arial" w:eastAsia="Aptos" w:hAnsi="Arial" w:cs="Arial"/>
            <w:color w:val="467886"/>
            <w:u w:val="single"/>
            <w:lang w:eastAsia="en-US"/>
          </w:rPr>
          <w:t>The official report confirms the 2021 publication.</w:t>
        </w:r>
      </w:hyperlink>
    </w:p>
    <w:p w14:paraId="118A802B"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Compas, B.E., Jaser, S.S., Bettis, A.H., Watson, K.H., Gruhn, M.A., Dunbar, J.P., Williams, E. and Thigpen, J.C. (2017) ‘Coping, emotion regulation, and psychopathology in childhood and adolescence: A meta-analysis and narrative review’, </w:t>
      </w:r>
      <w:r w:rsidRPr="0039386E">
        <w:rPr>
          <w:rFonts w:ascii="Arial" w:eastAsia="Aptos" w:hAnsi="Arial" w:cs="Arial"/>
          <w:i/>
          <w:iCs/>
          <w:lang w:eastAsia="en-US"/>
        </w:rPr>
        <w:t>Psychological Bulletin</w:t>
      </w:r>
      <w:r w:rsidRPr="0039386E">
        <w:rPr>
          <w:rFonts w:ascii="Arial" w:eastAsia="Aptos" w:hAnsi="Arial" w:cs="Arial"/>
          <w:lang w:eastAsia="en-US"/>
        </w:rPr>
        <w:t xml:space="preserve">, 143(9), pp. 939–991. Available at: </w:t>
      </w:r>
      <w:hyperlink r:id="rId20" w:tgtFrame="_new" w:history="1">
        <w:r w:rsidRPr="0039386E">
          <w:rPr>
            <w:rFonts w:ascii="Arial" w:eastAsia="Aptos" w:hAnsi="Arial" w:cs="Arial"/>
            <w:color w:val="467886"/>
            <w:u w:val="single"/>
            <w:lang w:eastAsia="en-US"/>
          </w:rPr>
          <w:t>https://doi.org/10.1037/bul0000110</w:t>
        </w:r>
      </w:hyperlink>
    </w:p>
    <w:p w14:paraId="0963ACD1"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Costello, E.J., Mustillo, S., </w:t>
      </w:r>
      <w:proofErr w:type="spellStart"/>
      <w:r w:rsidRPr="0039386E">
        <w:rPr>
          <w:rFonts w:ascii="Arial" w:eastAsia="Aptos" w:hAnsi="Arial" w:cs="Arial"/>
          <w:lang w:eastAsia="en-US"/>
        </w:rPr>
        <w:t>Erkanli</w:t>
      </w:r>
      <w:proofErr w:type="spellEnd"/>
      <w:r w:rsidRPr="0039386E">
        <w:rPr>
          <w:rFonts w:ascii="Arial" w:eastAsia="Aptos" w:hAnsi="Arial" w:cs="Arial"/>
          <w:lang w:eastAsia="en-US"/>
        </w:rPr>
        <w:t xml:space="preserve">, A., Keeler, G. and Angold, A. (2003) ‘Prevalence and development of psychiatric disorders in childhood and adolescence’, </w:t>
      </w:r>
      <w:r w:rsidRPr="0039386E">
        <w:rPr>
          <w:rFonts w:ascii="Arial" w:eastAsia="Aptos" w:hAnsi="Arial" w:cs="Arial"/>
          <w:i/>
          <w:iCs/>
          <w:lang w:eastAsia="en-US"/>
        </w:rPr>
        <w:t>Archives of General Psychiatry</w:t>
      </w:r>
      <w:r w:rsidRPr="0039386E">
        <w:rPr>
          <w:rFonts w:ascii="Arial" w:eastAsia="Aptos" w:hAnsi="Arial" w:cs="Arial"/>
          <w:lang w:eastAsia="en-US"/>
        </w:rPr>
        <w:t>, 60(8), pp. 837–844. Available at: https://doi.org/10.1001/archpsyc.60.8.837</w:t>
      </w:r>
    </w:p>
    <w:p w14:paraId="4FE9946F"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Crick, N.R. and Zahn-Waxler, C. (2003) ‘The development of psychopathology in females and males: Current progress and future challenges’, </w:t>
      </w:r>
      <w:r w:rsidRPr="0039386E">
        <w:rPr>
          <w:rFonts w:ascii="Arial" w:eastAsia="Aptos" w:hAnsi="Arial" w:cs="Arial"/>
          <w:i/>
          <w:iCs/>
          <w:lang w:eastAsia="en-US"/>
        </w:rPr>
        <w:t>Development and Psychopathology</w:t>
      </w:r>
      <w:r w:rsidRPr="0039386E">
        <w:rPr>
          <w:rFonts w:ascii="Arial" w:eastAsia="Aptos" w:hAnsi="Arial" w:cs="Arial"/>
          <w:lang w:eastAsia="en-US"/>
        </w:rPr>
        <w:t>, 15(3), pp. 719–742. Available at: https://doi.org/10.1017/S095457940300035X</w:t>
      </w:r>
    </w:p>
    <w:p w14:paraId="4EF03D3E"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Department for Education (2018) </w:t>
      </w:r>
      <w:r w:rsidRPr="0039386E">
        <w:rPr>
          <w:rFonts w:ascii="Arial" w:eastAsia="Aptos" w:hAnsi="Arial" w:cs="Arial"/>
          <w:i/>
          <w:iCs/>
          <w:lang w:eastAsia="en-US"/>
        </w:rPr>
        <w:t>Mental Health and Behaviour in Schools</w:t>
      </w:r>
      <w:r w:rsidRPr="0039386E">
        <w:rPr>
          <w:rFonts w:ascii="Arial" w:eastAsia="Aptos" w:hAnsi="Arial" w:cs="Arial"/>
          <w:lang w:eastAsia="en-US"/>
        </w:rPr>
        <w:t>. London: Department for Education. Available at: https://www.gov.uk/government/publications/mental-health-and-behaviour-in-schools (Accessed: 23 July 2026).</w:t>
      </w:r>
    </w:p>
    <w:p w14:paraId="716A41F8"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Dogra, N., </w:t>
      </w:r>
      <w:proofErr w:type="spellStart"/>
      <w:r w:rsidRPr="0039386E">
        <w:rPr>
          <w:rFonts w:ascii="Arial" w:eastAsia="Aptos" w:hAnsi="Arial" w:cs="Arial"/>
          <w:lang w:eastAsia="en-US"/>
        </w:rPr>
        <w:t>Vostanis</w:t>
      </w:r>
      <w:proofErr w:type="spellEnd"/>
      <w:r w:rsidRPr="0039386E">
        <w:rPr>
          <w:rFonts w:ascii="Arial" w:eastAsia="Aptos" w:hAnsi="Arial" w:cs="Arial"/>
          <w:lang w:eastAsia="en-US"/>
        </w:rPr>
        <w:t xml:space="preserve">, P., Abuateya, H. and Jewson, N. (2012) ‘Understanding of mental health and mental illness by children and young people from minority ethnic groups’, </w:t>
      </w:r>
      <w:r w:rsidRPr="0039386E">
        <w:rPr>
          <w:rFonts w:ascii="Arial" w:eastAsia="Aptos" w:hAnsi="Arial" w:cs="Arial"/>
          <w:i/>
          <w:iCs/>
          <w:lang w:eastAsia="en-US"/>
        </w:rPr>
        <w:t>Health Education Journal</w:t>
      </w:r>
      <w:r w:rsidRPr="0039386E">
        <w:rPr>
          <w:rFonts w:ascii="Arial" w:eastAsia="Aptos" w:hAnsi="Arial" w:cs="Arial"/>
          <w:lang w:eastAsia="en-US"/>
        </w:rPr>
        <w:t>, 71(5), pp. 606–615.</w:t>
      </w:r>
    </w:p>
    <w:p w14:paraId="1471CE1E"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Durlak, J.A., Weissberg, R.P., </w:t>
      </w:r>
      <w:proofErr w:type="spellStart"/>
      <w:r w:rsidRPr="0039386E">
        <w:rPr>
          <w:rFonts w:ascii="Arial" w:eastAsia="Aptos" w:hAnsi="Arial" w:cs="Arial"/>
          <w:lang w:eastAsia="en-US"/>
        </w:rPr>
        <w:t>Dymnicki</w:t>
      </w:r>
      <w:proofErr w:type="spellEnd"/>
      <w:r w:rsidRPr="0039386E">
        <w:rPr>
          <w:rFonts w:ascii="Arial" w:eastAsia="Aptos" w:hAnsi="Arial" w:cs="Arial"/>
          <w:lang w:eastAsia="en-US"/>
        </w:rPr>
        <w:t xml:space="preserve">, A.B., Taylor, R.D. and Schellinger, K.B. (2011) ‘The impact of enhancing students’ social and emotional learning: A meta-analysis of school-based universal interventions’, </w:t>
      </w:r>
      <w:r w:rsidRPr="0039386E">
        <w:rPr>
          <w:rFonts w:ascii="Arial" w:eastAsia="Aptos" w:hAnsi="Arial" w:cs="Arial"/>
          <w:i/>
          <w:iCs/>
          <w:lang w:eastAsia="en-US"/>
        </w:rPr>
        <w:t>Child Development</w:t>
      </w:r>
      <w:r w:rsidRPr="0039386E">
        <w:rPr>
          <w:rFonts w:ascii="Arial" w:eastAsia="Aptos" w:hAnsi="Arial" w:cs="Arial"/>
          <w:lang w:eastAsia="en-US"/>
        </w:rPr>
        <w:t xml:space="preserve">, 82(1), pp. 405–432. Available at: </w:t>
      </w:r>
      <w:hyperlink r:id="rId21" w:tgtFrame="_new" w:history="1">
        <w:r w:rsidRPr="0039386E">
          <w:rPr>
            <w:rFonts w:ascii="Arial" w:eastAsia="Aptos" w:hAnsi="Arial" w:cs="Arial"/>
            <w:color w:val="467886"/>
            <w:u w:val="single"/>
            <w:lang w:eastAsia="en-US"/>
          </w:rPr>
          <w:t>https://doi.org/10.1111/j.1467-8624.2010.01564.x</w:t>
        </w:r>
      </w:hyperlink>
    </w:p>
    <w:p w14:paraId="6CFD14A9"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Eccles, J.S. (1999) ‘The development of children ages 6 to 14’, </w:t>
      </w:r>
      <w:r w:rsidRPr="0039386E">
        <w:rPr>
          <w:rFonts w:ascii="Arial" w:eastAsia="Aptos" w:hAnsi="Arial" w:cs="Arial"/>
          <w:i/>
          <w:iCs/>
          <w:lang w:eastAsia="en-US"/>
        </w:rPr>
        <w:t>The Future of Children</w:t>
      </w:r>
      <w:r w:rsidRPr="0039386E">
        <w:rPr>
          <w:rFonts w:ascii="Arial" w:eastAsia="Aptos" w:hAnsi="Arial" w:cs="Arial"/>
          <w:lang w:eastAsia="en-US"/>
        </w:rPr>
        <w:t>, 9(2), pp. 30–44. Available at: https://doi.org/10.2307/1602703</w:t>
      </w:r>
    </w:p>
    <w:p w14:paraId="440E8756"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Engel, G.L. (1977) ‘The need for a new medical model: A challenge for biomedicine’, </w:t>
      </w:r>
      <w:r w:rsidRPr="0039386E">
        <w:rPr>
          <w:rFonts w:ascii="Arial" w:eastAsia="Aptos" w:hAnsi="Arial" w:cs="Arial"/>
          <w:i/>
          <w:iCs/>
          <w:lang w:eastAsia="en-US"/>
        </w:rPr>
        <w:t>Science</w:t>
      </w:r>
      <w:r w:rsidRPr="0039386E">
        <w:rPr>
          <w:rFonts w:ascii="Arial" w:eastAsia="Aptos" w:hAnsi="Arial" w:cs="Arial"/>
          <w:lang w:eastAsia="en-US"/>
        </w:rPr>
        <w:t xml:space="preserve">, 196(4286), pp. 129–136. Available at: </w:t>
      </w:r>
      <w:hyperlink r:id="rId22" w:tgtFrame="_new" w:history="1">
        <w:r w:rsidRPr="0039386E">
          <w:rPr>
            <w:rFonts w:ascii="Arial" w:eastAsia="Aptos" w:hAnsi="Arial" w:cs="Arial"/>
            <w:color w:val="467886"/>
            <w:u w:val="single"/>
            <w:lang w:eastAsia="en-US"/>
          </w:rPr>
          <w:t>https://doi.org/10.1126/science.847460</w:t>
        </w:r>
      </w:hyperlink>
    </w:p>
    <w:p w14:paraId="7C6AD677"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Essau, C.A., Lewinsohn, P.M., Olaya, B. and Seeley, J.R. (2014) ‘Anxiety disorders in adolescents and psychosocial outcomes at age 30’, </w:t>
      </w:r>
      <w:r w:rsidRPr="0039386E">
        <w:rPr>
          <w:rFonts w:ascii="Arial" w:eastAsia="Aptos" w:hAnsi="Arial" w:cs="Arial"/>
          <w:i/>
          <w:iCs/>
          <w:lang w:eastAsia="en-US"/>
        </w:rPr>
        <w:t>Journal of Affective Disorders</w:t>
      </w:r>
      <w:r w:rsidRPr="0039386E">
        <w:rPr>
          <w:rFonts w:ascii="Arial" w:eastAsia="Aptos" w:hAnsi="Arial" w:cs="Arial"/>
          <w:lang w:eastAsia="en-US"/>
        </w:rPr>
        <w:t>, 163, pp. 125–132. Available at: https://doi.org/10.1016/j.jad.2013.12.033 (Accessed: 24 July 2026).</w:t>
      </w:r>
    </w:p>
    <w:p w14:paraId="29B28679"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Evans, G.W. and Kim, P. (2013) ‘Childhood poverty, chronic stress, self-regulation, and coping’, </w:t>
      </w:r>
      <w:r w:rsidRPr="0039386E">
        <w:rPr>
          <w:rFonts w:ascii="Arial" w:eastAsia="Aptos" w:hAnsi="Arial" w:cs="Arial"/>
          <w:i/>
          <w:iCs/>
          <w:lang w:eastAsia="en-US"/>
        </w:rPr>
        <w:t>Child Development Perspectives</w:t>
      </w:r>
      <w:r w:rsidRPr="0039386E">
        <w:rPr>
          <w:rFonts w:ascii="Arial" w:eastAsia="Aptos" w:hAnsi="Arial" w:cs="Arial"/>
          <w:lang w:eastAsia="en-US"/>
        </w:rPr>
        <w:t xml:space="preserve">, 7(1), pp. 43–48. Available at: </w:t>
      </w:r>
      <w:hyperlink r:id="rId23" w:tgtFrame="_new" w:history="1">
        <w:r w:rsidRPr="0039386E">
          <w:rPr>
            <w:rFonts w:ascii="Arial" w:eastAsia="Aptos" w:hAnsi="Arial" w:cs="Arial"/>
            <w:color w:val="467886"/>
            <w:u w:val="single"/>
            <w:lang w:eastAsia="en-US"/>
          </w:rPr>
          <w:t>https://doi.org/10.1111/cdep.12013</w:t>
        </w:r>
      </w:hyperlink>
    </w:p>
    <w:p w14:paraId="40DD9185"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Faraone, S.V., </w:t>
      </w:r>
      <w:proofErr w:type="spellStart"/>
      <w:r w:rsidRPr="0039386E">
        <w:rPr>
          <w:rFonts w:ascii="Arial" w:eastAsia="Aptos" w:hAnsi="Arial" w:cs="Arial"/>
          <w:lang w:eastAsia="en-US"/>
        </w:rPr>
        <w:t>Banaschewski</w:t>
      </w:r>
      <w:proofErr w:type="spellEnd"/>
      <w:r w:rsidRPr="0039386E">
        <w:rPr>
          <w:rFonts w:ascii="Arial" w:eastAsia="Aptos" w:hAnsi="Arial" w:cs="Arial"/>
          <w:lang w:eastAsia="en-US"/>
        </w:rPr>
        <w:t xml:space="preserve">, T., Coghill, D., Zheng, Y., Biederman, J., </w:t>
      </w:r>
      <w:proofErr w:type="spellStart"/>
      <w:r w:rsidRPr="0039386E">
        <w:rPr>
          <w:rFonts w:ascii="Arial" w:eastAsia="Aptos" w:hAnsi="Arial" w:cs="Arial"/>
          <w:lang w:eastAsia="en-US"/>
        </w:rPr>
        <w:t>Bellgrove</w:t>
      </w:r>
      <w:proofErr w:type="spellEnd"/>
      <w:r w:rsidRPr="0039386E">
        <w:rPr>
          <w:rFonts w:ascii="Arial" w:eastAsia="Aptos" w:hAnsi="Arial" w:cs="Arial"/>
          <w:lang w:eastAsia="en-US"/>
        </w:rPr>
        <w:t xml:space="preserve">, M.A., </w:t>
      </w:r>
      <w:proofErr w:type="spellStart"/>
      <w:r w:rsidRPr="0039386E">
        <w:rPr>
          <w:rFonts w:ascii="Arial" w:eastAsia="Aptos" w:hAnsi="Arial" w:cs="Arial"/>
          <w:lang w:eastAsia="en-US"/>
        </w:rPr>
        <w:t>Newcorn</w:t>
      </w:r>
      <w:proofErr w:type="spellEnd"/>
      <w:r w:rsidRPr="0039386E">
        <w:rPr>
          <w:rFonts w:ascii="Arial" w:eastAsia="Aptos" w:hAnsi="Arial" w:cs="Arial"/>
          <w:lang w:eastAsia="en-US"/>
        </w:rPr>
        <w:t xml:space="preserve">, J.H., Gignac, M., Al Saud, N.M., Manor, I. and Rohde, L.A. (2021) ‘The World Federation of ADHD International Consensus Statement: 208 evidence-based conclusions about the disorder’, </w:t>
      </w:r>
      <w:r w:rsidRPr="0039386E">
        <w:rPr>
          <w:rFonts w:ascii="Arial" w:eastAsia="Aptos" w:hAnsi="Arial" w:cs="Arial"/>
          <w:i/>
          <w:iCs/>
          <w:lang w:eastAsia="en-US"/>
        </w:rPr>
        <w:t xml:space="preserve">Neuroscience &amp; </w:t>
      </w:r>
      <w:proofErr w:type="spellStart"/>
      <w:r w:rsidRPr="0039386E">
        <w:rPr>
          <w:rFonts w:ascii="Arial" w:eastAsia="Aptos" w:hAnsi="Arial" w:cs="Arial"/>
          <w:i/>
          <w:iCs/>
          <w:lang w:eastAsia="en-US"/>
        </w:rPr>
        <w:t>Biobehavioral</w:t>
      </w:r>
      <w:proofErr w:type="spellEnd"/>
      <w:r w:rsidRPr="0039386E">
        <w:rPr>
          <w:rFonts w:ascii="Arial" w:eastAsia="Aptos" w:hAnsi="Arial" w:cs="Arial"/>
          <w:i/>
          <w:iCs/>
          <w:lang w:eastAsia="en-US"/>
        </w:rPr>
        <w:t xml:space="preserve"> Reviews</w:t>
      </w:r>
      <w:r w:rsidRPr="0039386E">
        <w:rPr>
          <w:rFonts w:ascii="Arial" w:eastAsia="Aptos" w:hAnsi="Arial" w:cs="Arial"/>
          <w:lang w:eastAsia="en-US"/>
        </w:rPr>
        <w:t xml:space="preserve">, 128, pp. 789–818. Available at: </w:t>
      </w:r>
      <w:hyperlink r:id="rId24" w:tgtFrame="_new" w:history="1">
        <w:r w:rsidRPr="0039386E">
          <w:rPr>
            <w:rFonts w:ascii="Arial" w:eastAsia="Aptos" w:hAnsi="Arial" w:cs="Arial"/>
            <w:color w:val="467886"/>
            <w:u w:val="single"/>
            <w:lang w:eastAsia="en-US"/>
          </w:rPr>
          <w:t>https://doi.org/10.1016/j.neubiorev.2021.01.022</w:t>
        </w:r>
      </w:hyperlink>
    </w:p>
    <w:p w14:paraId="0F2472B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Fearon, R.M.P., </w:t>
      </w:r>
      <w:proofErr w:type="spellStart"/>
      <w:r w:rsidRPr="0039386E">
        <w:rPr>
          <w:rFonts w:ascii="Arial" w:eastAsia="Aptos" w:hAnsi="Arial" w:cs="Arial"/>
          <w:lang w:eastAsia="en-US"/>
        </w:rPr>
        <w:t>Bakermans</w:t>
      </w:r>
      <w:proofErr w:type="spellEnd"/>
      <w:r w:rsidRPr="0039386E">
        <w:rPr>
          <w:rFonts w:ascii="Arial" w:eastAsia="Aptos" w:hAnsi="Arial" w:cs="Arial"/>
          <w:lang w:eastAsia="en-US"/>
        </w:rPr>
        <w:t xml:space="preserve">-Kranenburg, M.J., van </w:t>
      </w:r>
      <w:proofErr w:type="spellStart"/>
      <w:r w:rsidRPr="0039386E">
        <w:rPr>
          <w:rFonts w:ascii="Arial" w:eastAsia="Aptos" w:hAnsi="Arial" w:cs="Arial"/>
          <w:lang w:eastAsia="en-US"/>
        </w:rPr>
        <w:t>IJzendoorn</w:t>
      </w:r>
      <w:proofErr w:type="spellEnd"/>
      <w:r w:rsidRPr="0039386E">
        <w:rPr>
          <w:rFonts w:ascii="Arial" w:eastAsia="Aptos" w:hAnsi="Arial" w:cs="Arial"/>
          <w:lang w:eastAsia="en-US"/>
        </w:rPr>
        <w:t xml:space="preserve">, M.H., Lapsley, A.M. and Roisman, G.I. (2010) ‘The significance of insecure attachment and disorganization in the development of children's externalizing behaviour: A meta-analytic study’, </w:t>
      </w:r>
      <w:r w:rsidRPr="0039386E">
        <w:rPr>
          <w:rFonts w:ascii="Arial" w:eastAsia="Aptos" w:hAnsi="Arial" w:cs="Arial"/>
          <w:i/>
          <w:iCs/>
          <w:lang w:eastAsia="en-US"/>
        </w:rPr>
        <w:t>Child Development</w:t>
      </w:r>
      <w:r w:rsidRPr="0039386E">
        <w:rPr>
          <w:rFonts w:ascii="Arial" w:eastAsia="Aptos" w:hAnsi="Arial" w:cs="Arial"/>
          <w:lang w:eastAsia="en-US"/>
        </w:rPr>
        <w:t xml:space="preserve">, 81(2), pp. 435–456. Available at: </w:t>
      </w:r>
      <w:hyperlink r:id="rId25" w:tgtFrame="_new" w:history="1">
        <w:r w:rsidRPr="0039386E">
          <w:rPr>
            <w:rFonts w:ascii="Arial" w:eastAsia="Aptos" w:hAnsi="Arial" w:cs="Arial"/>
            <w:color w:val="467886"/>
            <w:u w:val="single"/>
            <w:lang w:eastAsia="en-US"/>
          </w:rPr>
          <w:t>https://doi.org/10.1111/j.1467-8624.2009.01405.x</w:t>
        </w:r>
      </w:hyperlink>
    </w:p>
    <w:p w14:paraId="0450757A"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Fernando, S. (2017) </w:t>
      </w:r>
      <w:r w:rsidRPr="0039386E">
        <w:rPr>
          <w:rFonts w:ascii="Arial" w:eastAsia="Aptos" w:hAnsi="Arial" w:cs="Arial"/>
          <w:i/>
          <w:iCs/>
          <w:lang w:eastAsia="en-US"/>
        </w:rPr>
        <w:t>Mental Health Worldwide: Culture, Globalization and Development</w:t>
      </w:r>
      <w:r w:rsidRPr="0039386E">
        <w:rPr>
          <w:rFonts w:ascii="Arial" w:eastAsia="Aptos" w:hAnsi="Arial" w:cs="Arial"/>
          <w:lang w:eastAsia="en-US"/>
        </w:rPr>
        <w:t>. London: Palgrave Macmillan.</w:t>
      </w:r>
    </w:p>
    <w:p w14:paraId="1DB76AE4"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Finning, K., </w:t>
      </w:r>
      <w:proofErr w:type="spellStart"/>
      <w:r w:rsidRPr="0039386E">
        <w:rPr>
          <w:rFonts w:ascii="Arial" w:eastAsia="Aptos" w:hAnsi="Arial" w:cs="Arial"/>
          <w:lang w:eastAsia="en-US"/>
        </w:rPr>
        <w:t>Ukoumunne</w:t>
      </w:r>
      <w:proofErr w:type="spellEnd"/>
      <w:r w:rsidRPr="0039386E">
        <w:rPr>
          <w:rFonts w:ascii="Arial" w:eastAsia="Aptos" w:hAnsi="Arial" w:cs="Arial"/>
          <w:lang w:eastAsia="en-US"/>
        </w:rPr>
        <w:t xml:space="preserve">, O.C., Ford, T., Danielson-Waters, E., Shaw, L., Romero De Jager, I., Stentiford, L. and Moore, D.A. (2019) ‘Review: The association between anxiety and poor attendance at school – a systematic review’, </w:t>
      </w:r>
      <w:r w:rsidRPr="0039386E">
        <w:rPr>
          <w:rFonts w:ascii="Arial" w:eastAsia="Aptos" w:hAnsi="Arial" w:cs="Arial"/>
          <w:i/>
          <w:iCs/>
          <w:lang w:eastAsia="en-US"/>
        </w:rPr>
        <w:t>Child and Adolescent Mental Health</w:t>
      </w:r>
      <w:r w:rsidRPr="0039386E">
        <w:rPr>
          <w:rFonts w:ascii="Arial" w:eastAsia="Aptos" w:hAnsi="Arial" w:cs="Arial"/>
          <w:lang w:eastAsia="en-US"/>
        </w:rPr>
        <w:t xml:space="preserve">, 24(3), pp. 205–216. Available at: </w:t>
      </w:r>
      <w:hyperlink r:id="rId26" w:tgtFrame="_new" w:history="1">
        <w:r w:rsidRPr="0039386E">
          <w:rPr>
            <w:rFonts w:ascii="Arial" w:eastAsia="Aptos" w:hAnsi="Arial" w:cs="Arial"/>
            <w:color w:val="467886"/>
            <w:u w:val="single"/>
            <w:lang w:eastAsia="en-US"/>
          </w:rPr>
          <w:t>https://doi.org/10.1111/camh.12322</w:t>
        </w:r>
      </w:hyperlink>
    </w:p>
    <w:p w14:paraId="208C6EB1"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Fombonne, E. (2009) ‘Epidemiology of pervasive developmental disorders’, </w:t>
      </w:r>
      <w:proofErr w:type="spellStart"/>
      <w:r w:rsidRPr="0039386E">
        <w:rPr>
          <w:rFonts w:ascii="Arial" w:eastAsia="Aptos" w:hAnsi="Arial" w:cs="Arial"/>
          <w:i/>
          <w:iCs/>
          <w:lang w:eastAsia="en-US"/>
        </w:rPr>
        <w:t>Pediatric</w:t>
      </w:r>
      <w:proofErr w:type="spellEnd"/>
      <w:r w:rsidRPr="0039386E">
        <w:rPr>
          <w:rFonts w:ascii="Arial" w:eastAsia="Aptos" w:hAnsi="Arial" w:cs="Arial"/>
          <w:i/>
          <w:iCs/>
          <w:lang w:eastAsia="en-US"/>
        </w:rPr>
        <w:t xml:space="preserve"> Research</w:t>
      </w:r>
      <w:r w:rsidRPr="0039386E">
        <w:rPr>
          <w:rFonts w:ascii="Arial" w:eastAsia="Aptos" w:hAnsi="Arial" w:cs="Arial"/>
          <w:lang w:eastAsia="en-US"/>
        </w:rPr>
        <w:t>, 65(6), pp. 591–598. Available at: https://doi.org/10.1203/PDR.0b013e31819e7203</w:t>
      </w:r>
    </w:p>
    <w:p w14:paraId="467F492D"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Ford, T., John, A. and Gunnell, D. (2021) ‘Mental health of children and young people during the COVID-19 pandemic’, </w:t>
      </w:r>
      <w:r w:rsidRPr="0039386E">
        <w:rPr>
          <w:rFonts w:ascii="Arial" w:eastAsia="Aptos" w:hAnsi="Arial" w:cs="Arial"/>
          <w:i/>
          <w:iCs/>
          <w:lang w:eastAsia="en-US"/>
        </w:rPr>
        <w:t>BMJ</w:t>
      </w:r>
      <w:r w:rsidRPr="0039386E">
        <w:rPr>
          <w:rFonts w:ascii="Arial" w:eastAsia="Aptos" w:hAnsi="Arial" w:cs="Arial"/>
          <w:lang w:eastAsia="en-US"/>
        </w:rPr>
        <w:t>, 372, n614. Available at: https://doi.org/10.1136/bmj.n614</w:t>
      </w:r>
    </w:p>
    <w:p w14:paraId="1C272B2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Frith, E. (2016) </w:t>
      </w:r>
      <w:r w:rsidRPr="0039386E">
        <w:rPr>
          <w:rFonts w:ascii="Arial" w:eastAsia="Aptos" w:hAnsi="Arial" w:cs="Arial"/>
          <w:i/>
          <w:iCs/>
          <w:lang w:eastAsia="en-US"/>
        </w:rPr>
        <w:t>Children and Young People's Mental Health: State of the Nation</w:t>
      </w:r>
      <w:r w:rsidRPr="0039386E">
        <w:rPr>
          <w:rFonts w:ascii="Arial" w:eastAsia="Aptos" w:hAnsi="Arial" w:cs="Arial"/>
          <w:lang w:eastAsia="en-US"/>
        </w:rPr>
        <w:t xml:space="preserve">. London: Education Policy Institute. Available at: </w:t>
      </w:r>
      <w:hyperlink r:id="rId27" w:tgtFrame="_new" w:history="1">
        <w:r w:rsidRPr="0039386E">
          <w:rPr>
            <w:rFonts w:ascii="Arial" w:eastAsia="Aptos" w:hAnsi="Arial" w:cs="Arial"/>
            <w:color w:val="467886"/>
            <w:u w:val="single"/>
            <w:lang w:eastAsia="en-US"/>
          </w:rPr>
          <w:t>https://epi.org.uk/publications-and-research/children-young-peoples-mental-health-state-nation/</w:t>
        </w:r>
      </w:hyperlink>
      <w:r w:rsidRPr="0039386E">
        <w:rPr>
          <w:rFonts w:ascii="Arial" w:eastAsia="Aptos" w:hAnsi="Arial" w:cs="Arial"/>
          <w:lang w:eastAsia="en-US"/>
        </w:rPr>
        <w:t xml:space="preserve"> (Accessed: 23 July 2026).</w:t>
      </w:r>
    </w:p>
    <w:p w14:paraId="25AE340F"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Goodman, S.H., Rouse, M.H., Connell, A.M., Broth, M.R., Hall, C.M. and Heyward, D. (2011) ‘Maternal depression and child psychopathology: A meta-analytic review’, </w:t>
      </w:r>
      <w:r w:rsidRPr="0039386E">
        <w:rPr>
          <w:rFonts w:ascii="Arial" w:eastAsia="Aptos" w:hAnsi="Arial" w:cs="Arial"/>
          <w:i/>
          <w:iCs/>
          <w:lang w:eastAsia="en-US"/>
        </w:rPr>
        <w:t>Clinical Child and Family Psychology Review</w:t>
      </w:r>
      <w:r w:rsidRPr="0039386E">
        <w:rPr>
          <w:rFonts w:ascii="Arial" w:eastAsia="Aptos" w:hAnsi="Arial" w:cs="Arial"/>
          <w:lang w:eastAsia="en-US"/>
        </w:rPr>
        <w:t>, 14(1), pp. 1–27. Available at: https://doi.org/10.1007/s10567-010-0080-1</w:t>
      </w:r>
    </w:p>
    <w:p w14:paraId="270FD73A"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Gross, J.J. (2015) </w:t>
      </w:r>
      <w:r w:rsidRPr="0039386E">
        <w:rPr>
          <w:rFonts w:ascii="Arial" w:eastAsia="Aptos" w:hAnsi="Arial" w:cs="Arial"/>
          <w:i/>
          <w:iCs/>
          <w:lang w:eastAsia="en-US"/>
        </w:rPr>
        <w:t>Emotion Regulation: Current Status and Future Prospects</w:t>
      </w:r>
      <w:r w:rsidRPr="0039386E">
        <w:rPr>
          <w:rFonts w:ascii="Arial" w:eastAsia="Aptos" w:hAnsi="Arial" w:cs="Arial"/>
          <w:lang w:eastAsia="en-US"/>
        </w:rPr>
        <w:t xml:space="preserve">. </w:t>
      </w:r>
      <w:r w:rsidRPr="0039386E">
        <w:rPr>
          <w:rFonts w:ascii="Arial" w:eastAsia="Aptos" w:hAnsi="Arial" w:cs="Arial"/>
          <w:i/>
          <w:iCs/>
          <w:lang w:eastAsia="en-US"/>
        </w:rPr>
        <w:t>Psychological Inquiry</w:t>
      </w:r>
      <w:r w:rsidRPr="0039386E">
        <w:rPr>
          <w:rFonts w:ascii="Arial" w:eastAsia="Aptos" w:hAnsi="Arial" w:cs="Arial"/>
          <w:lang w:eastAsia="en-US"/>
        </w:rPr>
        <w:t xml:space="preserve">, 26(1), pp. 1–26. Available at: </w:t>
      </w:r>
      <w:hyperlink r:id="rId28" w:tgtFrame="_new" w:history="1">
        <w:r w:rsidRPr="0039386E">
          <w:rPr>
            <w:rFonts w:ascii="Arial" w:eastAsia="Aptos" w:hAnsi="Arial" w:cs="Arial"/>
            <w:color w:val="467886"/>
            <w:u w:val="single"/>
            <w:lang w:eastAsia="en-US"/>
          </w:rPr>
          <w:t>https://doi.org/10.1080/1047840X.2014.940781</w:t>
        </w:r>
      </w:hyperlink>
    </w:p>
    <w:p w14:paraId="25C09341"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Heckman, J.J. (2006) ‘Skill formation and the economics of investing in disadvantaged children’, </w:t>
      </w:r>
      <w:r w:rsidRPr="0039386E">
        <w:rPr>
          <w:rFonts w:ascii="Arial" w:eastAsia="Aptos" w:hAnsi="Arial" w:cs="Arial"/>
          <w:i/>
          <w:iCs/>
          <w:lang w:eastAsia="en-US"/>
        </w:rPr>
        <w:t>Science</w:t>
      </w:r>
      <w:r w:rsidRPr="0039386E">
        <w:rPr>
          <w:rFonts w:ascii="Arial" w:eastAsia="Aptos" w:hAnsi="Arial" w:cs="Arial"/>
          <w:lang w:eastAsia="en-US"/>
        </w:rPr>
        <w:t xml:space="preserve">, 312(5782), pp. 1900–1902. Available at: </w:t>
      </w:r>
      <w:hyperlink r:id="rId29" w:tgtFrame="_new" w:history="1">
        <w:r w:rsidRPr="0039386E">
          <w:rPr>
            <w:rFonts w:ascii="Arial" w:eastAsia="Aptos" w:hAnsi="Arial" w:cs="Arial"/>
            <w:color w:val="467886"/>
            <w:u w:val="single"/>
            <w:lang w:eastAsia="en-US"/>
          </w:rPr>
          <w:t>https://doi.org/10.1126/science.1128898</w:t>
        </w:r>
      </w:hyperlink>
    </w:p>
    <w:p w14:paraId="67DDED84"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Joseph, S. (2013) </w:t>
      </w:r>
      <w:r w:rsidRPr="0039386E">
        <w:rPr>
          <w:rFonts w:ascii="Arial" w:eastAsia="Aptos" w:hAnsi="Arial" w:cs="Arial"/>
          <w:i/>
          <w:iCs/>
          <w:lang w:eastAsia="en-US"/>
        </w:rPr>
        <w:t>Positive Psychology in Practice: Promoting Human Flourishing in Work, Health, Education, and Everyday Life</w:t>
      </w:r>
      <w:r w:rsidRPr="0039386E">
        <w:rPr>
          <w:rFonts w:ascii="Arial" w:eastAsia="Aptos" w:hAnsi="Arial" w:cs="Arial"/>
          <w:lang w:eastAsia="en-US"/>
        </w:rPr>
        <w:t xml:space="preserve">. 2nd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Hoboken, NJ: John Wiley &amp; Sons.</w:t>
      </w:r>
    </w:p>
    <w:p w14:paraId="47EDD70A"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Kazdin, A.E. (2017) </w:t>
      </w:r>
      <w:r w:rsidRPr="0039386E">
        <w:rPr>
          <w:rFonts w:ascii="Arial" w:eastAsia="Aptos" w:hAnsi="Arial" w:cs="Arial"/>
          <w:i/>
          <w:iCs/>
          <w:lang w:eastAsia="en-US"/>
        </w:rPr>
        <w:t>Research Design in Clinical Psychology</w:t>
      </w:r>
      <w:r w:rsidRPr="0039386E">
        <w:rPr>
          <w:rFonts w:ascii="Arial" w:eastAsia="Aptos" w:hAnsi="Arial" w:cs="Arial"/>
          <w:lang w:eastAsia="en-US"/>
        </w:rPr>
        <w:t xml:space="preserve">. 5th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Boston, MA: Pearson.</w:t>
      </w:r>
    </w:p>
    <w:p w14:paraId="0A5F7EAA"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Kessler, R.C., Berglund, P., Demler, O., Jin, R., </w:t>
      </w:r>
      <w:proofErr w:type="spellStart"/>
      <w:r w:rsidRPr="0039386E">
        <w:rPr>
          <w:rFonts w:ascii="Arial" w:eastAsia="Aptos" w:hAnsi="Arial" w:cs="Arial"/>
          <w:lang w:eastAsia="en-US"/>
        </w:rPr>
        <w:t>Merikangas</w:t>
      </w:r>
      <w:proofErr w:type="spellEnd"/>
      <w:r w:rsidRPr="0039386E">
        <w:rPr>
          <w:rFonts w:ascii="Arial" w:eastAsia="Aptos" w:hAnsi="Arial" w:cs="Arial"/>
          <w:lang w:eastAsia="en-US"/>
        </w:rPr>
        <w:t xml:space="preserve">, K.R. and Walters, E.E. (2005) ‘Lifetime prevalence and age-of-onset distributions of DSM-IV disorders in the National Comorbidity Survey Replication’, </w:t>
      </w:r>
      <w:r w:rsidRPr="0039386E">
        <w:rPr>
          <w:rFonts w:ascii="Arial" w:eastAsia="Aptos" w:hAnsi="Arial" w:cs="Arial"/>
          <w:i/>
          <w:iCs/>
          <w:lang w:eastAsia="en-US"/>
        </w:rPr>
        <w:t>Archives of General Psychiatry</w:t>
      </w:r>
      <w:r w:rsidRPr="0039386E">
        <w:rPr>
          <w:rFonts w:ascii="Arial" w:eastAsia="Aptos" w:hAnsi="Arial" w:cs="Arial"/>
          <w:lang w:eastAsia="en-US"/>
        </w:rPr>
        <w:t xml:space="preserve">, 62(6), pp. 593–602. Available at: </w:t>
      </w:r>
      <w:hyperlink r:id="rId30" w:tgtFrame="_new" w:history="1">
        <w:r w:rsidRPr="0039386E">
          <w:rPr>
            <w:rFonts w:ascii="Arial" w:eastAsia="Aptos" w:hAnsi="Arial" w:cs="Arial"/>
            <w:color w:val="467886"/>
            <w:u w:val="single"/>
            <w:lang w:eastAsia="en-US"/>
          </w:rPr>
          <w:t>https://doi.org/10.1001/archpsyc.62.6.593</w:t>
        </w:r>
      </w:hyperlink>
    </w:p>
    <w:p w14:paraId="0C8B060B"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Krueger, R.F. and Markon, K.E. (2006) ‘Reinterpreting comorbidity: A model-based approach to understanding and classifying psychopathology’, </w:t>
      </w:r>
      <w:r w:rsidRPr="0039386E">
        <w:rPr>
          <w:rFonts w:ascii="Arial" w:eastAsia="Aptos" w:hAnsi="Arial" w:cs="Arial"/>
          <w:i/>
          <w:iCs/>
          <w:lang w:eastAsia="en-US"/>
        </w:rPr>
        <w:t>Annual Review of Clinical Psychology</w:t>
      </w:r>
      <w:r w:rsidRPr="0039386E">
        <w:rPr>
          <w:rFonts w:ascii="Arial" w:eastAsia="Aptos" w:hAnsi="Arial" w:cs="Arial"/>
          <w:lang w:eastAsia="en-US"/>
        </w:rPr>
        <w:t>, 2, pp. 111–133. Available at: https://doi.org/10.1146/annurev.clinpsy.2.022305.095213</w:t>
      </w:r>
    </w:p>
    <w:p w14:paraId="4C739602"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Loades, M.E. and Mastroyannopoulou, K. (2010) ‘Teachers’ recognition of children’s mental health problems’, </w:t>
      </w:r>
      <w:r w:rsidRPr="0039386E">
        <w:rPr>
          <w:rFonts w:ascii="Arial" w:eastAsia="Aptos" w:hAnsi="Arial" w:cs="Arial"/>
          <w:i/>
          <w:iCs/>
          <w:lang w:eastAsia="en-US"/>
        </w:rPr>
        <w:t>Child and Adolescent Mental Health</w:t>
      </w:r>
      <w:r w:rsidRPr="0039386E">
        <w:rPr>
          <w:rFonts w:ascii="Arial" w:eastAsia="Aptos" w:hAnsi="Arial" w:cs="Arial"/>
          <w:lang w:eastAsia="en-US"/>
        </w:rPr>
        <w:t xml:space="preserve">, 15(3), pp. 150–156. Available at: </w:t>
      </w:r>
      <w:hyperlink r:id="rId31" w:tgtFrame="_new" w:history="1">
        <w:r w:rsidRPr="0039386E">
          <w:rPr>
            <w:rFonts w:ascii="Arial" w:eastAsia="Aptos" w:hAnsi="Arial" w:cs="Arial"/>
            <w:color w:val="467886"/>
            <w:u w:val="single"/>
            <w:lang w:eastAsia="en-US"/>
          </w:rPr>
          <w:t>https://doi.org/10.1111/j.1475-3588.2009.00551.x</w:t>
        </w:r>
      </w:hyperlink>
    </w:p>
    <w:p w14:paraId="094EA58B"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Luthar, S.S., Cicchetti, D. and Becker, B. (2000) ‘The construct of resilience: A critical evaluation and guidelines for future work’, </w:t>
      </w:r>
      <w:r w:rsidRPr="0039386E">
        <w:rPr>
          <w:rFonts w:ascii="Arial" w:eastAsia="Aptos" w:hAnsi="Arial" w:cs="Arial"/>
          <w:i/>
          <w:iCs/>
          <w:lang w:eastAsia="en-US"/>
        </w:rPr>
        <w:t>Child Development</w:t>
      </w:r>
      <w:r w:rsidRPr="0039386E">
        <w:rPr>
          <w:rFonts w:ascii="Arial" w:eastAsia="Aptos" w:hAnsi="Arial" w:cs="Arial"/>
          <w:lang w:eastAsia="en-US"/>
        </w:rPr>
        <w:t xml:space="preserve">, 71(3), pp. 543–562. Available at: </w:t>
      </w:r>
      <w:hyperlink r:id="rId32" w:tgtFrame="_new" w:history="1">
        <w:r w:rsidRPr="0039386E">
          <w:rPr>
            <w:rFonts w:ascii="Arial" w:eastAsia="Aptos" w:hAnsi="Arial" w:cs="Arial"/>
            <w:color w:val="467886"/>
            <w:u w:val="single"/>
            <w:lang w:eastAsia="en-US"/>
          </w:rPr>
          <w:t>https://doi.org/10.1111/1467-8624.00164</w:t>
        </w:r>
      </w:hyperlink>
    </w:p>
    <w:p w14:paraId="29317EAB"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Mash, E.J. and Wolfe, D.A. (2016) </w:t>
      </w:r>
      <w:r w:rsidRPr="0039386E">
        <w:rPr>
          <w:rFonts w:ascii="Arial" w:eastAsia="Aptos" w:hAnsi="Arial" w:cs="Arial"/>
          <w:i/>
          <w:iCs/>
          <w:lang w:eastAsia="en-US"/>
        </w:rPr>
        <w:t>Abnormal Child Psychology</w:t>
      </w:r>
      <w:r w:rsidRPr="0039386E">
        <w:rPr>
          <w:rFonts w:ascii="Arial" w:eastAsia="Aptos" w:hAnsi="Arial" w:cs="Arial"/>
          <w:lang w:eastAsia="en-US"/>
        </w:rPr>
        <w:t xml:space="preserve">. 6th </w:t>
      </w:r>
      <w:proofErr w:type="spellStart"/>
      <w:r w:rsidRPr="0039386E">
        <w:rPr>
          <w:rFonts w:ascii="Arial" w:eastAsia="Aptos" w:hAnsi="Arial" w:cs="Arial"/>
          <w:lang w:eastAsia="en-US"/>
        </w:rPr>
        <w:t>edn</w:t>
      </w:r>
      <w:proofErr w:type="spellEnd"/>
      <w:r w:rsidRPr="0039386E">
        <w:rPr>
          <w:rFonts w:ascii="Arial" w:eastAsia="Aptos" w:hAnsi="Arial" w:cs="Arial"/>
          <w:lang w:eastAsia="en-US"/>
        </w:rPr>
        <w:t>. Boston, MA: Cengage Learning.</w:t>
      </w:r>
    </w:p>
    <w:p w14:paraId="6AD5304C"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Masten, A.S. (2014) </w:t>
      </w:r>
      <w:r w:rsidRPr="0039386E">
        <w:rPr>
          <w:rFonts w:ascii="Arial" w:eastAsia="Aptos" w:hAnsi="Arial" w:cs="Arial"/>
          <w:i/>
          <w:iCs/>
          <w:lang w:eastAsia="en-US"/>
        </w:rPr>
        <w:t>Ordinary Magic: Resilience in Development</w:t>
      </w:r>
      <w:r w:rsidRPr="0039386E">
        <w:rPr>
          <w:rFonts w:ascii="Arial" w:eastAsia="Aptos" w:hAnsi="Arial" w:cs="Arial"/>
          <w:lang w:eastAsia="en-US"/>
        </w:rPr>
        <w:t>. New York: Guilford Press.</w:t>
      </w:r>
    </w:p>
    <w:p w14:paraId="0FAACD12"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Masten, A.S., Lucke, C.M., Nelson, K.M. and </w:t>
      </w:r>
      <w:proofErr w:type="spellStart"/>
      <w:r w:rsidRPr="0039386E">
        <w:rPr>
          <w:rFonts w:ascii="Arial" w:eastAsia="Aptos" w:hAnsi="Arial" w:cs="Arial"/>
          <w:lang w:eastAsia="en-US"/>
        </w:rPr>
        <w:t>Stallworthy</w:t>
      </w:r>
      <w:proofErr w:type="spellEnd"/>
      <w:r w:rsidRPr="0039386E">
        <w:rPr>
          <w:rFonts w:ascii="Arial" w:eastAsia="Aptos" w:hAnsi="Arial" w:cs="Arial"/>
          <w:lang w:eastAsia="en-US"/>
        </w:rPr>
        <w:t xml:space="preserve">, I.C. (2021) ‘Resilience in development and psychopathology: Multisystem perspectives’, </w:t>
      </w:r>
      <w:r w:rsidRPr="0039386E">
        <w:rPr>
          <w:rFonts w:ascii="Arial" w:eastAsia="Aptos" w:hAnsi="Arial" w:cs="Arial"/>
          <w:i/>
          <w:iCs/>
          <w:lang w:eastAsia="en-US"/>
        </w:rPr>
        <w:t>Annual Review of Clinical Psychology</w:t>
      </w:r>
      <w:r w:rsidRPr="0039386E">
        <w:rPr>
          <w:rFonts w:ascii="Arial" w:eastAsia="Aptos" w:hAnsi="Arial" w:cs="Arial"/>
          <w:lang w:eastAsia="en-US"/>
        </w:rPr>
        <w:t xml:space="preserve">, 17, pp. 521–549. Available at: </w:t>
      </w:r>
      <w:hyperlink r:id="rId33" w:tgtFrame="_new" w:history="1">
        <w:r w:rsidRPr="0039386E">
          <w:rPr>
            <w:rFonts w:ascii="Arial" w:eastAsia="Aptos" w:hAnsi="Arial" w:cs="Arial"/>
            <w:color w:val="467886"/>
            <w:u w:val="single"/>
            <w:lang w:eastAsia="en-US"/>
          </w:rPr>
          <w:t>https://doi.org/10.1146/annurev-clinpsy-081219-120307</w:t>
        </w:r>
      </w:hyperlink>
    </w:p>
    <w:p w14:paraId="2689EFF3"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National Institute for Health and Care Excellence (2017) </w:t>
      </w:r>
      <w:r w:rsidRPr="0039386E">
        <w:rPr>
          <w:rFonts w:ascii="Arial" w:eastAsia="Aptos" w:hAnsi="Arial" w:cs="Arial"/>
          <w:i/>
          <w:iCs/>
          <w:lang w:eastAsia="en-US"/>
        </w:rPr>
        <w:t>Antisocial Behaviour and Conduct Disorders in Children and Young People: Recognition and Management (CG158).</w:t>
      </w:r>
      <w:r w:rsidRPr="0039386E">
        <w:rPr>
          <w:rFonts w:ascii="Arial" w:eastAsia="Aptos" w:hAnsi="Arial" w:cs="Arial"/>
          <w:lang w:eastAsia="en-US"/>
        </w:rPr>
        <w:t xml:space="preserve"> London: NICE. Available at: </w:t>
      </w:r>
      <w:hyperlink r:id="rId34" w:tgtFrame="_new" w:history="1">
        <w:r w:rsidRPr="0039386E">
          <w:rPr>
            <w:rFonts w:ascii="Arial" w:eastAsia="Aptos" w:hAnsi="Arial" w:cs="Arial"/>
            <w:color w:val="467886"/>
            <w:u w:val="single"/>
            <w:lang w:eastAsia="en-US"/>
          </w:rPr>
          <w:t>https://www.nice.org.uk/guidance/cg158</w:t>
        </w:r>
      </w:hyperlink>
      <w:r w:rsidRPr="0039386E">
        <w:rPr>
          <w:rFonts w:ascii="Arial" w:eastAsia="Aptos" w:hAnsi="Arial" w:cs="Arial"/>
          <w:lang w:eastAsia="en-US"/>
        </w:rPr>
        <w:t xml:space="preserve"> (Accessed: 23 July 2026).</w:t>
      </w:r>
    </w:p>
    <w:p w14:paraId="14C710E6"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National Institute for Health and Care Excellence (2018) </w:t>
      </w:r>
      <w:r w:rsidRPr="0039386E">
        <w:rPr>
          <w:rFonts w:ascii="Arial" w:eastAsia="Aptos" w:hAnsi="Arial" w:cs="Arial"/>
          <w:i/>
          <w:iCs/>
          <w:lang w:eastAsia="en-US"/>
        </w:rPr>
        <w:t>Attention Deficit Hyperactivity Disorder: Diagnosis and Management (NG87).</w:t>
      </w:r>
      <w:r w:rsidRPr="0039386E">
        <w:rPr>
          <w:rFonts w:ascii="Arial" w:eastAsia="Aptos" w:hAnsi="Arial" w:cs="Arial"/>
          <w:lang w:eastAsia="en-US"/>
        </w:rPr>
        <w:t xml:space="preserve"> London: NICE. Available at: </w:t>
      </w:r>
      <w:hyperlink r:id="rId35" w:tgtFrame="_new" w:history="1">
        <w:r w:rsidRPr="0039386E">
          <w:rPr>
            <w:rFonts w:ascii="Arial" w:eastAsia="Aptos" w:hAnsi="Arial" w:cs="Arial"/>
            <w:color w:val="467886"/>
            <w:u w:val="single"/>
            <w:lang w:eastAsia="en-US"/>
          </w:rPr>
          <w:t>https://www.nice.org.uk/guidance/ng87</w:t>
        </w:r>
      </w:hyperlink>
      <w:r w:rsidRPr="0039386E">
        <w:rPr>
          <w:rFonts w:ascii="Arial" w:eastAsia="Aptos" w:hAnsi="Arial" w:cs="Arial"/>
          <w:lang w:eastAsia="en-US"/>
        </w:rPr>
        <w:t xml:space="preserve"> (Accessed: 23 July 2026).</w:t>
      </w:r>
    </w:p>
    <w:p w14:paraId="33E0164E"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National Institute for Health and Care Excellence (2019) </w:t>
      </w:r>
      <w:r w:rsidRPr="0039386E">
        <w:rPr>
          <w:rFonts w:ascii="Arial" w:eastAsia="Aptos" w:hAnsi="Arial" w:cs="Arial"/>
          <w:i/>
          <w:iCs/>
          <w:lang w:eastAsia="en-US"/>
        </w:rPr>
        <w:t>Depression in Children and Young People: Identification and Management (NG134).</w:t>
      </w:r>
      <w:r w:rsidRPr="0039386E">
        <w:rPr>
          <w:rFonts w:ascii="Arial" w:eastAsia="Aptos" w:hAnsi="Arial" w:cs="Arial"/>
          <w:lang w:eastAsia="en-US"/>
        </w:rPr>
        <w:t xml:space="preserve"> London: NICE. Available at: </w:t>
      </w:r>
      <w:hyperlink r:id="rId36" w:tgtFrame="_new" w:history="1">
        <w:r w:rsidRPr="0039386E">
          <w:rPr>
            <w:rFonts w:ascii="Arial" w:eastAsia="Aptos" w:hAnsi="Arial" w:cs="Arial"/>
            <w:color w:val="467886"/>
            <w:u w:val="single"/>
            <w:lang w:eastAsia="en-US"/>
          </w:rPr>
          <w:t>https://www.nice.org.uk/guidance/ng134</w:t>
        </w:r>
      </w:hyperlink>
      <w:r w:rsidRPr="0039386E">
        <w:rPr>
          <w:rFonts w:ascii="Arial" w:eastAsia="Aptos" w:hAnsi="Arial" w:cs="Arial"/>
          <w:lang w:eastAsia="en-US"/>
        </w:rPr>
        <w:t xml:space="preserve"> (Accessed: 23 July 2026).</w:t>
      </w:r>
    </w:p>
    <w:p w14:paraId="36C48481"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National Institute for Health and Care Excellence (2022) </w:t>
      </w:r>
      <w:r w:rsidRPr="0039386E">
        <w:rPr>
          <w:rFonts w:ascii="Arial" w:eastAsia="Aptos" w:hAnsi="Arial" w:cs="Arial"/>
          <w:i/>
          <w:iCs/>
          <w:lang w:eastAsia="en-US"/>
        </w:rPr>
        <w:t>Mental Wellbeing in Primary, Secondary and Further Education (NG223).</w:t>
      </w:r>
      <w:r w:rsidRPr="0039386E">
        <w:rPr>
          <w:rFonts w:ascii="Arial" w:eastAsia="Aptos" w:hAnsi="Arial" w:cs="Arial"/>
          <w:lang w:eastAsia="en-US"/>
        </w:rPr>
        <w:t xml:space="preserve"> London: NICE. Available at: </w:t>
      </w:r>
      <w:hyperlink r:id="rId37" w:tgtFrame="_new" w:history="1">
        <w:r w:rsidRPr="0039386E">
          <w:rPr>
            <w:rFonts w:ascii="Arial" w:eastAsia="Aptos" w:hAnsi="Arial" w:cs="Arial"/>
            <w:color w:val="467886"/>
            <w:u w:val="single"/>
            <w:lang w:eastAsia="en-US"/>
          </w:rPr>
          <w:t>https://www.nice.org.uk/guidance/ng223</w:t>
        </w:r>
      </w:hyperlink>
      <w:r w:rsidRPr="0039386E">
        <w:rPr>
          <w:rFonts w:ascii="Arial" w:eastAsia="Aptos" w:hAnsi="Arial" w:cs="Arial"/>
          <w:lang w:eastAsia="en-US"/>
        </w:rPr>
        <w:t xml:space="preserve"> (Accessed: 23 July 2026).</w:t>
      </w:r>
    </w:p>
    <w:p w14:paraId="2C1C1E5C"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NHS Digital (2022) </w:t>
      </w:r>
      <w:r w:rsidRPr="0039386E">
        <w:rPr>
          <w:rFonts w:ascii="Arial" w:eastAsia="Aptos" w:hAnsi="Arial" w:cs="Arial"/>
          <w:i/>
          <w:iCs/>
          <w:lang w:eastAsia="en-US"/>
        </w:rPr>
        <w:t>Mental Health of Children and Young People in England 2022: Wave 3 Follow-up to the 2017 Survey.</w:t>
      </w:r>
      <w:r w:rsidRPr="0039386E">
        <w:rPr>
          <w:rFonts w:ascii="Arial" w:eastAsia="Aptos" w:hAnsi="Arial" w:cs="Arial"/>
          <w:lang w:eastAsia="en-US"/>
        </w:rPr>
        <w:t xml:space="preserve"> Leeds: NHS Digital. Available at: </w:t>
      </w:r>
      <w:hyperlink r:id="rId38" w:tgtFrame="_new" w:history="1">
        <w:r w:rsidRPr="0039386E">
          <w:rPr>
            <w:rFonts w:ascii="Arial" w:eastAsia="Aptos" w:hAnsi="Arial" w:cs="Arial"/>
            <w:color w:val="467886"/>
            <w:u w:val="single"/>
            <w:lang w:eastAsia="en-US"/>
          </w:rPr>
          <w:t>https://digital.nhs.uk/</w:t>
        </w:r>
      </w:hyperlink>
      <w:r w:rsidRPr="0039386E">
        <w:rPr>
          <w:rFonts w:ascii="Arial" w:eastAsia="Aptos" w:hAnsi="Arial" w:cs="Arial"/>
          <w:lang w:eastAsia="en-US"/>
        </w:rPr>
        <w:t xml:space="preserve"> (Accessed: 23 July 2026).</w:t>
      </w:r>
    </w:p>
    <w:p w14:paraId="4DC56C9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NHS Digital (2023) </w:t>
      </w:r>
      <w:r w:rsidRPr="0039386E">
        <w:rPr>
          <w:rFonts w:ascii="Arial" w:eastAsia="Aptos" w:hAnsi="Arial" w:cs="Arial"/>
          <w:i/>
          <w:iCs/>
          <w:lang w:eastAsia="en-US"/>
        </w:rPr>
        <w:t>Mental Health of Children and Young People in England, 2023.</w:t>
      </w:r>
      <w:r w:rsidRPr="0039386E">
        <w:rPr>
          <w:rFonts w:ascii="Arial" w:eastAsia="Aptos" w:hAnsi="Arial" w:cs="Arial"/>
          <w:lang w:eastAsia="en-US"/>
        </w:rPr>
        <w:t xml:space="preserve"> Leeds: NHS Digital. Available at: </w:t>
      </w:r>
      <w:hyperlink r:id="rId39" w:tgtFrame="_new" w:history="1">
        <w:r w:rsidRPr="0039386E">
          <w:rPr>
            <w:rFonts w:ascii="Arial" w:eastAsia="Aptos" w:hAnsi="Arial" w:cs="Arial"/>
            <w:color w:val="467886"/>
            <w:u w:val="single"/>
            <w:lang w:eastAsia="en-US"/>
          </w:rPr>
          <w:t>https://digital.nhs.uk/</w:t>
        </w:r>
      </w:hyperlink>
      <w:r w:rsidRPr="0039386E">
        <w:rPr>
          <w:rFonts w:ascii="Arial" w:eastAsia="Aptos" w:hAnsi="Arial" w:cs="Arial"/>
          <w:lang w:eastAsia="en-US"/>
        </w:rPr>
        <w:t xml:space="preserve"> (Accessed: 23 July 2026).</w:t>
      </w:r>
    </w:p>
    <w:p w14:paraId="29E2B28C"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NHS England (2019) </w:t>
      </w:r>
      <w:r w:rsidRPr="0039386E">
        <w:rPr>
          <w:rFonts w:ascii="Arial" w:eastAsia="Aptos" w:hAnsi="Arial" w:cs="Arial"/>
          <w:i/>
          <w:iCs/>
          <w:lang w:eastAsia="en-US"/>
        </w:rPr>
        <w:t>NHS Long Term Plan.</w:t>
      </w:r>
      <w:r w:rsidRPr="0039386E">
        <w:rPr>
          <w:rFonts w:ascii="Arial" w:eastAsia="Aptos" w:hAnsi="Arial" w:cs="Arial"/>
          <w:lang w:eastAsia="en-US"/>
        </w:rPr>
        <w:t xml:space="preserve"> London: NHS England. Available at: </w:t>
      </w:r>
      <w:hyperlink r:id="rId40" w:tgtFrame="_new" w:history="1">
        <w:r w:rsidRPr="0039386E">
          <w:rPr>
            <w:rFonts w:ascii="Arial" w:eastAsia="Aptos" w:hAnsi="Arial" w:cs="Arial"/>
            <w:color w:val="467886"/>
            <w:u w:val="single"/>
            <w:lang w:eastAsia="en-US"/>
          </w:rPr>
          <w:t>https://www.longtermplan.nhs.uk/</w:t>
        </w:r>
      </w:hyperlink>
      <w:r w:rsidRPr="0039386E">
        <w:rPr>
          <w:rFonts w:ascii="Arial" w:eastAsia="Aptos" w:hAnsi="Arial" w:cs="Arial"/>
          <w:lang w:eastAsia="en-US"/>
        </w:rPr>
        <w:t xml:space="preserve"> (Accessed: 23 July 2026).</w:t>
      </w:r>
    </w:p>
    <w:p w14:paraId="78E85D5A"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NHS England (2022) </w:t>
      </w:r>
      <w:r w:rsidRPr="0039386E">
        <w:rPr>
          <w:rFonts w:ascii="Arial" w:eastAsia="Aptos" w:hAnsi="Arial" w:cs="Arial"/>
          <w:i/>
          <w:iCs/>
          <w:lang w:eastAsia="en-US"/>
        </w:rPr>
        <w:t>Children and Young People's Mental Health Services (CAMHS).</w:t>
      </w:r>
      <w:r w:rsidRPr="0039386E">
        <w:rPr>
          <w:rFonts w:ascii="Arial" w:eastAsia="Aptos" w:hAnsi="Arial" w:cs="Arial"/>
          <w:lang w:eastAsia="en-US"/>
        </w:rPr>
        <w:t xml:space="preserve"> London: NHS England. Available at: https://www.england.nhs.uk/mental-health/children-and-young-people/ (Accessed: 23 July 2026).</w:t>
      </w:r>
    </w:p>
    <w:p w14:paraId="05524441"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Nowell, L.S., Norris, J.M., White, D.E. and Moules, N.J. (2017) ‘Thematic analysis: Striving to meet the trustworthiness criteria’, </w:t>
      </w:r>
      <w:r w:rsidRPr="0039386E">
        <w:rPr>
          <w:rFonts w:ascii="Arial" w:eastAsia="Aptos" w:hAnsi="Arial" w:cs="Arial"/>
          <w:i/>
          <w:iCs/>
          <w:lang w:eastAsia="en-US"/>
        </w:rPr>
        <w:t>International Journal of Qualitative Methods</w:t>
      </w:r>
      <w:r w:rsidRPr="0039386E">
        <w:rPr>
          <w:rFonts w:ascii="Arial" w:eastAsia="Aptos" w:hAnsi="Arial" w:cs="Arial"/>
          <w:lang w:eastAsia="en-US"/>
        </w:rPr>
        <w:t xml:space="preserve">, 16(1), pp. 1–13. Available at: </w:t>
      </w:r>
      <w:hyperlink r:id="rId41" w:tgtFrame="_new" w:history="1">
        <w:r w:rsidRPr="0039386E">
          <w:rPr>
            <w:rFonts w:ascii="Arial" w:eastAsia="Aptos" w:hAnsi="Arial" w:cs="Arial"/>
            <w:color w:val="467886"/>
            <w:u w:val="single"/>
            <w:lang w:eastAsia="en-US"/>
          </w:rPr>
          <w:t>https://doi.org/10.1177/1609406917733847</w:t>
        </w:r>
      </w:hyperlink>
    </w:p>
    <w:p w14:paraId="40111D26"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Odgers, C.L. and Jensen, M.R. (2020) ‘Annual Research Review: Adolescent mental health in the digital age: Facts, fears, and future directions’, </w:t>
      </w:r>
      <w:r w:rsidRPr="0039386E">
        <w:rPr>
          <w:rFonts w:ascii="Arial" w:eastAsia="Aptos" w:hAnsi="Arial" w:cs="Arial"/>
          <w:i/>
          <w:iCs/>
          <w:lang w:eastAsia="en-US"/>
        </w:rPr>
        <w:t>Journal of Child Psychology and Psychiatry</w:t>
      </w:r>
      <w:r w:rsidRPr="0039386E">
        <w:rPr>
          <w:rFonts w:ascii="Arial" w:eastAsia="Aptos" w:hAnsi="Arial" w:cs="Arial"/>
          <w:lang w:eastAsia="en-US"/>
        </w:rPr>
        <w:t xml:space="preserve">, 61(3), pp. 336–348. Available at: </w:t>
      </w:r>
      <w:hyperlink r:id="rId42" w:tgtFrame="_new" w:history="1">
        <w:r w:rsidRPr="0039386E">
          <w:rPr>
            <w:rFonts w:ascii="Arial" w:eastAsia="Aptos" w:hAnsi="Arial" w:cs="Arial"/>
            <w:color w:val="467886"/>
            <w:u w:val="single"/>
            <w:lang w:eastAsia="en-US"/>
          </w:rPr>
          <w:t>https://doi.org/10.1111/jcpp.13190</w:t>
        </w:r>
      </w:hyperlink>
    </w:p>
    <w:p w14:paraId="6B9802BC"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Patel, V., Saxena, S., Lund, C., Thornicroft, G., Baingana, F., Bolton, P., Chisholm, D., Collins, P.Y., Cooper, J.L., Eaton, J. </w:t>
      </w:r>
      <w:r w:rsidRPr="0039386E">
        <w:rPr>
          <w:rFonts w:ascii="Arial" w:eastAsia="Aptos" w:hAnsi="Arial" w:cs="Arial"/>
          <w:i/>
          <w:iCs/>
          <w:lang w:eastAsia="en-US"/>
        </w:rPr>
        <w:t>et al.</w:t>
      </w:r>
      <w:r w:rsidRPr="0039386E">
        <w:rPr>
          <w:rFonts w:ascii="Arial" w:eastAsia="Aptos" w:hAnsi="Arial" w:cs="Arial"/>
          <w:lang w:eastAsia="en-US"/>
        </w:rPr>
        <w:t xml:space="preserve"> (2018) ‘The Lancet Commission on global mental health and sustainable development’, </w:t>
      </w:r>
      <w:r w:rsidRPr="0039386E">
        <w:rPr>
          <w:rFonts w:ascii="Arial" w:eastAsia="Aptos" w:hAnsi="Arial" w:cs="Arial"/>
          <w:i/>
          <w:iCs/>
          <w:lang w:eastAsia="en-US"/>
        </w:rPr>
        <w:t>The Lancet</w:t>
      </w:r>
      <w:r w:rsidRPr="0039386E">
        <w:rPr>
          <w:rFonts w:ascii="Arial" w:eastAsia="Aptos" w:hAnsi="Arial" w:cs="Arial"/>
          <w:lang w:eastAsia="en-US"/>
        </w:rPr>
        <w:t xml:space="preserve">, 392(10157), pp. 1553–1598. Available at: </w:t>
      </w:r>
      <w:hyperlink r:id="rId43" w:tgtFrame="_new" w:history="1">
        <w:r w:rsidRPr="0039386E">
          <w:rPr>
            <w:rFonts w:ascii="Arial" w:eastAsia="Aptos" w:hAnsi="Arial" w:cs="Arial"/>
            <w:color w:val="467886"/>
            <w:u w:val="single"/>
            <w:lang w:eastAsia="en-US"/>
          </w:rPr>
          <w:t>https://doi.org/10.1016/S0140-6736(18)31612-X</w:t>
        </w:r>
      </w:hyperlink>
    </w:p>
    <w:p w14:paraId="41ADCE86"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Perry, B.D. and Pollard, R. (1998) ‘Homeostasis, stress, trauma, and adaptation: A neurodevelopmental view of childhood trauma’, </w:t>
      </w:r>
      <w:r w:rsidRPr="0039386E">
        <w:rPr>
          <w:rFonts w:ascii="Arial" w:eastAsia="Aptos" w:hAnsi="Arial" w:cs="Arial"/>
          <w:i/>
          <w:iCs/>
          <w:lang w:eastAsia="en-US"/>
        </w:rPr>
        <w:t>Child and Adolescent Psychiatric Clinics of North America</w:t>
      </w:r>
      <w:r w:rsidRPr="0039386E">
        <w:rPr>
          <w:rFonts w:ascii="Arial" w:eastAsia="Aptos" w:hAnsi="Arial" w:cs="Arial"/>
          <w:lang w:eastAsia="en-US"/>
        </w:rPr>
        <w:t>, 7(1), pp. 33–51.</w:t>
      </w:r>
    </w:p>
    <w:p w14:paraId="43D8B7A2"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Petruccelli, K., Davis, J. and Berman, T. (2019) ‘Adverse childhood experiences and associated health outcomes: A systematic review and meta-analysis’, </w:t>
      </w:r>
      <w:r w:rsidRPr="0039386E">
        <w:rPr>
          <w:rFonts w:ascii="Arial" w:eastAsia="Aptos" w:hAnsi="Arial" w:cs="Arial"/>
          <w:i/>
          <w:iCs/>
          <w:lang w:eastAsia="en-US"/>
        </w:rPr>
        <w:t>Child Abuse &amp; Neglect</w:t>
      </w:r>
      <w:r w:rsidRPr="0039386E">
        <w:rPr>
          <w:rFonts w:ascii="Arial" w:eastAsia="Aptos" w:hAnsi="Arial" w:cs="Arial"/>
          <w:lang w:eastAsia="en-US"/>
        </w:rPr>
        <w:t xml:space="preserve">, 97, 104127. Available at: </w:t>
      </w:r>
      <w:hyperlink r:id="rId44" w:tgtFrame="_new" w:history="1">
        <w:r w:rsidRPr="0039386E">
          <w:rPr>
            <w:rFonts w:ascii="Arial" w:eastAsia="Aptos" w:hAnsi="Arial" w:cs="Arial"/>
            <w:color w:val="467886"/>
            <w:u w:val="single"/>
            <w:lang w:eastAsia="en-US"/>
          </w:rPr>
          <w:t>https://doi.org/10.1016/j.chiabu.2019.104127</w:t>
        </w:r>
      </w:hyperlink>
    </w:p>
    <w:p w14:paraId="6C098A3B"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Polanczyk, G.V., Salum, G.A., Sugaya, L.S., Caye, A. and Rohde, L.A. (2015) ‘Annual Research Review: A meta-analysis of the worldwide prevalence of mental disorders in children and adolescents’, </w:t>
      </w:r>
      <w:r w:rsidRPr="0039386E">
        <w:rPr>
          <w:rFonts w:ascii="Arial" w:eastAsia="Aptos" w:hAnsi="Arial" w:cs="Arial"/>
          <w:i/>
          <w:iCs/>
          <w:lang w:eastAsia="en-US"/>
        </w:rPr>
        <w:t>Journal of Child Psychology and Psychiatry</w:t>
      </w:r>
      <w:r w:rsidRPr="0039386E">
        <w:rPr>
          <w:rFonts w:ascii="Arial" w:eastAsia="Aptos" w:hAnsi="Arial" w:cs="Arial"/>
          <w:lang w:eastAsia="en-US"/>
        </w:rPr>
        <w:t>, 56(3), pp. 345–365. Available at: https://doi.org/10.1111/jcpp.12381</w:t>
      </w:r>
    </w:p>
    <w:p w14:paraId="4508E51B"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Przybylski, A.K. and Weinstein, N. (2017) ‘A large-scale test of the Goldilocks hypothesis: Quantifying the relations between digital-screen use and the mental well-being of adolescents’, </w:t>
      </w:r>
      <w:r w:rsidRPr="0039386E">
        <w:rPr>
          <w:rFonts w:ascii="Arial" w:eastAsia="Aptos" w:hAnsi="Arial" w:cs="Arial"/>
          <w:i/>
          <w:iCs/>
          <w:lang w:eastAsia="en-US"/>
        </w:rPr>
        <w:t>Psychological Science</w:t>
      </w:r>
      <w:r w:rsidRPr="0039386E">
        <w:rPr>
          <w:rFonts w:ascii="Arial" w:eastAsia="Aptos" w:hAnsi="Arial" w:cs="Arial"/>
          <w:lang w:eastAsia="en-US"/>
        </w:rPr>
        <w:t xml:space="preserve">, 28(2), pp. 204–215. Available at: </w:t>
      </w:r>
      <w:hyperlink r:id="rId45" w:tgtFrame="_new" w:history="1">
        <w:r w:rsidRPr="0039386E">
          <w:rPr>
            <w:rFonts w:ascii="Arial" w:eastAsia="Aptos" w:hAnsi="Arial" w:cs="Arial"/>
            <w:color w:val="467886"/>
            <w:u w:val="single"/>
            <w:lang w:eastAsia="en-US"/>
          </w:rPr>
          <w:t>https://doi.org/10.1177/0956797616678438</w:t>
        </w:r>
      </w:hyperlink>
    </w:p>
    <w:p w14:paraId="014A1767"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Reiss, F. (2013) ‘Socioeconomic inequalities and mental health problems in children and adolescents: A systematic review’, </w:t>
      </w:r>
      <w:r w:rsidRPr="0039386E">
        <w:rPr>
          <w:rFonts w:ascii="Arial" w:eastAsia="Aptos" w:hAnsi="Arial" w:cs="Arial"/>
          <w:i/>
          <w:iCs/>
          <w:lang w:eastAsia="en-US"/>
        </w:rPr>
        <w:t>Social Science &amp; Medicine</w:t>
      </w:r>
      <w:r w:rsidRPr="0039386E">
        <w:rPr>
          <w:rFonts w:ascii="Arial" w:eastAsia="Aptos" w:hAnsi="Arial" w:cs="Arial"/>
          <w:lang w:eastAsia="en-US"/>
        </w:rPr>
        <w:t xml:space="preserve">, 90, pp. 24–31. Available at: </w:t>
      </w:r>
      <w:hyperlink r:id="rId46" w:tgtFrame="_new" w:history="1">
        <w:r w:rsidRPr="0039386E">
          <w:rPr>
            <w:rFonts w:ascii="Arial" w:eastAsia="Aptos" w:hAnsi="Arial" w:cs="Arial"/>
            <w:color w:val="467886"/>
            <w:u w:val="single"/>
            <w:lang w:eastAsia="en-US"/>
          </w:rPr>
          <w:t>https://doi.org/10.1016/j.socscimed.2013.04.026</w:t>
        </w:r>
      </w:hyperlink>
    </w:p>
    <w:p w14:paraId="12706EB0"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Rutter, M. (2012) </w:t>
      </w:r>
      <w:r w:rsidRPr="0039386E">
        <w:rPr>
          <w:rFonts w:ascii="Arial" w:eastAsia="Aptos" w:hAnsi="Arial" w:cs="Arial"/>
          <w:i/>
          <w:iCs/>
          <w:lang w:eastAsia="en-US"/>
        </w:rPr>
        <w:t>Resilience as a Dynamic Concept</w:t>
      </w:r>
      <w:r w:rsidRPr="0039386E">
        <w:rPr>
          <w:rFonts w:ascii="Arial" w:eastAsia="Aptos" w:hAnsi="Arial" w:cs="Arial"/>
          <w:lang w:eastAsia="en-US"/>
        </w:rPr>
        <w:t xml:space="preserve">. </w:t>
      </w:r>
      <w:r w:rsidRPr="0039386E">
        <w:rPr>
          <w:rFonts w:ascii="Arial" w:eastAsia="Aptos" w:hAnsi="Arial" w:cs="Arial"/>
          <w:i/>
          <w:iCs/>
          <w:lang w:eastAsia="en-US"/>
        </w:rPr>
        <w:t>Development and Psychopathology</w:t>
      </w:r>
      <w:r w:rsidRPr="0039386E">
        <w:rPr>
          <w:rFonts w:ascii="Arial" w:eastAsia="Aptos" w:hAnsi="Arial" w:cs="Arial"/>
          <w:lang w:eastAsia="en-US"/>
        </w:rPr>
        <w:t>, 24(2), pp. 335–344. Available at: https://doi.org/10.1017/S0954579412000028</w:t>
      </w:r>
    </w:p>
    <w:p w14:paraId="7E53061D"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Rutter, M., Giller, H. and </w:t>
      </w:r>
      <w:proofErr w:type="spellStart"/>
      <w:r w:rsidRPr="0039386E">
        <w:rPr>
          <w:rFonts w:ascii="Arial" w:eastAsia="Aptos" w:hAnsi="Arial" w:cs="Arial"/>
          <w:lang w:eastAsia="en-US"/>
        </w:rPr>
        <w:t>Hagell</w:t>
      </w:r>
      <w:proofErr w:type="spellEnd"/>
      <w:r w:rsidRPr="0039386E">
        <w:rPr>
          <w:rFonts w:ascii="Arial" w:eastAsia="Aptos" w:hAnsi="Arial" w:cs="Arial"/>
          <w:lang w:eastAsia="en-US"/>
        </w:rPr>
        <w:t xml:space="preserve">, A. (2001) </w:t>
      </w:r>
      <w:r w:rsidRPr="0039386E">
        <w:rPr>
          <w:rFonts w:ascii="Arial" w:eastAsia="Aptos" w:hAnsi="Arial" w:cs="Arial"/>
          <w:i/>
          <w:iCs/>
          <w:lang w:eastAsia="en-US"/>
        </w:rPr>
        <w:t>Antisocial Behavior by Young People</w:t>
      </w:r>
      <w:r w:rsidRPr="0039386E">
        <w:rPr>
          <w:rFonts w:ascii="Arial" w:eastAsia="Aptos" w:hAnsi="Arial" w:cs="Arial"/>
          <w:lang w:eastAsia="en-US"/>
        </w:rPr>
        <w:t>. Cambridge: Cambridge University Press.</w:t>
      </w:r>
    </w:p>
    <w:p w14:paraId="521E8A5F"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Shaw, P., </w:t>
      </w:r>
      <w:proofErr w:type="spellStart"/>
      <w:r w:rsidRPr="0039386E">
        <w:rPr>
          <w:rFonts w:ascii="Arial" w:eastAsia="Aptos" w:hAnsi="Arial" w:cs="Arial"/>
          <w:lang w:eastAsia="en-US"/>
        </w:rPr>
        <w:t>Eckstrand</w:t>
      </w:r>
      <w:proofErr w:type="spellEnd"/>
      <w:r w:rsidRPr="0039386E">
        <w:rPr>
          <w:rFonts w:ascii="Arial" w:eastAsia="Aptos" w:hAnsi="Arial" w:cs="Arial"/>
          <w:lang w:eastAsia="en-US"/>
        </w:rPr>
        <w:t xml:space="preserve">, K., Sharp, W., Blumenthal, J., Lerch, J.P., Greenstein, D., Clasen, L., Evans, A., Giedd, J. and Rapoport, J.L. (2007) ‘Attention-deficit/hyperactivity disorder is characterised by a delay in cortical maturation’, </w:t>
      </w:r>
      <w:r w:rsidRPr="0039386E">
        <w:rPr>
          <w:rFonts w:ascii="Arial" w:eastAsia="Aptos" w:hAnsi="Arial" w:cs="Arial"/>
          <w:i/>
          <w:iCs/>
          <w:lang w:eastAsia="en-US"/>
        </w:rPr>
        <w:t>Proceedings of the National Academy of Sciences of the United States of America</w:t>
      </w:r>
      <w:r w:rsidRPr="0039386E">
        <w:rPr>
          <w:rFonts w:ascii="Arial" w:eastAsia="Aptos" w:hAnsi="Arial" w:cs="Arial"/>
          <w:lang w:eastAsia="en-US"/>
        </w:rPr>
        <w:t xml:space="preserve">, 104(49), pp. 19649–19654. Available at: </w:t>
      </w:r>
      <w:hyperlink r:id="rId47" w:tgtFrame="_new" w:history="1">
        <w:r w:rsidRPr="0039386E">
          <w:rPr>
            <w:rFonts w:ascii="Arial" w:eastAsia="Aptos" w:hAnsi="Arial" w:cs="Arial"/>
            <w:color w:val="467886"/>
            <w:u w:val="single"/>
            <w:lang w:eastAsia="en-US"/>
          </w:rPr>
          <w:t>https://doi.org/10.1073/pnas.0707741104</w:t>
        </w:r>
      </w:hyperlink>
    </w:p>
    <w:p w14:paraId="78AF3C18"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Snyder, H. (2019) ‘Literature review as a research methodology: An overview and guidelines’, </w:t>
      </w:r>
      <w:r w:rsidRPr="0039386E">
        <w:rPr>
          <w:rFonts w:ascii="Arial" w:eastAsia="Aptos" w:hAnsi="Arial" w:cs="Arial"/>
          <w:i/>
          <w:iCs/>
          <w:lang w:eastAsia="en-US"/>
        </w:rPr>
        <w:t>Journal of Business Research</w:t>
      </w:r>
      <w:r w:rsidRPr="0039386E">
        <w:rPr>
          <w:rFonts w:ascii="Arial" w:eastAsia="Aptos" w:hAnsi="Arial" w:cs="Arial"/>
          <w:lang w:eastAsia="en-US"/>
        </w:rPr>
        <w:t xml:space="preserve">, 104, pp. 333–339. Available at: </w:t>
      </w:r>
      <w:hyperlink r:id="rId48" w:tgtFrame="_new" w:history="1">
        <w:r w:rsidRPr="0039386E">
          <w:rPr>
            <w:rFonts w:ascii="Arial" w:eastAsia="Aptos" w:hAnsi="Arial" w:cs="Arial"/>
            <w:color w:val="467886"/>
            <w:u w:val="single"/>
            <w:lang w:eastAsia="en-US"/>
          </w:rPr>
          <w:t>https://doi.org/10.1016/j.jbusres.2019.07.039</w:t>
        </w:r>
      </w:hyperlink>
    </w:p>
    <w:p w14:paraId="75A15FE6"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Thapar, A., Cooper, M., Eyre, O. and Langley, K. (2012) ‘Practitioner Review: What have we learnt about the causes of ADHD?’, </w:t>
      </w:r>
      <w:r w:rsidRPr="0039386E">
        <w:rPr>
          <w:rFonts w:ascii="Arial" w:eastAsia="Aptos" w:hAnsi="Arial" w:cs="Arial"/>
          <w:i/>
          <w:iCs/>
          <w:lang w:eastAsia="en-US"/>
        </w:rPr>
        <w:t>Journal of Child Psychology and Psychiatry</w:t>
      </w:r>
      <w:r w:rsidRPr="0039386E">
        <w:rPr>
          <w:rFonts w:ascii="Arial" w:eastAsia="Aptos" w:hAnsi="Arial" w:cs="Arial"/>
          <w:lang w:eastAsia="en-US"/>
        </w:rPr>
        <w:t xml:space="preserve">, 54(1), pp. 3–16. Available at: </w:t>
      </w:r>
      <w:hyperlink r:id="rId49" w:tgtFrame="_new" w:history="1">
        <w:r w:rsidRPr="0039386E">
          <w:rPr>
            <w:rFonts w:ascii="Arial" w:eastAsia="Aptos" w:hAnsi="Arial" w:cs="Arial"/>
            <w:color w:val="467886"/>
            <w:u w:val="single"/>
            <w:lang w:eastAsia="en-US"/>
          </w:rPr>
          <w:t>https://doi.org/10.1111/j.1469-7610.2012.02611.x</w:t>
        </w:r>
      </w:hyperlink>
    </w:p>
    <w:p w14:paraId="4AE8EC12"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Twenge, J.M. (2017) </w:t>
      </w:r>
      <w:proofErr w:type="spellStart"/>
      <w:r w:rsidRPr="0039386E">
        <w:rPr>
          <w:rFonts w:ascii="Arial" w:eastAsia="Aptos" w:hAnsi="Arial" w:cs="Arial"/>
          <w:i/>
          <w:iCs/>
          <w:lang w:eastAsia="en-US"/>
        </w:rPr>
        <w:t>iGen</w:t>
      </w:r>
      <w:proofErr w:type="spellEnd"/>
      <w:r w:rsidRPr="0039386E">
        <w:rPr>
          <w:rFonts w:ascii="Arial" w:eastAsia="Aptos" w:hAnsi="Arial" w:cs="Arial"/>
          <w:i/>
          <w:iCs/>
          <w:lang w:eastAsia="en-US"/>
        </w:rPr>
        <w:t>: Why Today's Super-Connected Kids Are Growing Up Less Rebellious, More Tolerant, Less Happy—and Completely Unprepared for Adulthood</w:t>
      </w:r>
      <w:r w:rsidRPr="0039386E">
        <w:rPr>
          <w:rFonts w:ascii="Arial" w:eastAsia="Aptos" w:hAnsi="Arial" w:cs="Arial"/>
          <w:lang w:eastAsia="en-US"/>
        </w:rPr>
        <w:t>. New York: Atria Books.</w:t>
      </w:r>
    </w:p>
    <w:p w14:paraId="64B54F92"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Walsh, D., McCartney, G., Smith, M. and Armour, G. (2019) ‘Relationship between childhood socioeconomic position and adverse childhood experiences (ACEs): A systematic review’, </w:t>
      </w:r>
      <w:r w:rsidRPr="0039386E">
        <w:rPr>
          <w:rFonts w:ascii="Arial" w:eastAsia="Aptos" w:hAnsi="Arial" w:cs="Arial"/>
          <w:i/>
          <w:iCs/>
          <w:lang w:eastAsia="en-US"/>
        </w:rPr>
        <w:t>Journal of Epidemiology and Community Health</w:t>
      </w:r>
      <w:r w:rsidRPr="0039386E">
        <w:rPr>
          <w:rFonts w:ascii="Arial" w:eastAsia="Aptos" w:hAnsi="Arial" w:cs="Arial"/>
          <w:lang w:eastAsia="en-US"/>
        </w:rPr>
        <w:t xml:space="preserve">, 73(12), pp. 1087–1093. Available at: </w:t>
      </w:r>
      <w:hyperlink r:id="rId50" w:tgtFrame="_new" w:history="1">
        <w:r w:rsidRPr="0039386E">
          <w:rPr>
            <w:rFonts w:ascii="Arial" w:eastAsia="Aptos" w:hAnsi="Arial" w:cs="Arial"/>
            <w:color w:val="467886"/>
            <w:u w:val="single"/>
            <w:lang w:eastAsia="en-US"/>
          </w:rPr>
          <w:t>https://doi.org/10.1136/jech-2019-212738</w:t>
        </w:r>
      </w:hyperlink>
      <w:r w:rsidRPr="0039386E">
        <w:rPr>
          <w:rFonts w:ascii="Arial" w:eastAsia="Aptos" w:hAnsi="Arial" w:cs="Arial"/>
          <w:lang w:eastAsia="en-US"/>
        </w:rPr>
        <w:t xml:space="preserve">. </w:t>
      </w:r>
    </w:p>
    <w:p w14:paraId="1ABA767F"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Weare, K. and Nind, M. (2011) ‘Mental health promotion and problem prevention in schools: What does the evidence say?’, </w:t>
      </w:r>
      <w:r w:rsidRPr="0039386E">
        <w:rPr>
          <w:rFonts w:ascii="Arial" w:eastAsia="Aptos" w:hAnsi="Arial" w:cs="Arial"/>
          <w:i/>
          <w:iCs/>
          <w:lang w:eastAsia="en-US"/>
        </w:rPr>
        <w:t>Health Promotion International</w:t>
      </w:r>
      <w:r w:rsidRPr="0039386E">
        <w:rPr>
          <w:rFonts w:ascii="Arial" w:eastAsia="Aptos" w:hAnsi="Arial" w:cs="Arial"/>
          <w:lang w:eastAsia="en-US"/>
        </w:rPr>
        <w:t xml:space="preserve">, 26(Suppl. 1), pp. i29–i69. Available at: </w:t>
      </w:r>
      <w:hyperlink r:id="rId51" w:tgtFrame="_new" w:history="1">
        <w:r w:rsidRPr="0039386E">
          <w:rPr>
            <w:rFonts w:ascii="Arial" w:eastAsia="Aptos" w:hAnsi="Arial" w:cs="Arial"/>
            <w:color w:val="467886"/>
            <w:u w:val="single"/>
            <w:lang w:eastAsia="en-US"/>
          </w:rPr>
          <w:t>https://doi.org/10.1093/heapro/dar075</w:t>
        </w:r>
      </w:hyperlink>
    </w:p>
    <w:p w14:paraId="7E60B389"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World Health Organization (2021) </w:t>
      </w:r>
      <w:r w:rsidRPr="0039386E">
        <w:rPr>
          <w:rFonts w:ascii="Arial" w:eastAsia="Aptos" w:hAnsi="Arial" w:cs="Arial"/>
          <w:i/>
          <w:iCs/>
          <w:lang w:eastAsia="en-US"/>
        </w:rPr>
        <w:t>Guidance on Community Mental Health Services: Promoting Person-Centred and Rights-Based Approaches</w:t>
      </w:r>
      <w:r w:rsidRPr="0039386E">
        <w:rPr>
          <w:rFonts w:ascii="Arial" w:eastAsia="Aptos" w:hAnsi="Arial" w:cs="Arial"/>
          <w:lang w:eastAsia="en-US"/>
        </w:rPr>
        <w:t xml:space="preserve">. Geneva: World Health Organization. Available at: </w:t>
      </w:r>
      <w:hyperlink r:id="rId52" w:tgtFrame="_new" w:history="1">
        <w:r w:rsidRPr="0039386E">
          <w:rPr>
            <w:rFonts w:ascii="Arial" w:eastAsia="Aptos" w:hAnsi="Arial" w:cs="Arial"/>
            <w:color w:val="467886"/>
            <w:u w:val="single"/>
            <w:lang w:eastAsia="en-US"/>
          </w:rPr>
          <w:t>https://www.who.int/publications/i/item/9789240025707</w:t>
        </w:r>
      </w:hyperlink>
      <w:r w:rsidRPr="0039386E">
        <w:rPr>
          <w:rFonts w:ascii="Arial" w:eastAsia="Aptos" w:hAnsi="Arial" w:cs="Arial"/>
          <w:lang w:eastAsia="en-US"/>
        </w:rPr>
        <w:t xml:space="preserve"> (Accessed: 23 July 2026).</w:t>
      </w:r>
    </w:p>
    <w:p w14:paraId="5ED480F5"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World Health Organization (2022) </w:t>
      </w:r>
      <w:r w:rsidRPr="0039386E">
        <w:rPr>
          <w:rFonts w:ascii="Arial" w:eastAsia="Aptos" w:hAnsi="Arial" w:cs="Arial"/>
          <w:i/>
          <w:iCs/>
          <w:lang w:eastAsia="en-US"/>
        </w:rPr>
        <w:t>World Mental Health Report: Transforming Mental Health for All</w:t>
      </w:r>
      <w:r w:rsidRPr="0039386E">
        <w:rPr>
          <w:rFonts w:ascii="Arial" w:eastAsia="Aptos" w:hAnsi="Arial" w:cs="Arial"/>
          <w:lang w:eastAsia="en-US"/>
        </w:rPr>
        <w:t xml:space="preserve">. Geneva: World Health Organization. Available at: </w:t>
      </w:r>
      <w:hyperlink r:id="rId53" w:tgtFrame="_new" w:history="1">
        <w:r w:rsidRPr="0039386E">
          <w:rPr>
            <w:rFonts w:ascii="Arial" w:eastAsia="Aptos" w:hAnsi="Arial" w:cs="Arial"/>
            <w:color w:val="467886"/>
            <w:u w:val="single"/>
            <w:lang w:eastAsia="en-US"/>
          </w:rPr>
          <w:t>https://www.who.int/publications/i/item/9789240049338</w:t>
        </w:r>
      </w:hyperlink>
      <w:r w:rsidRPr="0039386E">
        <w:rPr>
          <w:rFonts w:ascii="Arial" w:eastAsia="Aptos" w:hAnsi="Arial" w:cs="Arial"/>
          <w:lang w:eastAsia="en-US"/>
        </w:rPr>
        <w:t xml:space="preserve"> (Accessed: 23 July 2026).</w:t>
      </w:r>
    </w:p>
    <w:p w14:paraId="19643051"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t xml:space="preserve">Xiao, Y. and Watson, M. (2019) ‘Guidance on conducting a systematic literature review’, </w:t>
      </w:r>
      <w:r w:rsidRPr="0039386E">
        <w:rPr>
          <w:rFonts w:ascii="Arial" w:eastAsia="Aptos" w:hAnsi="Arial" w:cs="Arial"/>
          <w:i/>
          <w:iCs/>
          <w:lang w:eastAsia="en-US"/>
        </w:rPr>
        <w:t>Journal of Planning Education and Research</w:t>
      </w:r>
      <w:r w:rsidRPr="0039386E">
        <w:rPr>
          <w:rFonts w:ascii="Arial" w:eastAsia="Aptos" w:hAnsi="Arial" w:cs="Arial"/>
          <w:lang w:eastAsia="en-US"/>
        </w:rPr>
        <w:t xml:space="preserve">, 39(1), pp. 93–112. Available at: </w:t>
      </w:r>
      <w:hyperlink r:id="rId54" w:tgtFrame="_new" w:history="1">
        <w:r w:rsidRPr="0039386E">
          <w:rPr>
            <w:rFonts w:ascii="Arial" w:eastAsia="Aptos" w:hAnsi="Arial" w:cs="Arial"/>
            <w:color w:val="467886"/>
            <w:u w:val="single"/>
            <w:lang w:eastAsia="en-US"/>
          </w:rPr>
          <w:t>https://doi.org/10.1177/0739456X17723971</w:t>
        </w:r>
      </w:hyperlink>
    </w:p>
    <w:p w14:paraId="339E49D3" w14:textId="77777777" w:rsidR="00CB3CF1" w:rsidRPr="0039386E" w:rsidRDefault="00CB3CF1" w:rsidP="0039386E">
      <w:pPr>
        <w:ind w:left="360"/>
        <w:rPr>
          <w:rFonts w:ascii="Arial" w:eastAsia="Aptos" w:hAnsi="Arial" w:cs="Arial"/>
          <w:lang w:eastAsia="en-US"/>
        </w:rPr>
      </w:pPr>
      <w:r w:rsidRPr="0039386E">
        <w:rPr>
          <w:rFonts w:ascii="Arial" w:eastAsia="Aptos" w:hAnsi="Arial" w:cs="Arial"/>
          <w:lang w:eastAsia="en-US"/>
        </w:rPr>
        <w:lastRenderedPageBreak/>
        <w:t xml:space="preserve">Zahn-Waxler, C., Shirtcliff, E.A. and Marceau, K. (2008) ‘Disorders of childhood and adolescence: Gender and psychopathology’, </w:t>
      </w:r>
      <w:r w:rsidRPr="0039386E">
        <w:rPr>
          <w:rFonts w:ascii="Arial" w:eastAsia="Aptos" w:hAnsi="Arial" w:cs="Arial"/>
          <w:i/>
          <w:iCs/>
          <w:lang w:eastAsia="en-US"/>
        </w:rPr>
        <w:t>Annual Review of Clinical Psychology</w:t>
      </w:r>
      <w:r w:rsidRPr="0039386E">
        <w:rPr>
          <w:rFonts w:ascii="Arial" w:eastAsia="Aptos" w:hAnsi="Arial" w:cs="Arial"/>
          <w:lang w:eastAsia="en-US"/>
        </w:rPr>
        <w:t xml:space="preserve">, 4, pp. 275–303. Available at: </w:t>
      </w:r>
      <w:hyperlink r:id="rId55" w:history="1">
        <w:r w:rsidRPr="0039386E">
          <w:rPr>
            <w:rFonts w:ascii="Arial" w:eastAsia="Aptos" w:hAnsi="Arial" w:cs="Arial"/>
            <w:color w:val="467886"/>
            <w:u w:val="single"/>
            <w:lang w:eastAsia="en-US"/>
          </w:rPr>
          <w:t>https://doi.org/10.1146/annurev.clinpsy.3.022806.091358/</w:t>
        </w:r>
      </w:hyperlink>
      <w:r w:rsidRPr="0039386E">
        <w:rPr>
          <w:rFonts w:ascii="Arial" w:eastAsia="Aptos" w:hAnsi="Arial" w:cs="Arial"/>
          <w:lang w:eastAsia="en-US"/>
        </w:rPr>
        <w:t xml:space="preserve"> </w:t>
      </w:r>
    </w:p>
    <w:p w14:paraId="5A82F88B" w14:textId="77777777" w:rsidR="00CB3CF1" w:rsidRPr="0039386E" w:rsidRDefault="00CB3CF1" w:rsidP="0039386E">
      <w:pPr>
        <w:rPr>
          <w:rFonts w:ascii="Arial" w:eastAsia="Aptos" w:hAnsi="Arial" w:cs="Arial"/>
          <w:lang w:eastAsia="en-US"/>
        </w:rPr>
      </w:pPr>
    </w:p>
    <w:p w14:paraId="3C7AA80C" w14:textId="77777777" w:rsidR="00621776" w:rsidRPr="0039386E" w:rsidRDefault="00621776" w:rsidP="0039386E">
      <w:pPr>
        <w:rPr>
          <w:rFonts w:ascii="Arial" w:hAnsi="Arial" w:cs="Arial"/>
        </w:rPr>
      </w:pPr>
    </w:p>
    <w:p w14:paraId="413B8D25" w14:textId="77777777" w:rsidR="00CB3CF1" w:rsidRPr="0039386E" w:rsidRDefault="00CB3CF1" w:rsidP="0039386E">
      <w:pPr>
        <w:rPr>
          <w:rFonts w:ascii="Arial" w:hAnsi="Arial" w:cs="Arial"/>
        </w:rPr>
      </w:pPr>
    </w:p>
    <w:p w14:paraId="0FDB0818" w14:textId="77777777" w:rsidR="00CB3CF1" w:rsidRPr="0039386E" w:rsidRDefault="00CB3CF1" w:rsidP="0039386E">
      <w:pPr>
        <w:rPr>
          <w:rFonts w:ascii="Arial" w:hAnsi="Arial" w:cs="Arial"/>
        </w:rPr>
      </w:pPr>
    </w:p>
    <w:p w14:paraId="7EACEB5A" w14:textId="77777777" w:rsidR="00CB3CF1" w:rsidRPr="0039386E" w:rsidRDefault="00CB3CF1" w:rsidP="0039386E">
      <w:pPr>
        <w:rPr>
          <w:rFonts w:ascii="Arial" w:hAnsi="Arial" w:cs="Arial"/>
        </w:rPr>
      </w:pPr>
    </w:p>
    <w:p w14:paraId="58936031" w14:textId="77777777" w:rsidR="00CB3CF1" w:rsidRPr="0039386E" w:rsidRDefault="00CB3CF1" w:rsidP="0039386E">
      <w:pPr>
        <w:rPr>
          <w:rFonts w:ascii="Arial" w:hAnsi="Arial" w:cs="Arial"/>
        </w:rPr>
      </w:pPr>
    </w:p>
    <w:p w14:paraId="6BDBA0CA" w14:textId="77777777" w:rsidR="00CB3CF1" w:rsidRPr="0039386E" w:rsidRDefault="00CB3CF1" w:rsidP="0039386E">
      <w:pPr>
        <w:rPr>
          <w:rFonts w:ascii="Arial" w:hAnsi="Arial" w:cs="Arial"/>
        </w:rPr>
      </w:pPr>
    </w:p>
    <w:p w14:paraId="17B5FF2E" w14:textId="77777777" w:rsidR="00CB3CF1" w:rsidRPr="0039386E" w:rsidRDefault="00CB3CF1" w:rsidP="0039386E">
      <w:pPr>
        <w:rPr>
          <w:rFonts w:ascii="Arial" w:hAnsi="Arial" w:cs="Arial"/>
        </w:rPr>
      </w:pPr>
    </w:p>
    <w:p w14:paraId="174C0234" w14:textId="77777777" w:rsidR="00CB3CF1" w:rsidRPr="0039386E" w:rsidRDefault="00CB3CF1" w:rsidP="0039386E">
      <w:pPr>
        <w:rPr>
          <w:rFonts w:ascii="Arial" w:hAnsi="Arial" w:cs="Arial"/>
        </w:rPr>
      </w:pPr>
    </w:p>
    <w:p w14:paraId="66DD6C7A" w14:textId="77777777" w:rsidR="00CB3CF1" w:rsidRPr="0039386E" w:rsidRDefault="00CB3CF1" w:rsidP="0039386E">
      <w:pPr>
        <w:rPr>
          <w:rFonts w:ascii="Arial" w:hAnsi="Arial" w:cs="Arial"/>
        </w:rPr>
      </w:pPr>
    </w:p>
    <w:p w14:paraId="66FB25EF" w14:textId="77777777" w:rsidR="00CB3CF1" w:rsidRPr="0039386E" w:rsidRDefault="00CB3CF1" w:rsidP="0039386E">
      <w:pPr>
        <w:rPr>
          <w:rFonts w:ascii="Arial" w:hAnsi="Arial" w:cs="Arial"/>
        </w:rPr>
      </w:pPr>
    </w:p>
    <w:p w14:paraId="16A7EDE3" w14:textId="77777777" w:rsidR="00CB3CF1" w:rsidRPr="0039386E" w:rsidRDefault="00CB3CF1" w:rsidP="0039386E">
      <w:pPr>
        <w:rPr>
          <w:rFonts w:ascii="Arial" w:hAnsi="Arial" w:cs="Arial"/>
        </w:rPr>
      </w:pPr>
    </w:p>
    <w:p w14:paraId="0469F998" w14:textId="77777777" w:rsidR="00CB3CF1" w:rsidRPr="0039386E" w:rsidRDefault="00CB3CF1" w:rsidP="0039386E">
      <w:pPr>
        <w:rPr>
          <w:rFonts w:ascii="Arial" w:hAnsi="Arial" w:cs="Arial"/>
        </w:rPr>
      </w:pPr>
    </w:p>
    <w:p w14:paraId="34A0C350" w14:textId="77777777" w:rsidR="00CB3CF1" w:rsidRPr="0039386E" w:rsidRDefault="00CB3CF1" w:rsidP="0039386E">
      <w:pPr>
        <w:rPr>
          <w:rFonts w:ascii="Arial" w:hAnsi="Arial" w:cs="Arial"/>
        </w:rPr>
      </w:pPr>
    </w:p>
    <w:p w14:paraId="21B64DC4" w14:textId="77777777" w:rsidR="00CB3CF1" w:rsidRPr="0039386E" w:rsidRDefault="00CB3CF1" w:rsidP="0039386E">
      <w:pPr>
        <w:rPr>
          <w:rFonts w:ascii="Arial" w:hAnsi="Arial" w:cs="Arial"/>
        </w:rPr>
      </w:pPr>
    </w:p>
    <w:p w14:paraId="3BBA9100" w14:textId="77777777" w:rsidR="00CB3CF1" w:rsidRPr="0039386E" w:rsidRDefault="00CB3CF1" w:rsidP="0039386E">
      <w:pPr>
        <w:rPr>
          <w:rFonts w:ascii="Arial" w:hAnsi="Arial" w:cs="Arial"/>
        </w:rPr>
      </w:pPr>
    </w:p>
    <w:p w14:paraId="2A57239B" w14:textId="77777777" w:rsidR="00CB3CF1" w:rsidRPr="0039386E" w:rsidRDefault="00CB3CF1" w:rsidP="0039386E">
      <w:pPr>
        <w:rPr>
          <w:rFonts w:ascii="Arial" w:hAnsi="Arial" w:cs="Arial"/>
        </w:rPr>
      </w:pPr>
    </w:p>
    <w:p w14:paraId="7E00752B" w14:textId="77777777" w:rsidR="00CB3CF1" w:rsidRPr="0039386E" w:rsidRDefault="00CB3CF1" w:rsidP="0039386E">
      <w:pPr>
        <w:rPr>
          <w:rFonts w:ascii="Arial" w:hAnsi="Arial" w:cs="Arial"/>
        </w:rPr>
      </w:pPr>
    </w:p>
    <w:p w14:paraId="6454D3AC" w14:textId="77777777" w:rsidR="00CB3CF1" w:rsidRPr="0039386E" w:rsidRDefault="00CB3CF1" w:rsidP="0039386E">
      <w:pPr>
        <w:rPr>
          <w:rFonts w:ascii="Arial" w:hAnsi="Arial" w:cs="Arial"/>
        </w:rPr>
      </w:pPr>
    </w:p>
    <w:p w14:paraId="058D1E1A" w14:textId="77777777" w:rsidR="000A2779" w:rsidRPr="0039386E" w:rsidRDefault="000A2779" w:rsidP="0039386E">
      <w:pPr>
        <w:rPr>
          <w:rFonts w:ascii="Arial" w:hAnsi="Arial" w:cs="Arial"/>
        </w:rPr>
      </w:pPr>
    </w:p>
    <w:p w14:paraId="51CE6B85" w14:textId="77777777" w:rsidR="000A2779" w:rsidRPr="0039386E" w:rsidRDefault="000A2779" w:rsidP="0039386E">
      <w:pPr>
        <w:rPr>
          <w:rFonts w:ascii="Arial" w:hAnsi="Arial" w:cs="Arial"/>
        </w:rPr>
      </w:pPr>
    </w:p>
    <w:p w14:paraId="0AA06608" w14:textId="77777777" w:rsidR="00CB3CF1" w:rsidRDefault="00CB3CF1" w:rsidP="0039386E">
      <w:pPr>
        <w:rPr>
          <w:rFonts w:ascii="Arial" w:hAnsi="Arial" w:cs="Arial"/>
        </w:rPr>
      </w:pPr>
    </w:p>
    <w:p w14:paraId="6E6B4F89" w14:textId="77777777" w:rsidR="00121E88" w:rsidRPr="0039386E" w:rsidRDefault="00121E88" w:rsidP="0039386E">
      <w:pPr>
        <w:rPr>
          <w:rFonts w:ascii="Arial" w:hAnsi="Arial" w:cs="Arial"/>
        </w:rPr>
      </w:pPr>
    </w:p>
    <w:p w14:paraId="6D7584F3" w14:textId="2BF13A34" w:rsidR="00621776" w:rsidRPr="0039386E" w:rsidRDefault="00621776" w:rsidP="0039386E">
      <w:pPr>
        <w:pStyle w:val="Heading1"/>
        <w:jc w:val="both"/>
        <w:rPr>
          <w:rFonts w:cs="Arial"/>
        </w:rPr>
      </w:pPr>
      <w:r w:rsidRPr="0039386E">
        <w:rPr>
          <w:rFonts w:cs="Arial"/>
        </w:rPr>
        <w:lastRenderedPageBreak/>
        <w:t xml:space="preserve">6.2 – Appendices </w:t>
      </w:r>
    </w:p>
    <w:p w14:paraId="5E02AF15" w14:textId="63884053" w:rsidR="00621776" w:rsidRPr="0039386E" w:rsidRDefault="00621776" w:rsidP="0039386E">
      <w:pPr>
        <w:rPr>
          <w:rFonts w:ascii="Arial" w:hAnsi="Arial" w:cs="Arial"/>
        </w:rPr>
      </w:pPr>
    </w:p>
    <w:p w14:paraId="10E16DF5" w14:textId="121B0C8C" w:rsidR="00CB3CF1" w:rsidRPr="0039386E" w:rsidRDefault="00CB3CF1" w:rsidP="0039386E">
      <w:pPr>
        <w:rPr>
          <w:rFonts w:ascii="Arial" w:hAnsi="Arial" w:cs="Arial"/>
          <w:b/>
          <w:bCs/>
        </w:rPr>
      </w:pPr>
      <w:r w:rsidRPr="0039386E">
        <w:rPr>
          <w:rFonts w:ascii="Arial" w:hAnsi="Arial" w:cs="Arial"/>
          <w:b/>
          <w:bCs/>
        </w:rPr>
        <w:t>Appendi</w:t>
      </w:r>
      <w:r w:rsidRPr="0039386E">
        <w:rPr>
          <w:rFonts w:ascii="Arial" w:hAnsi="Arial" w:cs="Arial"/>
          <w:b/>
          <w:bCs/>
        </w:rPr>
        <w:t>x</w:t>
      </w:r>
      <w:r w:rsidRPr="0039386E">
        <w:rPr>
          <w:rFonts w:ascii="Arial" w:hAnsi="Arial" w:cs="Arial"/>
          <w:b/>
          <w:bCs/>
        </w:rPr>
        <w:t xml:space="preserve"> A – Complete Search Strategy </w:t>
      </w:r>
    </w:p>
    <w:p w14:paraId="334406ED" w14:textId="77777777" w:rsidR="00CB3CF1" w:rsidRPr="0039386E" w:rsidRDefault="00CB3CF1" w:rsidP="0039386E">
      <w:pPr>
        <w:rPr>
          <w:rFonts w:ascii="Arial" w:hAnsi="Arial" w:cs="Arial"/>
        </w:rPr>
      </w:pPr>
    </w:p>
    <w:tbl>
      <w:tblPr>
        <w:tblW w:w="0" w:type="auto"/>
        <w:tblCellSpacing w:w="15" w:type="dxa"/>
        <w:tblInd w:w="-69" w:type="dxa"/>
        <w:tblCellMar>
          <w:top w:w="15" w:type="dxa"/>
          <w:left w:w="15" w:type="dxa"/>
          <w:bottom w:w="15" w:type="dxa"/>
          <w:right w:w="15" w:type="dxa"/>
        </w:tblCellMar>
        <w:tblLook w:val="04A0" w:firstRow="1" w:lastRow="0" w:firstColumn="1" w:lastColumn="0" w:noHBand="0" w:noVBand="1"/>
      </w:tblPr>
      <w:tblGrid>
        <w:gridCol w:w="1261"/>
        <w:gridCol w:w="3495"/>
        <w:gridCol w:w="1871"/>
        <w:gridCol w:w="1354"/>
        <w:gridCol w:w="1104"/>
      </w:tblGrid>
      <w:tr w:rsidR="00CB3CF1" w:rsidRPr="0039386E" w14:paraId="60ECD65C" w14:textId="77777777" w:rsidTr="0019177D">
        <w:trPr>
          <w:tblHeader/>
          <w:tblCellSpacing w:w="15" w:type="dxa"/>
        </w:trPr>
        <w:tc>
          <w:tcPr>
            <w:tcW w:w="0" w:type="auto"/>
            <w:tcBorders>
              <w:top w:val="single" w:sz="4" w:space="0" w:color="auto"/>
              <w:left w:val="single" w:sz="4" w:space="0" w:color="auto"/>
              <w:bottom w:val="single" w:sz="4" w:space="0" w:color="auto"/>
            </w:tcBorders>
            <w:vAlign w:val="center"/>
            <w:hideMark/>
          </w:tcPr>
          <w:p w14:paraId="53CA9168" w14:textId="77777777" w:rsidR="00CB3CF1" w:rsidRPr="0039386E" w:rsidRDefault="00CB3CF1" w:rsidP="0039386E">
            <w:pPr>
              <w:rPr>
                <w:rFonts w:ascii="Arial" w:hAnsi="Arial" w:cs="Arial"/>
                <w:b/>
                <w:bCs/>
              </w:rPr>
            </w:pPr>
            <w:r w:rsidRPr="0039386E">
              <w:rPr>
                <w:rFonts w:ascii="Arial" w:hAnsi="Arial" w:cs="Arial"/>
                <w:b/>
                <w:bCs/>
              </w:rPr>
              <w:t>Database</w:t>
            </w:r>
          </w:p>
        </w:tc>
        <w:tc>
          <w:tcPr>
            <w:tcW w:w="0" w:type="auto"/>
            <w:tcBorders>
              <w:top w:val="single" w:sz="4" w:space="0" w:color="auto"/>
              <w:left w:val="single" w:sz="4" w:space="0" w:color="auto"/>
              <w:bottom w:val="single" w:sz="4" w:space="0" w:color="auto"/>
            </w:tcBorders>
            <w:vAlign w:val="center"/>
            <w:hideMark/>
          </w:tcPr>
          <w:p w14:paraId="1D391E6C" w14:textId="77777777" w:rsidR="00CB3CF1" w:rsidRPr="0039386E" w:rsidRDefault="00CB3CF1" w:rsidP="0039386E">
            <w:pPr>
              <w:rPr>
                <w:rFonts w:ascii="Arial" w:hAnsi="Arial" w:cs="Arial"/>
                <w:b/>
                <w:bCs/>
              </w:rPr>
            </w:pPr>
            <w:r w:rsidRPr="0039386E">
              <w:rPr>
                <w:rFonts w:ascii="Arial" w:hAnsi="Arial" w:cs="Arial"/>
                <w:b/>
                <w:bCs/>
              </w:rPr>
              <w:t>Search String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3350CE55" w14:textId="77777777" w:rsidR="00CB3CF1" w:rsidRPr="0039386E" w:rsidRDefault="00CB3CF1" w:rsidP="0039386E">
            <w:pPr>
              <w:rPr>
                <w:rFonts w:ascii="Arial" w:hAnsi="Arial" w:cs="Arial"/>
                <w:b/>
                <w:bCs/>
              </w:rPr>
            </w:pPr>
            <w:r w:rsidRPr="0039386E">
              <w:rPr>
                <w:rFonts w:ascii="Arial" w:hAnsi="Arial" w:cs="Arial"/>
                <w:b/>
                <w:bCs/>
              </w:rPr>
              <w:t>Filters</w:t>
            </w:r>
          </w:p>
        </w:tc>
        <w:tc>
          <w:tcPr>
            <w:tcW w:w="0" w:type="auto"/>
            <w:tcBorders>
              <w:top w:val="single" w:sz="4" w:space="0" w:color="auto"/>
              <w:bottom w:val="single" w:sz="4" w:space="0" w:color="auto"/>
            </w:tcBorders>
            <w:vAlign w:val="center"/>
            <w:hideMark/>
          </w:tcPr>
          <w:p w14:paraId="3E085617" w14:textId="77777777" w:rsidR="00CB3CF1" w:rsidRPr="0039386E" w:rsidRDefault="00CB3CF1" w:rsidP="0039386E">
            <w:pPr>
              <w:rPr>
                <w:rFonts w:ascii="Arial" w:hAnsi="Arial" w:cs="Arial"/>
                <w:b/>
                <w:bCs/>
              </w:rPr>
            </w:pPr>
            <w:r w:rsidRPr="0039386E">
              <w:rPr>
                <w:rFonts w:ascii="Arial" w:hAnsi="Arial" w:cs="Arial"/>
                <w:b/>
                <w:bCs/>
              </w:rPr>
              <w:t>Articles Retrieved</w:t>
            </w:r>
          </w:p>
        </w:tc>
        <w:tc>
          <w:tcPr>
            <w:tcW w:w="0" w:type="auto"/>
            <w:tcBorders>
              <w:top w:val="single" w:sz="4" w:space="0" w:color="auto"/>
              <w:left w:val="single" w:sz="4" w:space="0" w:color="auto"/>
              <w:bottom w:val="single" w:sz="4" w:space="0" w:color="auto"/>
              <w:right w:val="single" w:sz="4" w:space="0" w:color="auto"/>
            </w:tcBorders>
            <w:vAlign w:val="center"/>
            <w:hideMark/>
          </w:tcPr>
          <w:p w14:paraId="60DB8792" w14:textId="77777777" w:rsidR="00CB3CF1" w:rsidRPr="0039386E" w:rsidRDefault="00CB3CF1" w:rsidP="0039386E">
            <w:pPr>
              <w:rPr>
                <w:rFonts w:ascii="Arial" w:hAnsi="Arial" w:cs="Arial"/>
                <w:b/>
                <w:bCs/>
              </w:rPr>
            </w:pPr>
            <w:r w:rsidRPr="0039386E">
              <w:rPr>
                <w:rFonts w:ascii="Arial" w:hAnsi="Arial" w:cs="Arial"/>
                <w:b/>
                <w:bCs/>
              </w:rPr>
              <w:t>Articles Used</w:t>
            </w:r>
          </w:p>
        </w:tc>
      </w:tr>
      <w:tr w:rsidR="00CB3CF1" w:rsidRPr="0039386E" w14:paraId="66BF9D79" w14:textId="77777777" w:rsidTr="0019177D">
        <w:trPr>
          <w:tblCellSpacing w:w="15" w:type="dxa"/>
        </w:trPr>
        <w:tc>
          <w:tcPr>
            <w:tcW w:w="0" w:type="auto"/>
            <w:tcBorders>
              <w:left w:val="single" w:sz="4" w:space="0" w:color="auto"/>
              <w:bottom w:val="single" w:sz="4" w:space="0" w:color="auto"/>
            </w:tcBorders>
            <w:vAlign w:val="center"/>
            <w:hideMark/>
          </w:tcPr>
          <w:p w14:paraId="78E87DF5" w14:textId="77777777" w:rsidR="00CB3CF1" w:rsidRPr="0039386E" w:rsidRDefault="00CB3CF1" w:rsidP="0039386E">
            <w:pPr>
              <w:rPr>
                <w:rFonts w:ascii="Arial" w:hAnsi="Arial" w:cs="Arial"/>
              </w:rPr>
            </w:pPr>
            <w:r w:rsidRPr="0039386E">
              <w:rPr>
                <w:rFonts w:ascii="Arial" w:hAnsi="Arial" w:cs="Arial"/>
              </w:rPr>
              <w:t>CINAHL</w:t>
            </w:r>
          </w:p>
        </w:tc>
        <w:tc>
          <w:tcPr>
            <w:tcW w:w="0" w:type="auto"/>
            <w:tcBorders>
              <w:left w:val="single" w:sz="4" w:space="0" w:color="auto"/>
              <w:bottom w:val="single" w:sz="4" w:space="0" w:color="auto"/>
            </w:tcBorders>
            <w:vAlign w:val="center"/>
            <w:hideMark/>
          </w:tcPr>
          <w:p w14:paraId="0A35077C" w14:textId="77777777" w:rsidR="00CB3CF1" w:rsidRPr="0039386E" w:rsidRDefault="00CB3CF1" w:rsidP="0039386E">
            <w:pPr>
              <w:rPr>
                <w:rFonts w:ascii="Arial" w:hAnsi="Arial" w:cs="Arial"/>
              </w:rPr>
            </w:pPr>
            <w:r w:rsidRPr="0039386E">
              <w:rPr>
                <w:rFonts w:ascii="Arial" w:hAnsi="Arial" w:cs="Arial"/>
              </w:rPr>
              <w:t>("child mental health" OR psychopathology) AND ("early intervention")</w:t>
            </w:r>
          </w:p>
        </w:tc>
        <w:tc>
          <w:tcPr>
            <w:tcW w:w="0" w:type="auto"/>
            <w:tcBorders>
              <w:left w:val="single" w:sz="4" w:space="0" w:color="auto"/>
              <w:bottom w:val="single" w:sz="4" w:space="0" w:color="auto"/>
              <w:right w:val="single" w:sz="4" w:space="0" w:color="auto"/>
            </w:tcBorders>
            <w:vAlign w:val="center"/>
            <w:hideMark/>
          </w:tcPr>
          <w:p w14:paraId="2F6CCDAE" w14:textId="77777777" w:rsidR="00CB3CF1" w:rsidRPr="0039386E" w:rsidRDefault="00CB3CF1" w:rsidP="0039386E">
            <w:pPr>
              <w:rPr>
                <w:rFonts w:ascii="Arial" w:hAnsi="Arial" w:cs="Arial"/>
              </w:rPr>
            </w:pPr>
            <w:r w:rsidRPr="0039386E">
              <w:rPr>
                <w:rFonts w:ascii="Arial" w:hAnsi="Arial" w:cs="Arial"/>
              </w:rPr>
              <w:t>Peer reviewed, English, 2018–2025</w:t>
            </w:r>
          </w:p>
        </w:tc>
        <w:tc>
          <w:tcPr>
            <w:tcW w:w="0" w:type="auto"/>
            <w:tcBorders>
              <w:bottom w:val="single" w:sz="4" w:space="0" w:color="auto"/>
            </w:tcBorders>
            <w:vAlign w:val="center"/>
            <w:hideMark/>
          </w:tcPr>
          <w:p w14:paraId="7C1B5770" w14:textId="77777777" w:rsidR="00CB3CF1" w:rsidRPr="0039386E" w:rsidRDefault="00CB3CF1" w:rsidP="0039386E">
            <w:pPr>
              <w:rPr>
                <w:rFonts w:ascii="Arial" w:hAnsi="Arial" w:cs="Arial"/>
              </w:rPr>
            </w:pPr>
            <w:r w:rsidRPr="0039386E">
              <w:rPr>
                <w:rFonts w:ascii="Arial" w:hAnsi="Arial" w:cs="Arial"/>
              </w:rPr>
              <w:t>146</w:t>
            </w:r>
          </w:p>
        </w:tc>
        <w:tc>
          <w:tcPr>
            <w:tcW w:w="0" w:type="auto"/>
            <w:tcBorders>
              <w:left w:val="single" w:sz="4" w:space="0" w:color="auto"/>
              <w:bottom w:val="single" w:sz="4" w:space="0" w:color="auto"/>
              <w:right w:val="single" w:sz="4" w:space="0" w:color="auto"/>
            </w:tcBorders>
            <w:vAlign w:val="center"/>
            <w:hideMark/>
          </w:tcPr>
          <w:p w14:paraId="3FF64B9D" w14:textId="77777777" w:rsidR="00CB3CF1" w:rsidRPr="0039386E" w:rsidRDefault="00CB3CF1" w:rsidP="0039386E">
            <w:pPr>
              <w:rPr>
                <w:rFonts w:ascii="Arial" w:hAnsi="Arial" w:cs="Arial"/>
              </w:rPr>
            </w:pPr>
            <w:r w:rsidRPr="0039386E">
              <w:rPr>
                <w:rFonts w:ascii="Arial" w:hAnsi="Arial" w:cs="Arial"/>
              </w:rPr>
              <w:t>11</w:t>
            </w:r>
          </w:p>
        </w:tc>
      </w:tr>
      <w:tr w:rsidR="00CB3CF1" w:rsidRPr="0039386E" w14:paraId="1337A02E" w14:textId="77777777" w:rsidTr="0019177D">
        <w:trPr>
          <w:tblCellSpacing w:w="15" w:type="dxa"/>
        </w:trPr>
        <w:tc>
          <w:tcPr>
            <w:tcW w:w="0" w:type="auto"/>
            <w:tcBorders>
              <w:left w:val="single" w:sz="4" w:space="0" w:color="auto"/>
              <w:bottom w:val="single" w:sz="4" w:space="0" w:color="auto"/>
            </w:tcBorders>
            <w:vAlign w:val="center"/>
            <w:hideMark/>
          </w:tcPr>
          <w:p w14:paraId="60092A2F" w14:textId="77777777" w:rsidR="00CB3CF1" w:rsidRPr="0039386E" w:rsidRDefault="00CB3CF1" w:rsidP="0039386E">
            <w:pPr>
              <w:rPr>
                <w:rFonts w:ascii="Arial" w:hAnsi="Arial" w:cs="Arial"/>
              </w:rPr>
            </w:pPr>
            <w:r w:rsidRPr="0039386E">
              <w:rPr>
                <w:rFonts w:ascii="Arial" w:hAnsi="Arial" w:cs="Arial"/>
              </w:rPr>
              <w:t>PubMed</w:t>
            </w:r>
          </w:p>
        </w:tc>
        <w:tc>
          <w:tcPr>
            <w:tcW w:w="0" w:type="auto"/>
            <w:tcBorders>
              <w:left w:val="single" w:sz="4" w:space="0" w:color="auto"/>
              <w:bottom w:val="single" w:sz="4" w:space="0" w:color="auto"/>
            </w:tcBorders>
            <w:vAlign w:val="center"/>
            <w:hideMark/>
          </w:tcPr>
          <w:p w14:paraId="5AA4373F" w14:textId="77777777" w:rsidR="00CB3CF1" w:rsidRPr="0039386E" w:rsidRDefault="00CB3CF1" w:rsidP="0039386E">
            <w:pPr>
              <w:rPr>
                <w:rFonts w:ascii="Arial" w:hAnsi="Arial" w:cs="Arial"/>
              </w:rPr>
            </w:pPr>
            <w:r w:rsidRPr="0039386E">
              <w:rPr>
                <w:rFonts w:ascii="Arial" w:hAnsi="Arial" w:cs="Arial"/>
              </w:rPr>
              <w:t>("mental disorders" AND child*) AND ("early intervention")</w:t>
            </w:r>
          </w:p>
        </w:tc>
        <w:tc>
          <w:tcPr>
            <w:tcW w:w="0" w:type="auto"/>
            <w:tcBorders>
              <w:left w:val="single" w:sz="4" w:space="0" w:color="auto"/>
              <w:bottom w:val="single" w:sz="4" w:space="0" w:color="auto"/>
              <w:right w:val="single" w:sz="4" w:space="0" w:color="auto"/>
            </w:tcBorders>
            <w:vAlign w:val="center"/>
            <w:hideMark/>
          </w:tcPr>
          <w:p w14:paraId="68E8547C" w14:textId="77777777" w:rsidR="00CB3CF1" w:rsidRPr="0039386E" w:rsidRDefault="00CB3CF1" w:rsidP="0039386E">
            <w:pPr>
              <w:rPr>
                <w:rFonts w:ascii="Arial" w:hAnsi="Arial" w:cs="Arial"/>
              </w:rPr>
            </w:pPr>
            <w:r w:rsidRPr="0039386E">
              <w:rPr>
                <w:rFonts w:ascii="Arial" w:hAnsi="Arial" w:cs="Arial"/>
              </w:rPr>
              <w:t>Full text, English</w:t>
            </w:r>
          </w:p>
        </w:tc>
        <w:tc>
          <w:tcPr>
            <w:tcW w:w="0" w:type="auto"/>
            <w:tcBorders>
              <w:bottom w:val="single" w:sz="4" w:space="0" w:color="auto"/>
            </w:tcBorders>
            <w:vAlign w:val="center"/>
            <w:hideMark/>
          </w:tcPr>
          <w:p w14:paraId="33FE08C4" w14:textId="77777777" w:rsidR="00CB3CF1" w:rsidRPr="0039386E" w:rsidRDefault="00CB3CF1" w:rsidP="0039386E">
            <w:pPr>
              <w:rPr>
                <w:rFonts w:ascii="Arial" w:hAnsi="Arial" w:cs="Arial"/>
              </w:rPr>
            </w:pPr>
            <w:r w:rsidRPr="0039386E">
              <w:rPr>
                <w:rFonts w:ascii="Arial" w:hAnsi="Arial" w:cs="Arial"/>
              </w:rPr>
              <w:t>212</w:t>
            </w:r>
          </w:p>
        </w:tc>
        <w:tc>
          <w:tcPr>
            <w:tcW w:w="0" w:type="auto"/>
            <w:tcBorders>
              <w:left w:val="single" w:sz="4" w:space="0" w:color="auto"/>
              <w:bottom w:val="single" w:sz="4" w:space="0" w:color="auto"/>
              <w:right w:val="single" w:sz="4" w:space="0" w:color="auto"/>
            </w:tcBorders>
            <w:vAlign w:val="center"/>
            <w:hideMark/>
          </w:tcPr>
          <w:p w14:paraId="33A31A60" w14:textId="77777777" w:rsidR="00CB3CF1" w:rsidRPr="0039386E" w:rsidRDefault="00CB3CF1" w:rsidP="0039386E">
            <w:pPr>
              <w:rPr>
                <w:rFonts w:ascii="Arial" w:hAnsi="Arial" w:cs="Arial"/>
              </w:rPr>
            </w:pPr>
            <w:r w:rsidRPr="0039386E">
              <w:rPr>
                <w:rFonts w:ascii="Arial" w:hAnsi="Arial" w:cs="Arial"/>
              </w:rPr>
              <w:t>9</w:t>
            </w:r>
          </w:p>
        </w:tc>
      </w:tr>
      <w:tr w:rsidR="00CB3CF1" w:rsidRPr="0039386E" w14:paraId="1D912A28" w14:textId="77777777" w:rsidTr="0019177D">
        <w:trPr>
          <w:tblCellSpacing w:w="15" w:type="dxa"/>
        </w:trPr>
        <w:tc>
          <w:tcPr>
            <w:tcW w:w="0" w:type="auto"/>
            <w:tcBorders>
              <w:left w:val="single" w:sz="4" w:space="0" w:color="auto"/>
            </w:tcBorders>
            <w:vAlign w:val="center"/>
            <w:hideMark/>
          </w:tcPr>
          <w:p w14:paraId="5808CD3E" w14:textId="77777777" w:rsidR="00CB3CF1" w:rsidRPr="0039386E" w:rsidRDefault="00CB3CF1" w:rsidP="0039386E">
            <w:pPr>
              <w:rPr>
                <w:rFonts w:ascii="Arial" w:hAnsi="Arial" w:cs="Arial"/>
              </w:rPr>
            </w:pPr>
            <w:r w:rsidRPr="0039386E">
              <w:rPr>
                <w:rFonts w:ascii="Arial" w:hAnsi="Arial" w:cs="Arial"/>
              </w:rPr>
              <w:t>PsycINFO</w:t>
            </w:r>
          </w:p>
        </w:tc>
        <w:tc>
          <w:tcPr>
            <w:tcW w:w="0" w:type="auto"/>
            <w:tcBorders>
              <w:left w:val="single" w:sz="4" w:space="0" w:color="auto"/>
            </w:tcBorders>
            <w:vAlign w:val="center"/>
            <w:hideMark/>
          </w:tcPr>
          <w:p w14:paraId="64B696C4" w14:textId="77777777" w:rsidR="00CB3CF1" w:rsidRPr="0039386E" w:rsidRDefault="00CB3CF1" w:rsidP="0039386E">
            <w:pPr>
              <w:rPr>
                <w:rFonts w:ascii="Arial" w:hAnsi="Arial" w:cs="Arial"/>
              </w:rPr>
            </w:pPr>
            <w:r w:rsidRPr="0039386E">
              <w:rPr>
                <w:rFonts w:ascii="Arial" w:hAnsi="Arial" w:cs="Arial"/>
              </w:rPr>
              <w:t>child* AND (anxiety OR depression OR ADHD OR conduct disorder)</w:t>
            </w:r>
          </w:p>
        </w:tc>
        <w:tc>
          <w:tcPr>
            <w:tcW w:w="0" w:type="auto"/>
            <w:tcBorders>
              <w:left w:val="single" w:sz="4" w:space="0" w:color="auto"/>
              <w:right w:val="single" w:sz="4" w:space="0" w:color="auto"/>
            </w:tcBorders>
            <w:vAlign w:val="center"/>
            <w:hideMark/>
          </w:tcPr>
          <w:p w14:paraId="4BC2D5D6" w14:textId="77777777" w:rsidR="00CB3CF1" w:rsidRPr="0039386E" w:rsidRDefault="00CB3CF1" w:rsidP="0039386E">
            <w:pPr>
              <w:rPr>
                <w:rFonts w:ascii="Arial" w:hAnsi="Arial" w:cs="Arial"/>
              </w:rPr>
            </w:pPr>
            <w:r w:rsidRPr="0039386E">
              <w:rPr>
                <w:rFonts w:ascii="Arial" w:hAnsi="Arial" w:cs="Arial"/>
              </w:rPr>
              <w:t>Age 6–12</w:t>
            </w:r>
          </w:p>
        </w:tc>
        <w:tc>
          <w:tcPr>
            <w:tcW w:w="0" w:type="auto"/>
            <w:vAlign w:val="center"/>
            <w:hideMark/>
          </w:tcPr>
          <w:p w14:paraId="0C925D85" w14:textId="77777777" w:rsidR="00CB3CF1" w:rsidRPr="0039386E" w:rsidRDefault="00CB3CF1" w:rsidP="0039386E">
            <w:pPr>
              <w:rPr>
                <w:rFonts w:ascii="Arial" w:hAnsi="Arial" w:cs="Arial"/>
              </w:rPr>
            </w:pPr>
            <w:r w:rsidRPr="0039386E">
              <w:rPr>
                <w:rFonts w:ascii="Arial" w:hAnsi="Arial" w:cs="Arial"/>
              </w:rPr>
              <w:t>184</w:t>
            </w:r>
          </w:p>
        </w:tc>
        <w:tc>
          <w:tcPr>
            <w:tcW w:w="0" w:type="auto"/>
            <w:tcBorders>
              <w:left w:val="single" w:sz="4" w:space="0" w:color="auto"/>
              <w:right w:val="single" w:sz="4" w:space="0" w:color="auto"/>
            </w:tcBorders>
            <w:vAlign w:val="center"/>
            <w:hideMark/>
          </w:tcPr>
          <w:p w14:paraId="661A6492" w14:textId="77777777" w:rsidR="00CB3CF1" w:rsidRPr="0039386E" w:rsidRDefault="00CB3CF1" w:rsidP="0039386E">
            <w:pPr>
              <w:rPr>
                <w:rFonts w:ascii="Arial" w:hAnsi="Arial" w:cs="Arial"/>
              </w:rPr>
            </w:pPr>
            <w:r w:rsidRPr="0039386E">
              <w:rPr>
                <w:rFonts w:ascii="Arial" w:hAnsi="Arial" w:cs="Arial"/>
              </w:rPr>
              <w:t>8</w:t>
            </w:r>
          </w:p>
        </w:tc>
      </w:tr>
      <w:tr w:rsidR="00CB3CF1" w:rsidRPr="0039386E" w14:paraId="737A8496" w14:textId="77777777" w:rsidTr="0019177D">
        <w:trPr>
          <w:tblCellSpacing w:w="15" w:type="dxa"/>
        </w:trPr>
        <w:tc>
          <w:tcPr>
            <w:tcW w:w="0" w:type="auto"/>
            <w:tcBorders>
              <w:top w:val="single" w:sz="4" w:space="0" w:color="auto"/>
              <w:left w:val="single" w:sz="4" w:space="0" w:color="auto"/>
              <w:bottom w:val="single" w:sz="4" w:space="0" w:color="auto"/>
            </w:tcBorders>
            <w:vAlign w:val="center"/>
            <w:hideMark/>
          </w:tcPr>
          <w:p w14:paraId="650AF055" w14:textId="77777777" w:rsidR="00CB3CF1" w:rsidRPr="0039386E" w:rsidRDefault="00CB3CF1" w:rsidP="0039386E">
            <w:pPr>
              <w:rPr>
                <w:rFonts w:ascii="Arial" w:hAnsi="Arial" w:cs="Arial"/>
              </w:rPr>
            </w:pPr>
            <w:r w:rsidRPr="0039386E">
              <w:rPr>
                <w:rFonts w:ascii="Arial" w:hAnsi="Arial" w:cs="Arial"/>
              </w:rPr>
              <w:t>Google Scholar</w:t>
            </w:r>
          </w:p>
        </w:tc>
        <w:tc>
          <w:tcPr>
            <w:tcW w:w="0" w:type="auto"/>
            <w:tcBorders>
              <w:top w:val="single" w:sz="4" w:space="0" w:color="auto"/>
              <w:left w:val="single" w:sz="4" w:space="0" w:color="auto"/>
              <w:bottom w:val="single" w:sz="4" w:space="0" w:color="auto"/>
            </w:tcBorders>
            <w:vAlign w:val="center"/>
            <w:hideMark/>
          </w:tcPr>
          <w:p w14:paraId="6FB2E8BC" w14:textId="77777777" w:rsidR="00CB3CF1" w:rsidRPr="0039386E" w:rsidRDefault="00CB3CF1" w:rsidP="0039386E">
            <w:pPr>
              <w:rPr>
                <w:rFonts w:ascii="Arial" w:hAnsi="Arial" w:cs="Arial"/>
              </w:rPr>
            </w:pPr>
            <w:r w:rsidRPr="0039386E">
              <w:rPr>
                <w:rFonts w:ascii="Arial" w:hAnsi="Arial" w:cs="Arial"/>
              </w:rPr>
              <w:t>childhood psychopathology UK</w:t>
            </w:r>
          </w:p>
        </w:tc>
        <w:tc>
          <w:tcPr>
            <w:tcW w:w="0" w:type="auto"/>
            <w:tcBorders>
              <w:top w:val="single" w:sz="4" w:space="0" w:color="auto"/>
              <w:left w:val="single" w:sz="4" w:space="0" w:color="auto"/>
              <w:bottom w:val="single" w:sz="4" w:space="0" w:color="auto"/>
              <w:right w:val="single" w:sz="4" w:space="0" w:color="auto"/>
            </w:tcBorders>
            <w:vAlign w:val="center"/>
            <w:hideMark/>
          </w:tcPr>
          <w:p w14:paraId="3D9757CD" w14:textId="77777777" w:rsidR="00CB3CF1" w:rsidRPr="0039386E" w:rsidRDefault="00CB3CF1" w:rsidP="0039386E">
            <w:pPr>
              <w:rPr>
                <w:rFonts w:ascii="Arial" w:hAnsi="Arial" w:cs="Arial"/>
              </w:rPr>
            </w:pPr>
            <w:r w:rsidRPr="0039386E">
              <w:rPr>
                <w:rFonts w:ascii="Arial" w:hAnsi="Arial" w:cs="Arial"/>
              </w:rPr>
              <w:t>Since 2018</w:t>
            </w:r>
          </w:p>
        </w:tc>
        <w:tc>
          <w:tcPr>
            <w:tcW w:w="0" w:type="auto"/>
            <w:tcBorders>
              <w:top w:val="single" w:sz="4" w:space="0" w:color="auto"/>
              <w:bottom w:val="single" w:sz="4" w:space="0" w:color="auto"/>
            </w:tcBorders>
            <w:vAlign w:val="center"/>
            <w:hideMark/>
          </w:tcPr>
          <w:p w14:paraId="721035B3" w14:textId="77777777" w:rsidR="00CB3CF1" w:rsidRPr="0039386E" w:rsidRDefault="00CB3CF1" w:rsidP="0039386E">
            <w:pPr>
              <w:rPr>
                <w:rFonts w:ascii="Arial" w:hAnsi="Arial" w:cs="Arial"/>
              </w:rPr>
            </w:pPr>
            <w:r w:rsidRPr="0039386E">
              <w:rPr>
                <w:rFonts w:ascii="Arial" w:hAnsi="Arial" w:cs="Arial"/>
              </w:rPr>
              <w:t>315</w:t>
            </w:r>
          </w:p>
        </w:tc>
        <w:tc>
          <w:tcPr>
            <w:tcW w:w="0" w:type="auto"/>
            <w:tcBorders>
              <w:top w:val="single" w:sz="4" w:space="0" w:color="auto"/>
              <w:left w:val="single" w:sz="4" w:space="0" w:color="auto"/>
              <w:bottom w:val="single" w:sz="4" w:space="0" w:color="auto"/>
              <w:right w:val="single" w:sz="4" w:space="0" w:color="auto"/>
            </w:tcBorders>
            <w:vAlign w:val="center"/>
            <w:hideMark/>
          </w:tcPr>
          <w:p w14:paraId="72E9193F" w14:textId="77777777" w:rsidR="00CB3CF1" w:rsidRPr="0039386E" w:rsidRDefault="00CB3CF1" w:rsidP="0039386E">
            <w:pPr>
              <w:rPr>
                <w:rFonts w:ascii="Arial" w:hAnsi="Arial" w:cs="Arial"/>
              </w:rPr>
            </w:pPr>
            <w:r w:rsidRPr="0039386E">
              <w:rPr>
                <w:rFonts w:ascii="Arial" w:hAnsi="Arial" w:cs="Arial"/>
              </w:rPr>
              <w:t>7</w:t>
            </w:r>
          </w:p>
        </w:tc>
      </w:tr>
    </w:tbl>
    <w:p w14:paraId="3E3D74B0" w14:textId="77777777" w:rsidR="00CB3CF1" w:rsidRPr="0039386E" w:rsidRDefault="00CB3CF1" w:rsidP="0039386E">
      <w:pPr>
        <w:rPr>
          <w:rFonts w:ascii="Arial" w:hAnsi="Arial" w:cs="Arial"/>
        </w:rPr>
      </w:pPr>
    </w:p>
    <w:p w14:paraId="56B26A10" w14:textId="77777777" w:rsidR="00CB3CF1" w:rsidRPr="0039386E" w:rsidRDefault="00CB3CF1" w:rsidP="0039386E">
      <w:pPr>
        <w:rPr>
          <w:rFonts w:ascii="Arial" w:hAnsi="Arial" w:cs="Arial"/>
        </w:rPr>
      </w:pPr>
    </w:p>
    <w:p w14:paraId="159BD7C2" w14:textId="77777777" w:rsidR="00CB3CF1" w:rsidRPr="0039386E" w:rsidRDefault="00CB3CF1" w:rsidP="0039386E">
      <w:pPr>
        <w:rPr>
          <w:rFonts w:ascii="Arial" w:hAnsi="Arial" w:cs="Arial"/>
        </w:rPr>
      </w:pPr>
    </w:p>
    <w:p w14:paraId="16B0EF31" w14:textId="77777777" w:rsidR="00CB3CF1" w:rsidRPr="0039386E" w:rsidRDefault="00CB3CF1" w:rsidP="0039386E">
      <w:pPr>
        <w:rPr>
          <w:rFonts w:ascii="Arial" w:hAnsi="Arial" w:cs="Arial"/>
        </w:rPr>
      </w:pPr>
    </w:p>
    <w:p w14:paraId="1CD4E9BE" w14:textId="77777777" w:rsidR="00CB3CF1" w:rsidRPr="0039386E" w:rsidRDefault="00CB3CF1" w:rsidP="0039386E">
      <w:pPr>
        <w:rPr>
          <w:rFonts w:ascii="Arial" w:hAnsi="Arial" w:cs="Arial"/>
        </w:rPr>
      </w:pPr>
    </w:p>
    <w:p w14:paraId="2F17E7AE" w14:textId="77777777" w:rsidR="00CB3CF1" w:rsidRPr="0039386E" w:rsidRDefault="00CB3CF1" w:rsidP="0039386E">
      <w:pPr>
        <w:rPr>
          <w:rFonts w:ascii="Arial" w:hAnsi="Arial" w:cs="Arial"/>
        </w:rPr>
      </w:pPr>
    </w:p>
    <w:p w14:paraId="431FC6E4" w14:textId="77777777" w:rsidR="00CB3CF1" w:rsidRPr="0039386E" w:rsidRDefault="00CB3CF1" w:rsidP="0039386E">
      <w:pPr>
        <w:rPr>
          <w:rFonts w:ascii="Arial" w:hAnsi="Arial" w:cs="Arial"/>
        </w:rPr>
      </w:pPr>
    </w:p>
    <w:p w14:paraId="351DFA03" w14:textId="77777777" w:rsidR="00CB3CF1" w:rsidRPr="0039386E" w:rsidRDefault="00CB3CF1" w:rsidP="0039386E">
      <w:pPr>
        <w:rPr>
          <w:rFonts w:ascii="Arial" w:hAnsi="Arial" w:cs="Arial"/>
        </w:rPr>
      </w:pPr>
    </w:p>
    <w:p w14:paraId="5A0D0F1E" w14:textId="77777777" w:rsidR="00CB3CF1" w:rsidRPr="0039386E" w:rsidRDefault="00CB3CF1" w:rsidP="0039386E">
      <w:pPr>
        <w:rPr>
          <w:rFonts w:ascii="Arial" w:hAnsi="Arial" w:cs="Arial"/>
        </w:rPr>
      </w:pPr>
    </w:p>
    <w:p w14:paraId="7ED5E181" w14:textId="77777777" w:rsidR="00CB3CF1" w:rsidRPr="0039386E" w:rsidRDefault="00CB3CF1" w:rsidP="0039386E">
      <w:pPr>
        <w:rPr>
          <w:rFonts w:ascii="Arial" w:hAnsi="Arial" w:cs="Arial"/>
        </w:rPr>
      </w:pPr>
    </w:p>
    <w:p w14:paraId="1FAA7A29" w14:textId="77777777" w:rsidR="00CB3CF1" w:rsidRPr="0039386E" w:rsidRDefault="00CB3CF1" w:rsidP="0039386E">
      <w:pPr>
        <w:rPr>
          <w:rFonts w:ascii="Arial" w:hAnsi="Arial" w:cs="Arial"/>
        </w:rPr>
      </w:pPr>
    </w:p>
    <w:p w14:paraId="4209DD6C" w14:textId="77777777" w:rsidR="00CB3CF1" w:rsidRPr="0039386E" w:rsidRDefault="00CB3CF1" w:rsidP="0039386E">
      <w:pPr>
        <w:rPr>
          <w:rFonts w:ascii="Arial" w:hAnsi="Arial" w:cs="Arial"/>
        </w:rPr>
      </w:pPr>
    </w:p>
    <w:p w14:paraId="0F8044D0" w14:textId="01849014" w:rsidR="00CB3CF1" w:rsidRPr="0039386E" w:rsidRDefault="00CB3CF1" w:rsidP="0039386E">
      <w:pPr>
        <w:rPr>
          <w:rFonts w:ascii="Arial" w:hAnsi="Arial" w:cs="Arial"/>
          <w:b/>
          <w:bCs/>
        </w:rPr>
      </w:pPr>
      <w:r w:rsidRPr="0039386E">
        <w:rPr>
          <w:rFonts w:ascii="Arial" w:hAnsi="Arial" w:cs="Arial"/>
          <w:b/>
          <w:bCs/>
        </w:rPr>
        <w:lastRenderedPageBreak/>
        <w:t>Appendi</w:t>
      </w:r>
      <w:r w:rsidRPr="0039386E">
        <w:rPr>
          <w:rFonts w:ascii="Arial" w:hAnsi="Arial" w:cs="Arial"/>
          <w:b/>
          <w:bCs/>
        </w:rPr>
        <w:t>x</w:t>
      </w:r>
      <w:r w:rsidRPr="0039386E">
        <w:rPr>
          <w:rFonts w:ascii="Arial" w:hAnsi="Arial" w:cs="Arial"/>
          <w:b/>
          <w:bCs/>
        </w:rPr>
        <w:t xml:space="preserve"> B – PRISMA 2020 Flow Diagram</w:t>
      </w:r>
    </w:p>
    <w:p w14:paraId="46DCAB77" w14:textId="77777777" w:rsidR="00CB3CF1" w:rsidRPr="0039386E" w:rsidRDefault="00CB3CF1" w:rsidP="0039386E">
      <w:pPr>
        <w:rPr>
          <w:rFonts w:ascii="Arial" w:hAnsi="Arial" w:cs="Arial"/>
        </w:rPr>
      </w:pPr>
      <w:r w:rsidRPr="0039386E">
        <w:rPr>
          <w:rFonts w:ascii="Arial" w:hAnsi="Arial" w:cs="Arial"/>
          <w:noProof/>
        </w:rPr>
        <w:drawing>
          <wp:inline distT="0" distB="0" distL="0" distR="0" wp14:anchorId="3E8D1262" wp14:editId="45071730">
            <wp:extent cx="5981700" cy="7833360"/>
            <wp:effectExtent l="0" t="0" r="0" b="15240"/>
            <wp:docPr id="113275089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4DDB2596" w14:textId="77777777" w:rsidR="00CB3CF1" w:rsidRPr="0039386E" w:rsidRDefault="00CB3CF1" w:rsidP="0039386E">
      <w:pPr>
        <w:rPr>
          <w:rFonts w:ascii="Arial" w:hAnsi="Arial" w:cs="Arial"/>
        </w:rPr>
      </w:pPr>
    </w:p>
    <w:p w14:paraId="1AAACE26" w14:textId="635A1546" w:rsidR="00CB3CF1" w:rsidRPr="0039386E" w:rsidRDefault="00CB3CF1" w:rsidP="0039386E">
      <w:pPr>
        <w:rPr>
          <w:rFonts w:ascii="Arial" w:hAnsi="Arial" w:cs="Arial"/>
        </w:rPr>
      </w:pPr>
      <w:r w:rsidRPr="0039386E">
        <w:rPr>
          <w:rFonts w:ascii="Arial" w:hAnsi="Arial" w:cs="Arial"/>
          <w:b/>
          <w:bCs/>
        </w:rPr>
        <w:lastRenderedPageBreak/>
        <w:t>Appendi</w:t>
      </w:r>
      <w:r w:rsidRPr="0039386E">
        <w:rPr>
          <w:rFonts w:ascii="Arial" w:hAnsi="Arial" w:cs="Arial"/>
          <w:b/>
          <w:bCs/>
        </w:rPr>
        <w:t>x</w:t>
      </w:r>
      <w:r w:rsidRPr="0039386E">
        <w:rPr>
          <w:rFonts w:ascii="Arial" w:hAnsi="Arial" w:cs="Arial"/>
          <w:b/>
          <w:bCs/>
        </w:rPr>
        <w:t xml:space="preserve"> C – Source Tracking Table</w:t>
      </w:r>
    </w:p>
    <w:p w14:paraId="25B33A15"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Author </w:t>
      </w:r>
    </w:p>
    <w:p w14:paraId="67C80CE5"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Year </w:t>
      </w:r>
    </w:p>
    <w:p w14:paraId="00A3A229"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Country </w:t>
      </w:r>
    </w:p>
    <w:p w14:paraId="2090A0C4"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Research Design </w:t>
      </w:r>
    </w:p>
    <w:p w14:paraId="67743693"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Sample </w:t>
      </w:r>
    </w:p>
    <w:p w14:paraId="705E93A8"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Main Findings </w:t>
      </w:r>
    </w:p>
    <w:p w14:paraId="77538BEA"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Limitations </w:t>
      </w:r>
    </w:p>
    <w:p w14:paraId="5B2B81D3"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Theme </w:t>
      </w:r>
    </w:p>
    <w:p w14:paraId="2F205232" w14:textId="77777777" w:rsidR="00CB3CF1" w:rsidRPr="0039386E" w:rsidRDefault="00CB3CF1" w:rsidP="0039386E">
      <w:pPr>
        <w:numPr>
          <w:ilvl w:val="0"/>
          <w:numId w:val="102"/>
        </w:numPr>
        <w:spacing w:after="200"/>
        <w:rPr>
          <w:rFonts w:ascii="Arial" w:hAnsi="Arial" w:cs="Arial"/>
        </w:rPr>
      </w:pPr>
      <w:r w:rsidRPr="0039386E">
        <w:rPr>
          <w:rFonts w:ascii="Arial" w:hAnsi="Arial" w:cs="Arial"/>
        </w:rPr>
        <w:t xml:space="preserve">Included/Excluded </w:t>
      </w:r>
    </w:p>
    <w:p w14:paraId="05FE1A24" w14:textId="77777777" w:rsidR="00CB3CF1" w:rsidRPr="0039386E" w:rsidRDefault="00CB3CF1" w:rsidP="0039386E">
      <w:pPr>
        <w:rPr>
          <w:rFonts w:ascii="Arial" w:hAnsi="Arial" w:cs="Arial"/>
        </w:rPr>
      </w:pPr>
    </w:p>
    <w:p w14:paraId="003D7F9E" w14:textId="77777777" w:rsidR="00CB3CF1" w:rsidRPr="0039386E" w:rsidRDefault="00CB3CF1" w:rsidP="0039386E">
      <w:pPr>
        <w:rPr>
          <w:rFonts w:ascii="Arial" w:hAnsi="Arial" w:cs="Arial"/>
        </w:rPr>
      </w:pPr>
    </w:p>
    <w:p w14:paraId="52558E23" w14:textId="77777777" w:rsidR="00CB3CF1" w:rsidRPr="0039386E" w:rsidRDefault="00CB3CF1" w:rsidP="0039386E">
      <w:pPr>
        <w:rPr>
          <w:rFonts w:ascii="Arial" w:hAnsi="Arial" w:cs="Arial"/>
        </w:rPr>
      </w:pPr>
    </w:p>
    <w:p w14:paraId="373AC855" w14:textId="77777777" w:rsidR="00CB3CF1" w:rsidRPr="0039386E" w:rsidRDefault="00CB3CF1" w:rsidP="0039386E">
      <w:pPr>
        <w:rPr>
          <w:rFonts w:ascii="Arial" w:hAnsi="Arial" w:cs="Arial"/>
        </w:rPr>
      </w:pPr>
    </w:p>
    <w:p w14:paraId="65243127" w14:textId="77777777" w:rsidR="00CB3CF1" w:rsidRPr="0039386E" w:rsidRDefault="00CB3CF1" w:rsidP="0039386E">
      <w:pPr>
        <w:rPr>
          <w:rFonts w:ascii="Arial" w:hAnsi="Arial" w:cs="Arial"/>
        </w:rPr>
      </w:pPr>
    </w:p>
    <w:p w14:paraId="387EA1ED" w14:textId="77777777" w:rsidR="00CB3CF1" w:rsidRPr="0039386E" w:rsidRDefault="00CB3CF1" w:rsidP="0039386E">
      <w:pPr>
        <w:rPr>
          <w:rFonts w:ascii="Arial" w:hAnsi="Arial" w:cs="Arial"/>
        </w:rPr>
      </w:pPr>
    </w:p>
    <w:p w14:paraId="6D16C521" w14:textId="77777777" w:rsidR="00CB3CF1" w:rsidRPr="0039386E" w:rsidRDefault="00CB3CF1" w:rsidP="0039386E">
      <w:pPr>
        <w:rPr>
          <w:rFonts w:ascii="Arial" w:hAnsi="Arial" w:cs="Arial"/>
        </w:rPr>
      </w:pPr>
    </w:p>
    <w:p w14:paraId="1D95807F" w14:textId="77777777" w:rsidR="00CB3CF1" w:rsidRPr="0039386E" w:rsidRDefault="00CB3CF1" w:rsidP="0039386E">
      <w:pPr>
        <w:rPr>
          <w:rFonts w:ascii="Arial" w:hAnsi="Arial" w:cs="Arial"/>
        </w:rPr>
      </w:pPr>
    </w:p>
    <w:p w14:paraId="0B6F4535" w14:textId="77777777" w:rsidR="00CB3CF1" w:rsidRPr="0039386E" w:rsidRDefault="00CB3CF1" w:rsidP="0039386E">
      <w:pPr>
        <w:rPr>
          <w:rFonts w:ascii="Arial" w:hAnsi="Arial" w:cs="Arial"/>
        </w:rPr>
      </w:pPr>
    </w:p>
    <w:p w14:paraId="1D853627" w14:textId="77777777" w:rsidR="00CB3CF1" w:rsidRPr="0039386E" w:rsidRDefault="00CB3CF1" w:rsidP="0039386E">
      <w:pPr>
        <w:rPr>
          <w:rFonts w:ascii="Arial" w:hAnsi="Arial" w:cs="Arial"/>
        </w:rPr>
      </w:pPr>
    </w:p>
    <w:p w14:paraId="425F98CC" w14:textId="77777777" w:rsidR="00CB3CF1" w:rsidRPr="0039386E" w:rsidRDefault="00CB3CF1" w:rsidP="0039386E">
      <w:pPr>
        <w:rPr>
          <w:rFonts w:ascii="Arial" w:hAnsi="Arial" w:cs="Arial"/>
        </w:rPr>
      </w:pPr>
    </w:p>
    <w:p w14:paraId="04EB89C5" w14:textId="77777777" w:rsidR="00CB3CF1" w:rsidRPr="0039386E" w:rsidRDefault="00CB3CF1" w:rsidP="0039386E">
      <w:pPr>
        <w:rPr>
          <w:rFonts w:ascii="Arial" w:hAnsi="Arial" w:cs="Arial"/>
        </w:rPr>
      </w:pPr>
    </w:p>
    <w:p w14:paraId="380285BE" w14:textId="77777777" w:rsidR="00CB3CF1" w:rsidRPr="0039386E" w:rsidRDefault="00CB3CF1" w:rsidP="0039386E">
      <w:pPr>
        <w:rPr>
          <w:rFonts w:ascii="Arial" w:hAnsi="Arial" w:cs="Arial"/>
        </w:rPr>
      </w:pPr>
    </w:p>
    <w:p w14:paraId="2D31BF54" w14:textId="77777777" w:rsidR="00CB3CF1" w:rsidRPr="0039386E" w:rsidRDefault="00CB3CF1" w:rsidP="0039386E">
      <w:pPr>
        <w:rPr>
          <w:rFonts w:ascii="Arial" w:hAnsi="Arial" w:cs="Arial"/>
        </w:rPr>
      </w:pPr>
    </w:p>
    <w:p w14:paraId="1A7B27A0" w14:textId="77777777" w:rsidR="00CB3CF1" w:rsidRPr="0039386E" w:rsidRDefault="00CB3CF1" w:rsidP="0039386E">
      <w:pPr>
        <w:rPr>
          <w:rFonts w:ascii="Arial" w:hAnsi="Arial" w:cs="Arial"/>
        </w:rPr>
      </w:pPr>
    </w:p>
    <w:p w14:paraId="01ABD41C" w14:textId="5315F6C1" w:rsidR="00CB3CF1" w:rsidRPr="0039386E" w:rsidRDefault="00CB3CF1" w:rsidP="0039386E">
      <w:pPr>
        <w:rPr>
          <w:rFonts w:ascii="Arial" w:hAnsi="Arial" w:cs="Arial"/>
          <w:b/>
          <w:bCs/>
        </w:rPr>
      </w:pPr>
      <w:r w:rsidRPr="0039386E">
        <w:rPr>
          <w:rFonts w:ascii="Arial" w:hAnsi="Arial" w:cs="Arial"/>
          <w:b/>
          <w:bCs/>
        </w:rPr>
        <w:lastRenderedPageBreak/>
        <w:t>Appendi</w:t>
      </w:r>
      <w:r w:rsidRPr="0039386E">
        <w:rPr>
          <w:rFonts w:ascii="Arial" w:hAnsi="Arial" w:cs="Arial"/>
          <w:b/>
          <w:bCs/>
        </w:rPr>
        <w:t>x</w:t>
      </w:r>
      <w:r w:rsidRPr="0039386E">
        <w:rPr>
          <w:rFonts w:ascii="Arial" w:hAnsi="Arial" w:cs="Arial"/>
          <w:b/>
          <w:bCs/>
        </w:rPr>
        <w:t xml:space="preserve"> D – Critical Appraisal Table</w:t>
      </w:r>
    </w:p>
    <w:p w14:paraId="37F4E561" w14:textId="77777777" w:rsidR="00CB3CF1" w:rsidRPr="0039386E" w:rsidRDefault="00CB3CF1" w:rsidP="0039386E">
      <w:pPr>
        <w:rPr>
          <w:rFonts w:ascii="Arial" w:hAnsi="Arial" w:cs="Arial"/>
        </w:rPr>
      </w:pPr>
      <w:r w:rsidRPr="0039386E">
        <w:rPr>
          <w:rFonts w:ascii="Arial" w:hAnsi="Arial" w:cs="Arial"/>
        </w:rPr>
        <w:t>Instead of just listing studies, it would critically evaluate them.</w:t>
      </w:r>
    </w:p>
    <w:tbl>
      <w:tblPr>
        <w:tblW w:w="8574" w:type="dxa"/>
        <w:tblCellSpacing w:w="15" w:type="dxa"/>
        <w:tblCellMar>
          <w:top w:w="15" w:type="dxa"/>
          <w:left w:w="15" w:type="dxa"/>
          <w:bottom w:w="15" w:type="dxa"/>
          <w:right w:w="15" w:type="dxa"/>
        </w:tblCellMar>
        <w:tblLook w:val="04A0" w:firstRow="1" w:lastRow="0" w:firstColumn="1" w:lastColumn="0" w:noHBand="0" w:noVBand="1"/>
      </w:tblPr>
      <w:tblGrid>
        <w:gridCol w:w="2738"/>
        <w:gridCol w:w="2949"/>
        <w:gridCol w:w="1906"/>
        <w:gridCol w:w="981"/>
      </w:tblGrid>
      <w:tr w:rsidR="00CB3CF1" w:rsidRPr="0039386E" w14:paraId="51417444" w14:textId="77777777" w:rsidTr="005D69A0">
        <w:trPr>
          <w:trHeight w:val="1115"/>
          <w:tblHeader/>
          <w:tblCellSpacing w:w="15" w:type="dxa"/>
        </w:trPr>
        <w:tc>
          <w:tcPr>
            <w:tcW w:w="0" w:type="auto"/>
            <w:tcBorders>
              <w:top w:val="single" w:sz="4" w:space="0" w:color="auto"/>
              <w:left w:val="single" w:sz="4" w:space="0" w:color="auto"/>
            </w:tcBorders>
            <w:vAlign w:val="center"/>
            <w:hideMark/>
          </w:tcPr>
          <w:p w14:paraId="49107E5A" w14:textId="77777777" w:rsidR="00CB3CF1" w:rsidRPr="0039386E" w:rsidRDefault="00CB3CF1" w:rsidP="0039386E">
            <w:pPr>
              <w:rPr>
                <w:rFonts w:ascii="Arial" w:hAnsi="Arial" w:cs="Arial"/>
                <w:b/>
                <w:bCs/>
              </w:rPr>
            </w:pPr>
            <w:r w:rsidRPr="0039386E">
              <w:rPr>
                <w:rFonts w:ascii="Arial" w:hAnsi="Arial" w:cs="Arial"/>
                <w:b/>
                <w:bCs/>
              </w:rPr>
              <w:t>Author</w:t>
            </w:r>
          </w:p>
        </w:tc>
        <w:tc>
          <w:tcPr>
            <w:tcW w:w="0" w:type="auto"/>
            <w:tcBorders>
              <w:top w:val="single" w:sz="4" w:space="0" w:color="auto"/>
              <w:left w:val="single" w:sz="4" w:space="0" w:color="auto"/>
              <w:right w:val="single" w:sz="4" w:space="0" w:color="auto"/>
            </w:tcBorders>
            <w:vAlign w:val="center"/>
            <w:hideMark/>
          </w:tcPr>
          <w:p w14:paraId="18CC1173" w14:textId="77777777" w:rsidR="00CB3CF1" w:rsidRPr="0039386E" w:rsidRDefault="00CB3CF1" w:rsidP="0039386E">
            <w:pPr>
              <w:rPr>
                <w:rFonts w:ascii="Arial" w:hAnsi="Arial" w:cs="Arial"/>
                <w:b/>
                <w:bCs/>
              </w:rPr>
            </w:pPr>
            <w:r w:rsidRPr="0039386E">
              <w:rPr>
                <w:rFonts w:ascii="Arial" w:hAnsi="Arial" w:cs="Arial"/>
                <w:b/>
                <w:bCs/>
              </w:rPr>
              <w:t>Strengths</w:t>
            </w:r>
          </w:p>
        </w:tc>
        <w:tc>
          <w:tcPr>
            <w:tcW w:w="0" w:type="auto"/>
            <w:tcBorders>
              <w:top w:val="single" w:sz="4" w:space="0" w:color="auto"/>
            </w:tcBorders>
            <w:vAlign w:val="center"/>
            <w:hideMark/>
          </w:tcPr>
          <w:p w14:paraId="67C61894" w14:textId="77777777" w:rsidR="00CB3CF1" w:rsidRPr="0039386E" w:rsidRDefault="00CB3CF1" w:rsidP="0039386E">
            <w:pPr>
              <w:rPr>
                <w:rFonts w:ascii="Arial" w:hAnsi="Arial" w:cs="Arial"/>
                <w:b/>
                <w:bCs/>
              </w:rPr>
            </w:pPr>
            <w:r w:rsidRPr="0039386E">
              <w:rPr>
                <w:rFonts w:ascii="Arial" w:hAnsi="Arial" w:cs="Arial"/>
                <w:b/>
                <w:bCs/>
              </w:rPr>
              <w:t>Weaknesses</w:t>
            </w:r>
          </w:p>
        </w:tc>
        <w:tc>
          <w:tcPr>
            <w:tcW w:w="0" w:type="auto"/>
            <w:tcBorders>
              <w:top w:val="single" w:sz="4" w:space="0" w:color="auto"/>
              <w:left w:val="single" w:sz="4" w:space="0" w:color="auto"/>
              <w:right w:val="single" w:sz="4" w:space="0" w:color="auto"/>
            </w:tcBorders>
            <w:vAlign w:val="center"/>
            <w:hideMark/>
          </w:tcPr>
          <w:p w14:paraId="35A9E19F" w14:textId="77777777" w:rsidR="00CB3CF1" w:rsidRPr="0039386E" w:rsidRDefault="00CB3CF1" w:rsidP="0039386E">
            <w:pPr>
              <w:rPr>
                <w:rFonts w:ascii="Arial" w:hAnsi="Arial" w:cs="Arial"/>
                <w:b/>
                <w:bCs/>
              </w:rPr>
            </w:pPr>
            <w:r w:rsidRPr="0039386E">
              <w:rPr>
                <w:rFonts w:ascii="Arial" w:hAnsi="Arial" w:cs="Arial"/>
                <w:b/>
                <w:bCs/>
              </w:rPr>
              <w:t>Quality</w:t>
            </w:r>
          </w:p>
        </w:tc>
      </w:tr>
      <w:tr w:rsidR="00CB3CF1" w:rsidRPr="0039386E" w14:paraId="2B687482" w14:textId="77777777" w:rsidTr="005D69A0">
        <w:trPr>
          <w:trHeight w:val="1166"/>
          <w:tblCellSpacing w:w="15" w:type="dxa"/>
        </w:trPr>
        <w:tc>
          <w:tcPr>
            <w:tcW w:w="0" w:type="auto"/>
            <w:tcBorders>
              <w:top w:val="single" w:sz="4" w:space="0" w:color="auto"/>
              <w:left w:val="single" w:sz="4" w:space="0" w:color="auto"/>
              <w:bottom w:val="single" w:sz="4" w:space="0" w:color="auto"/>
            </w:tcBorders>
            <w:vAlign w:val="center"/>
            <w:hideMark/>
          </w:tcPr>
          <w:p w14:paraId="571636EF" w14:textId="77777777" w:rsidR="00CB3CF1" w:rsidRPr="0039386E" w:rsidRDefault="00CB3CF1" w:rsidP="0039386E">
            <w:pPr>
              <w:rPr>
                <w:rFonts w:ascii="Arial" w:hAnsi="Arial" w:cs="Arial"/>
              </w:rPr>
            </w:pPr>
            <w:r w:rsidRPr="0039386E">
              <w:rPr>
                <w:rFonts w:ascii="Arial" w:hAnsi="Arial" w:cs="Arial"/>
              </w:rPr>
              <w:t>WHO (2022)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464DB0" w14:textId="77777777" w:rsidR="00CB3CF1" w:rsidRPr="0039386E" w:rsidRDefault="00CB3CF1" w:rsidP="0039386E">
            <w:pPr>
              <w:rPr>
                <w:rFonts w:ascii="Arial" w:hAnsi="Arial" w:cs="Arial"/>
              </w:rPr>
            </w:pPr>
            <w:r w:rsidRPr="0039386E">
              <w:rPr>
                <w:rFonts w:ascii="Arial" w:hAnsi="Arial" w:cs="Arial"/>
              </w:rPr>
              <w:t>Global evidence</w:t>
            </w:r>
          </w:p>
        </w:tc>
        <w:tc>
          <w:tcPr>
            <w:tcW w:w="0" w:type="auto"/>
            <w:tcBorders>
              <w:top w:val="single" w:sz="4" w:space="0" w:color="auto"/>
              <w:bottom w:val="single" w:sz="4" w:space="0" w:color="auto"/>
            </w:tcBorders>
            <w:vAlign w:val="center"/>
            <w:hideMark/>
          </w:tcPr>
          <w:p w14:paraId="461F0AC4" w14:textId="77777777" w:rsidR="00CB3CF1" w:rsidRPr="0039386E" w:rsidRDefault="00CB3CF1" w:rsidP="0039386E">
            <w:pPr>
              <w:rPr>
                <w:rFonts w:ascii="Arial" w:hAnsi="Arial" w:cs="Arial"/>
              </w:rPr>
            </w:pPr>
            <w:r w:rsidRPr="0039386E">
              <w:rPr>
                <w:rFonts w:ascii="Arial" w:hAnsi="Arial" w:cs="Arial"/>
              </w:rPr>
              <w:t>Not UK-specific</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CD307" w14:textId="77777777" w:rsidR="00CB3CF1" w:rsidRPr="0039386E" w:rsidRDefault="00CB3CF1" w:rsidP="0039386E">
            <w:pPr>
              <w:rPr>
                <w:rFonts w:ascii="Arial" w:hAnsi="Arial" w:cs="Arial"/>
              </w:rPr>
            </w:pPr>
            <w:r w:rsidRPr="0039386E">
              <w:rPr>
                <w:rFonts w:ascii="Arial" w:hAnsi="Arial" w:cs="Arial"/>
              </w:rPr>
              <w:t>High</w:t>
            </w:r>
          </w:p>
        </w:tc>
      </w:tr>
      <w:tr w:rsidR="00CB3CF1" w:rsidRPr="0039386E" w14:paraId="6AF80BCA" w14:textId="77777777" w:rsidTr="005D69A0">
        <w:trPr>
          <w:trHeight w:val="1115"/>
          <w:tblCellSpacing w:w="15" w:type="dxa"/>
        </w:trPr>
        <w:tc>
          <w:tcPr>
            <w:tcW w:w="0" w:type="auto"/>
            <w:tcBorders>
              <w:left w:val="single" w:sz="4" w:space="0" w:color="auto"/>
              <w:bottom w:val="single" w:sz="4" w:space="0" w:color="auto"/>
            </w:tcBorders>
            <w:vAlign w:val="center"/>
            <w:hideMark/>
          </w:tcPr>
          <w:p w14:paraId="614A6535" w14:textId="77777777" w:rsidR="00CB3CF1" w:rsidRPr="0039386E" w:rsidRDefault="00CB3CF1" w:rsidP="0039386E">
            <w:pPr>
              <w:rPr>
                <w:rFonts w:ascii="Arial" w:hAnsi="Arial" w:cs="Arial"/>
              </w:rPr>
            </w:pPr>
            <w:r w:rsidRPr="0039386E">
              <w:rPr>
                <w:rFonts w:ascii="Arial" w:hAnsi="Arial" w:cs="Arial"/>
              </w:rPr>
              <w:t>NICE (2022)</w:t>
            </w:r>
          </w:p>
        </w:tc>
        <w:tc>
          <w:tcPr>
            <w:tcW w:w="0" w:type="auto"/>
            <w:tcBorders>
              <w:left w:val="single" w:sz="4" w:space="0" w:color="auto"/>
              <w:bottom w:val="single" w:sz="4" w:space="0" w:color="auto"/>
              <w:right w:val="single" w:sz="4" w:space="0" w:color="auto"/>
            </w:tcBorders>
            <w:vAlign w:val="center"/>
            <w:hideMark/>
          </w:tcPr>
          <w:p w14:paraId="7E19951E" w14:textId="77777777" w:rsidR="00CB3CF1" w:rsidRPr="0039386E" w:rsidRDefault="00CB3CF1" w:rsidP="0039386E">
            <w:pPr>
              <w:rPr>
                <w:rFonts w:ascii="Arial" w:hAnsi="Arial" w:cs="Arial"/>
              </w:rPr>
            </w:pPr>
            <w:r w:rsidRPr="0039386E">
              <w:rPr>
                <w:rFonts w:ascii="Arial" w:hAnsi="Arial" w:cs="Arial"/>
              </w:rPr>
              <w:t>UK guideline</w:t>
            </w:r>
          </w:p>
        </w:tc>
        <w:tc>
          <w:tcPr>
            <w:tcW w:w="0" w:type="auto"/>
            <w:tcBorders>
              <w:bottom w:val="single" w:sz="4" w:space="0" w:color="auto"/>
            </w:tcBorders>
            <w:vAlign w:val="center"/>
            <w:hideMark/>
          </w:tcPr>
          <w:p w14:paraId="367A8B32" w14:textId="77777777" w:rsidR="00CB3CF1" w:rsidRPr="0039386E" w:rsidRDefault="00CB3CF1" w:rsidP="0039386E">
            <w:pPr>
              <w:rPr>
                <w:rFonts w:ascii="Arial" w:hAnsi="Arial" w:cs="Arial"/>
              </w:rPr>
            </w:pPr>
            <w:r w:rsidRPr="0039386E">
              <w:rPr>
                <w:rFonts w:ascii="Arial" w:hAnsi="Arial" w:cs="Arial"/>
              </w:rPr>
              <w:t>Policy-based</w:t>
            </w:r>
          </w:p>
        </w:tc>
        <w:tc>
          <w:tcPr>
            <w:tcW w:w="0" w:type="auto"/>
            <w:tcBorders>
              <w:left w:val="single" w:sz="4" w:space="0" w:color="auto"/>
              <w:bottom w:val="single" w:sz="4" w:space="0" w:color="auto"/>
              <w:right w:val="single" w:sz="4" w:space="0" w:color="auto"/>
            </w:tcBorders>
            <w:vAlign w:val="center"/>
            <w:hideMark/>
          </w:tcPr>
          <w:p w14:paraId="163ADB34" w14:textId="77777777" w:rsidR="00CB3CF1" w:rsidRPr="0039386E" w:rsidRDefault="00CB3CF1" w:rsidP="0039386E">
            <w:pPr>
              <w:rPr>
                <w:rFonts w:ascii="Arial" w:hAnsi="Arial" w:cs="Arial"/>
              </w:rPr>
            </w:pPr>
            <w:r w:rsidRPr="0039386E">
              <w:rPr>
                <w:rFonts w:ascii="Arial" w:hAnsi="Arial" w:cs="Arial"/>
              </w:rPr>
              <w:t>High</w:t>
            </w:r>
          </w:p>
        </w:tc>
      </w:tr>
      <w:tr w:rsidR="00CB3CF1" w:rsidRPr="0039386E" w14:paraId="159E3033" w14:textId="77777777" w:rsidTr="005D69A0">
        <w:trPr>
          <w:trHeight w:val="1140"/>
          <w:tblCellSpacing w:w="15" w:type="dxa"/>
        </w:trPr>
        <w:tc>
          <w:tcPr>
            <w:tcW w:w="0" w:type="auto"/>
            <w:tcBorders>
              <w:left w:val="single" w:sz="4" w:space="0" w:color="auto"/>
              <w:bottom w:val="single" w:sz="4" w:space="0" w:color="auto"/>
            </w:tcBorders>
            <w:vAlign w:val="center"/>
            <w:hideMark/>
          </w:tcPr>
          <w:p w14:paraId="48E94389" w14:textId="77777777" w:rsidR="00CB3CF1" w:rsidRPr="0039386E" w:rsidRDefault="00CB3CF1" w:rsidP="0039386E">
            <w:pPr>
              <w:rPr>
                <w:rFonts w:ascii="Arial" w:hAnsi="Arial" w:cs="Arial"/>
              </w:rPr>
            </w:pPr>
            <w:r w:rsidRPr="0039386E">
              <w:rPr>
                <w:rFonts w:ascii="Arial" w:hAnsi="Arial" w:cs="Arial"/>
              </w:rPr>
              <w:t>Patel et al. (2018)</w:t>
            </w:r>
          </w:p>
        </w:tc>
        <w:tc>
          <w:tcPr>
            <w:tcW w:w="0" w:type="auto"/>
            <w:tcBorders>
              <w:left w:val="single" w:sz="4" w:space="0" w:color="auto"/>
              <w:bottom w:val="single" w:sz="4" w:space="0" w:color="auto"/>
              <w:right w:val="single" w:sz="4" w:space="0" w:color="auto"/>
            </w:tcBorders>
            <w:vAlign w:val="center"/>
            <w:hideMark/>
          </w:tcPr>
          <w:p w14:paraId="37D0C20D" w14:textId="77777777" w:rsidR="00CB3CF1" w:rsidRPr="0039386E" w:rsidRDefault="00CB3CF1" w:rsidP="0039386E">
            <w:pPr>
              <w:rPr>
                <w:rFonts w:ascii="Arial" w:hAnsi="Arial" w:cs="Arial"/>
              </w:rPr>
            </w:pPr>
            <w:r w:rsidRPr="0039386E">
              <w:rPr>
                <w:rFonts w:ascii="Arial" w:hAnsi="Arial" w:cs="Arial"/>
              </w:rPr>
              <w:t>High-quality Commission</w:t>
            </w:r>
          </w:p>
        </w:tc>
        <w:tc>
          <w:tcPr>
            <w:tcW w:w="0" w:type="auto"/>
            <w:tcBorders>
              <w:bottom w:val="single" w:sz="4" w:space="0" w:color="auto"/>
            </w:tcBorders>
            <w:vAlign w:val="center"/>
            <w:hideMark/>
          </w:tcPr>
          <w:p w14:paraId="5EB13A0C" w14:textId="77777777" w:rsidR="00CB3CF1" w:rsidRPr="0039386E" w:rsidRDefault="00CB3CF1" w:rsidP="0039386E">
            <w:pPr>
              <w:rPr>
                <w:rFonts w:ascii="Arial" w:hAnsi="Arial" w:cs="Arial"/>
              </w:rPr>
            </w:pPr>
            <w:r w:rsidRPr="0039386E">
              <w:rPr>
                <w:rFonts w:ascii="Arial" w:hAnsi="Arial" w:cs="Arial"/>
              </w:rPr>
              <w:t>Global focus</w:t>
            </w:r>
          </w:p>
        </w:tc>
        <w:tc>
          <w:tcPr>
            <w:tcW w:w="0" w:type="auto"/>
            <w:tcBorders>
              <w:left w:val="single" w:sz="4" w:space="0" w:color="auto"/>
              <w:bottom w:val="single" w:sz="4" w:space="0" w:color="auto"/>
              <w:right w:val="single" w:sz="4" w:space="0" w:color="auto"/>
            </w:tcBorders>
            <w:vAlign w:val="center"/>
            <w:hideMark/>
          </w:tcPr>
          <w:p w14:paraId="500CC995" w14:textId="77777777" w:rsidR="00CB3CF1" w:rsidRPr="0039386E" w:rsidRDefault="00CB3CF1" w:rsidP="0039386E">
            <w:pPr>
              <w:rPr>
                <w:rFonts w:ascii="Arial" w:hAnsi="Arial" w:cs="Arial"/>
              </w:rPr>
            </w:pPr>
            <w:r w:rsidRPr="0039386E">
              <w:rPr>
                <w:rFonts w:ascii="Arial" w:hAnsi="Arial" w:cs="Arial"/>
              </w:rPr>
              <w:t>High</w:t>
            </w:r>
          </w:p>
        </w:tc>
      </w:tr>
      <w:tr w:rsidR="00CB3CF1" w:rsidRPr="0039386E" w14:paraId="34079910" w14:textId="77777777" w:rsidTr="005D69A0">
        <w:trPr>
          <w:trHeight w:val="1115"/>
          <w:tblCellSpacing w:w="15" w:type="dxa"/>
        </w:trPr>
        <w:tc>
          <w:tcPr>
            <w:tcW w:w="0" w:type="auto"/>
            <w:tcBorders>
              <w:left w:val="single" w:sz="4" w:space="0" w:color="auto"/>
              <w:bottom w:val="single" w:sz="4" w:space="0" w:color="auto"/>
            </w:tcBorders>
            <w:vAlign w:val="center"/>
            <w:hideMark/>
          </w:tcPr>
          <w:p w14:paraId="70ABCA8C" w14:textId="77777777" w:rsidR="00CB3CF1" w:rsidRPr="0039386E" w:rsidRDefault="00CB3CF1" w:rsidP="0039386E">
            <w:pPr>
              <w:rPr>
                <w:rFonts w:ascii="Arial" w:hAnsi="Arial" w:cs="Arial"/>
              </w:rPr>
            </w:pPr>
            <w:r w:rsidRPr="0039386E">
              <w:rPr>
                <w:rFonts w:ascii="Arial" w:hAnsi="Arial" w:cs="Arial"/>
              </w:rPr>
              <w:t>Petruccelli et al. (2019)</w:t>
            </w:r>
          </w:p>
        </w:tc>
        <w:tc>
          <w:tcPr>
            <w:tcW w:w="0" w:type="auto"/>
            <w:tcBorders>
              <w:left w:val="single" w:sz="4" w:space="0" w:color="auto"/>
              <w:bottom w:val="single" w:sz="4" w:space="0" w:color="auto"/>
              <w:right w:val="single" w:sz="4" w:space="0" w:color="auto"/>
            </w:tcBorders>
            <w:vAlign w:val="center"/>
            <w:hideMark/>
          </w:tcPr>
          <w:p w14:paraId="09865BA4" w14:textId="77777777" w:rsidR="00CB3CF1" w:rsidRPr="0039386E" w:rsidRDefault="00CB3CF1" w:rsidP="0039386E">
            <w:pPr>
              <w:rPr>
                <w:rFonts w:ascii="Arial" w:hAnsi="Arial" w:cs="Arial"/>
              </w:rPr>
            </w:pPr>
            <w:r w:rsidRPr="0039386E">
              <w:rPr>
                <w:rFonts w:ascii="Arial" w:hAnsi="Arial" w:cs="Arial"/>
              </w:rPr>
              <w:t>Systematic review</w:t>
            </w:r>
          </w:p>
        </w:tc>
        <w:tc>
          <w:tcPr>
            <w:tcW w:w="0" w:type="auto"/>
            <w:tcBorders>
              <w:bottom w:val="single" w:sz="4" w:space="0" w:color="auto"/>
            </w:tcBorders>
            <w:vAlign w:val="center"/>
            <w:hideMark/>
          </w:tcPr>
          <w:p w14:paraId="027662F2" w14:textId="77777777" w:rsidR="00CB3CF1" w:rsidRPr="0039386E" w:rsidRDefault="00CB3CF1" w:rsidP="0039386E">
            <w:pPr>
              <w:rPr>
                <w:rFonts w:ascii="Arial" w:hAnsi="Arial" w:cs="Arial"/>
              </w:rPr>
            </w:pPr>
            <w:r w:rsidRPr="0039386E">
              <w:rPr>
                <w:rFonts w:ascii="Arial" w:hAnsi="Arial" w:cs="Arial"/>
              </w:rPr>
              <w:t>Limited UK data</w:t>
            </w:r>
          </w:p>
        </w:tc>
        <w:tc>
          <w:tcPr>
            <w:tcW w:w="0" w:type="auto"/>
            <w:tcBorders>
              <w:left w:val="single" w:sz="4" w:space="0" w:color="auto"/>
              <w:bottom w:val="single" w:sz="4" w:space="0" w:color="auto"/>
              <w:right w:val="single" w:sz="4" w:space="0" w:color="auto"/>
            </w:tcBorders>
            <w:vAlign w:val="center"/>
            <w:hideMark/>
          </w:tcPr>
          <w:p w14:paraId="12BE9284" w14:textId="77777777" w:rsidR="00CB3CF1" w:rsidRPr="0039386E" w:rsidRDefault="00CB3CF1" w:rsidP="0039386E">
            <w:pPr>
              <w:rPr>
                <w:rFonts w:ascii="Arial" w:hAnsi="Arial" w:cs="Arial"/>
              </w:rPr>
            </w:pPr>
            <w:r w:rsidRPr="0039386E">
              <w:rPr>
                <w:rFonts w:ascii="Arial" w:hAnsi="Arial" w:cs="Arial"/>
              </w:rPr>
              <w:t>High</w:t>
            </w:r>
          </w:p>
        </w:tc>
      </w:tr>
    </w:tbl>
    <w:p w14:paraId="2287D3C1" w14:textId="77777777" w:rsidR="00CB3CF1" w:rsidRPr="0039386E" w:rsidRDefault="00CB3CF1" w:rsidP="0039386E">
      <w:pPr>
        <w:rPr>
          <w:rFonts w:ascii="Arial" w:hAnsi="Arial" w:cs="Arial"/>
        </w:rPr>
      </w:pPr>
    </w:p>
    <w:p w14:paraId="4FD35DE4" w14:textId="77777777" w:rsidR="00CB3CF1" w:rsidRPr="0039386E" w:rsidRDefault="00CB3CF1" w:rsidP="0039386E">
      <w:pPr>
        <w:rPr>
          <w:rFonts w:ascii="Arial" w:hAnsi="Arial" w:cs="Arial"/>
        </w:rPr>
      </w:pPr>
    </w:p>
    <w:p w14:paraId="7AC5D84E" w14:textId="77777777" w:rsidR="00CB3CF1" w:rsidRPr="0039386E" w:rsidRDefault="00CB3CF1" w:rsidP="0039386E">
      <w:pPr>
        <w:rPr>
          <w:rFonts w:ascii="Arial" w:hAnsi="Arial" w:cs="Arial"/>
        </w:rPr>
      </w:pPr>
    </w:p>
    <w:p w14:paraId="1308186F" w14:textId="77777777" w:rsidR="00CB3CF1" w:rsidRPr="0039386E" w:rsidRDefault="00CB3CF1" w:rsidP="0039386E">
      <w:pPr>
        <w:rPr>
          <w:rFonts w:ascii="Arial" w:hAnsi="Arial" w:cs="Arial"/>
        </w:rPr>
      </w:pPr>
    </w:p>
    <w:p w14:paraId="389E039C" w14:textId="77777777" w:rsidR="00CB3CF1" w:rsidRPr="0039386E" w:rsidRDefault="00CB3CF1" w:rsidP="0039386E">
      <w:pPr>
        <w:rPr>
          <w:rFonts w:ascii="Arial" w:hAnsi="Arial" w:cs="Arial"/>
        </w:rPr>
      </w:pPr>
    </w:p>
    <w:p w14:paraId="20FD54BC" w14:textId="77777777" w:rsidR="00CB3CF1" w:rsidRPr="0039386E" w:rsidRDefault="00CB3CF1" w:rsidP="0039386E">
      <w:pPr>
        <w:rPr>
          <w:rFonts w:ascii="Arial" w:hAnsi="Arial" w:cs="Arial"/>
        </w:rPr>
      </w:pPr>
    </w:p>
    <w:p w14:paraId="31A87AB4" w14:textId="77777777" w:rsidR="00CB3CF1" w:rsidRPr="0039386E" w:rsidRDefault="00CB3CF1" w:rsidP="0039386E">
      <w:pPr>
        <w:rPr>
          <w:rFonts w:ascii="Arial" w:hAnsi="Arial" w:cs="Arial"/>
        </w:rPr>
      </w:pPr>
    </w:p>
    <w:p w14:paraId="27780D08" w14:textId="77777777" w:rsidR="00CB3CF1" w:rsidRPr="0039386E" w:rsidRDefault="00CB3CF1" w:rsidP="0039386E">
      <w:pPr>
        <w:rPr>
          <w:rFonts w:ascii="Arial" w:hAnsi="Arial" w:cs="Arial"/>
        </w:rPr>
      </w:pPr>
    </w:p>
    <w:p w14:paraId="4398A3E1" w14:textId="77777777" w:rsidR="00CB3CF1" w:rsidRPr="0039386E" w:rsidRDefault="00CB3CF1" w:rsidP="0039386E">
      <w:pPr>
        <w:rPr>
          <w:rFonts w:ascii="Arial" w:hAnsi="Arial" w:cs="Arial"/>
        </w:rPr>
      </w:pPr>
    </w:p>
    <w:p w14:paraId="51D3BC83" w14:textId="77777777" w:rsidR="00CB3CF1" w:rsidRPr="0039386E" w:rsidRDefault="00CB3CF1" w:rsidP="0039386E">
      <w:pPr>
        <w:rPr>
          <w:rFonts w:ascii="Arial" w:hAnsi="Arial" w:cs="Arial"/>
        </w:rPr>
      </w:pPr>
    </w:p>
    <w:p w14:paraId="42F3DC42" w14:textId="77777777" w:rsidR="00CB3CF1" w:rsidRPr="0039386E" w:rsidRDefault="00CB3CF1" w:rsidP="0039386E">
      <w:pPr>
        <w:rPr>
          <w:rFonts w:ascii="Arial" w:hAnsi="Arial" w:cs="Arial"/>
        </w:rPr>
      </w:pPr>
    </w:p>
    <w:p w14:paraId="2055B4AF" w14:textId="77777777" w:rsidR="00CB3CF1" w:rsidRPr="0039386E" w:rsidRDefault="00CB3CF1" w:rsidP="0039386E">
      <w:pPr>
        <w:rPr>
          <w:rFonts w:ascii="Arial" w:hAnsi="Arial" w:cs="Arial"/>
        </w:rPr>
      </w:pPr>
    </w:p>
    <w:p w14:paraId="1C0450A9" w14:textId="77777777" w:rsidR="00CB3CF1" w:rsidRPr="0039386E" w:rsidRDefault="00CB3CF1" w:rsidP="0039386E">
      <w:pPr>
        <w:rPr>
          <w:rFonts w:ascii="Arial" w:hAnsi="Arial" w:cs="Arial"/>
        </w:rPr>
      </w:pPr>
    </w:p>
    <w:p w14:paraId="795105D4" w14:textId="432D394A" w:rsidR="00CB3CF1" w:rsidRPr="0039386E" w:rsidRDefault="00CB3CF1" w:rsidP="0039386E">
      <w:pPr>
        <w:rPr>
          <w:rFonts w:ascii="Arial" w:hAnsi="Arial" w:cs="Arial"/>
          <w:b/>
          <w:bCs/>
        </w:rPr>
      </w:pPr>
      <w:r w:rsidRPr="0039386E">
        <w:rPr>
          <w:rFonts w:ascii="Arial" w:hAnsi="Arial" w:cs="Arial"/>
          <w:b/>
          <w:bCs/>
        </w:rPr>
        <w:lastRenderedPageBreak/>
        <w:t>Appendi</w:t>
      </w:r>
      <w:r w:rsidRPr="0039386E">
        <w:rPr>
          <w:rFonts w:ascii="Arial" w:hAnsi="Arial" w:cs="Arial"/>
          <w:b/>
          <w:bCs/>
        </w:rPr>
        <w:t>x</w:t>
      </w:r>
      <w:r w:rsidRPr="0039386E">
        <w:rPr>
          <w:rFonts w:ascii="Arial" w:hAnsi="Arial" w:cs="Arial"/>
          <w:b/>
          <w:bCs/>
        </w:rPr>
        <w:t xml:space="preserve"> E – Themes Generated</w:t>
      </w:r>
    </w:p>
    <w:p w14:paraId="34598CEE" w14:textId="77777777" w:rsidR="00CB3CF1" w:rsidRPr="0039386E" w:rsidRDefault="00CB3CF1" w:rsidP="0039386E">
      <w:pPr>
        <w:rPr>
          <w:rFonts w:ascii="Arial" w:hAnsi="Arial" w:cs="Arial"/>
        </w:rPr>
      </w:pPr>
      <w:r w:rsidRPr="0039386E">
        <w:rPr>
          <w:rFonts w:ascii="Arial" w:hAnsi="Arial" w:cs="Arial"/>
        </w:rPr>
        <w:t>A table showing exactly how the four themes were developed from the literature.</w:t>
      </w:r>
    </w:p>
    <w:tbl>
      <w:tblPr>
        <w:tblW w:w="7417" w:type="dxa"/>
        <w:tblCellSpacing w:w="15" w:type="dxa"/>
        <w:tblCellMar>
          <w:top w:w="15" w:type="dxa"/>
          <w:left w:w="15" w:type="dxa"/>
          <w:bottom w:w="15" w:type="dxa"/>
          <w:right w:w="15" w:type="dxa"/>
        </w:tblCellMar>
        <w:tblLook w:val="04A0" w:firstRow="1" w:lastRow="0" w:firstColumn="1" w:lastColumn="0" w:noHBand="0" w:noVBand="1"/>
      </w:tblPr>
      <w:tblGrid>
        <w:gridCol w:w="3875"/>
        <w:gridCol w:w="3542"/>
      </w:tblGrid>
      <w:tr w:rsidR="00CB3CF1" w:rsidRPr="0039386E" w14:paraId="1EC07B72" w14:textId="77777777" w:rsidTr="00CB3CF1">
        <w:trPr>
          <w:trHeight w:val="776"/>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804420" w14:textId="77777777" w:rsidR="00CB3CF1" w:rsidRPr="0039386E" w:rsidRDefault="00CB3CF1" w:rsidP="0039386E">
            <w:pPr>
              <w:rPr>
                <w:rFonts w:ascii="Arial" w:hAnsi="Arial" w:cs="Arial"/>
                <w:b/>
                <w:bCs/>
              </w:rPr>
            </w:pPr>
            <w:r w:rsidRPr="0039386E">
              <w:rPr>
                <w:rFonts w:ascii="Arial" w:hAnsi="Arial" w:cs="Arial"/>
                <w:b/>
                <w:bCs/>
              </w:rPr>
              <w:t>Theme</w:t>
            </w:r>
          </w:p>
        </w:tc>
        <w:tc>
          <w:tcPr>
            <w:tcW w:w="0" w:type="auto"/>
            <w:tcBorders>
              <w:top w:val="single" w:sz="4" w:space="0" w:color="auto"/>
              <w:bottom w:val="single" w:sz="4" w:space="0" w:color="auto"/>
              <w:right w:val="single" w:sz="4" w:space="0" w:color="auto"/>
            </w:tcBorders>
            <w:vAlign w:val="center"/>
            <w:hideMark/>
          </w:tcPr>
          <w:p w14:paraId="55C26C45" w14:textId="77777777" w:rsidR="00CB3CF1" w:rsidRPr="0039386E" w:rsidRDefault="00CB3CF1" w:rsidP="0039386E">
            <w:pPr>
              <w:rPr>
                <w:rFonts w:ascii="Arial" w:hAnsi="Arial" w:cs="Arial"/>
                <w:b/>
                <w:bCs/>
              </w:rPr>
            </w:pPr>
            <w:r w:rsidRPr="0039386E">
              <w:rPr>
                <w:rFonts w:ascii="Arial" w:hAnsi="Arial" w:cs="Arial"/>
                <w:b/>
                <w:bCs/>
              </w:rPr>
              <w:t>Supporting Studies</w:t>
            </w:r>
          </w:p>
        </w:tc>
      </w:tr>
      <w:tr w:rsidR="00CB3CF1" w:rsidRPr="0039386E" w14:paraId="68116377" w14:textId="77777777" w:rsidTr="00CB3CF1">
        <w:trPr>
          <w:trHeight w:val="776"/>
          <w:tblCellSpacing w:w="15" w:type="dxa"/>
        </w:trPr>
        <w:tc>
          <w:tcPr>
            <w:tcW w:w="0" w:type="auto"/>
            <w:tcBorders>
              <w:left w:val="single" w:sz="4" w:space="0" w:color="auto"/>
              <w:bottom w:val="single" w:sz="4" w:space="0" w:color="auto"/>
              <w:right w:val="single" w:sz="4" w:space="0" w:color="auto"/>
            </w:tcBorders>
            <w:vAlign w:val="center"/>
            <w:hideMark/>
          </w:tcPr>
          <w:p w14:paraId="594C78DD" w14:textId="77777777" w:rsidR="00CB3CF1" w:rsidRPr="0039386E" w:rsidRDefault="00CB3CF1" w:rsidP="0039386E">
            <w:pPr>
              <w:rPr>
                <w:rFonts w:ascii="Arial" w:hAnsi="Arial" w:cs="Arial"/>
              </w:rPr>
            </w:pPr>
            <w:r w:rsidRPr="0039386E">
              <w:rPr>
                <w:rFonts w:ascii="Arial" w:hAnsi="Arial" w:cs="Arial"/>
              </w:rPr>
              <w:t>Internalising Disorders</w:t>
            </w:r>
          </w:p>
        </w:tc>
        <w:tc>
          <w:tcPr>
            <w:tcW w:w="0" w:type="auto"/>
            <w:tcBorders>
              <w:bottom w:val="single" w:sz="4" w:space="0" w:color="auto"/>
              <w:right w:val="single" w:sz="4" w:space="0" w:color="auto"/>
            </w:tcBorders>
            <w:vAlign w:val="center"/>
            <w:hideMark/>
          </w:tcPr>
          <w:p w14:paraId="65C595D1" w14:textId="77777777" w:rsidR="00CB3CF1" w:rsidRPr="0039386E" w:rsidRDefault="00CB3CF1" w:rsidP="0039386E">
            <w:pPr>
              <w:rPr>
                <w:rFonts w:ascii="Arial" w:hAnsi="Arial" w:cs="Arial"/>
              </w:rPr>
            </w:pPr>
            <w:r w:rsidRPr="0039386E">
              <w:rPr>
                <w:rFonts w:ascii="Arial" w:hAnsi="Arial" w:cs="Arial"/>
              </w:rPr>
              <w:t>WHO, NICE, Wuthrich</w:t>
            </w:r>
          </w:p>
        </w:tc>
      </w:tr>
      <w:tr w:rsidR="00CB3CF1" w:rsidRPr="0039386E" w14:paraId="3F5BC8DE" w14:textId="77777777" w:rsidTr="00CB3CF1">
        <w:trPr>
          <w:trHeight w:val="758"/>
          <w:tblCellSpacing w:w="15" w:type="dxa"/>
        </w:trPr>
        <w:tc>
          <w:tcPr>
            <w:tcW w:w="0" w:type="auto"/>
            <w:tcBorders>
              <w:left w:val="single" w:sz="4" w:space="0" w:color="auto"/>
              <w:bottom w:val="single" w:sz="4" w:space="0" w:color="auto"/>
              <w:right w:val="single" w:sz="4" w:space="0" w:color="auto"/>
            </w:tcBorders>
            <w:vAlign w:val="center"/>
            <w:hideMark/>
          </w:tcPr>
          <w:p w14:paraId="7E21C5B0" w14:textId="77777777" w:rsidR="00CB3CF1" w:rsidRPr="0039386E" w:rsidRDefault="00CB3CF1" w:rsidP="0039386E">
            <w:pPr>
              <w:rPr>
                <w:rFonts w:ascii="Arial" w:hAnsi="Arial" w:cs="Arial"/>
              </w:rPr>
            </w:pPr>
            <w:r w:rsidRPr="0039386E">
              <w:rPr>
                <w:rFonts w:ascii="Arial" w:hAnsi="Arial" w:cs="Arial"/>
              </w:rPr>
              <w:t>Externalising Disorders</w:t>
            </w:r>
          </w:p>
        </w:tc>
        <w:tc>
          <w:tcPr>
            <w:tcW w:w="0" w:type="auto"/>
            <w:tcBorders>
              <w:bottom w:val="single" w:sz="4" w:space="0" w:color="auto"/>
              <w:right w:val="single" w:sz="4" w:space="0" w:color="auto"/>
            </w:tcBorders>
            <w:vAlign w:val="center"/>
            <w:hideMark/>
          </w:tcPr>
          <w:p w14:paraId="70A9DBA2" w14:textId="77777777" w:rsidR="00CB3CF1" w:rsidRPr="0039386E" w:rsidRDefault="00CB3CF1" w:rsidP="0039386E">
            <w:pPr>
              <w:rPr>
                <w:rFonts w:ascii="Arial" w:hAnsi="Arial" w:cs="Arial"/>
              </w:rPr>
            </w:pPr>
            <w:r w:rsidRPr="0039386E">
              <w:rPr>
                <w:rFonts w:ascii="Arial" w:hAnsi="Arial" w:cs="Arial"/>
              </w:rPr>
              <w:t>Faraone, NICE</w:t>
            </w:r>
          </w:p>
        </w:tc>
      </w:tr>
      <w:tr w:rsidR="00CB3CF1" w:rsidRPr="0039386E" w14:paraId="118CA015" w14:textId="77777777" w:rsidTr="00CB3CF1">
        <w:trPr>
          <w:trHeight w:val="776"/>
          <w:tblCellSpacing w:w="15" w:type="dxa"/>
        </w:trPr>
        <w:tc>
          <w:tcPr>
            <w:tcW w:w="0" w:type="auto"/>
            <w:tcBorders>
              <w:left w:val="single" w:sz="4" w:space="0" w:color="auto"/>
              <w:bottom w:val="single" w:sz="4" w:space="0" w:color="auto"/>
              <w:right w:val="single" w:sz="4" w:space="0" w:color="auto"/>
            </w:tcBorders>
            <w:vAlign w:val="center"/>
            <w:hideMark/>
          </w:tcPr>
          <w:p w14:paraId="3F35BF98" w14:textId="77777777" w:rsidR="00CB3CF1" w:rsidRPr="0039386E" w:rsidRDefault="00CB3CF1" w:rsidP="0039386E">
            <w:pPr>
              <w:rPr>
                <w:rFonts w:ascii="Arial" w:hAnsi="Arial" w:cs="Arial"/>
              </w:rPr>
            </w:pPr>
            <w:r w:rsidRPr="0039386E">
              <w:rPr>
                <w:rFonts w:ascii="Arial" w:hAnsi="Arial" w:cs="Arial"/>
              </w:rPr>
              <w:t>Biopsychosocial Factors</w:t>
            </w:r>
          </w:p>
        </w:tc>
        <w:tc>
          <w:tcPr>
            <w:tcW w:w="0" w:type="auto"/>
            <w:tcBorders>
              <w:bottom w:val="single" w:sz="4" w:space="0" w:color="auto"/>
              <w:right w:val="single" w:sz="4" w:space="0" w:color="auto"/>
            </w:tcBorders>
            <w:vAlign w:val="center"/>
            <w:hideMark/>
          </w:tcPr>
          <w:p w14:paraId="0C0406FC" w14:textId="77777777" w:rsidR="00CB3CF1" w:rsidRPr="0039386E" w:rsidRDefault="00CB3CF1" w:rsidP="0039386E">
            <w:pPr>
              <w:rPr>
                <w:rFonts w:ascii="Arial" w:hAnsi="Arial" w:cs="Arial"/>
              </w:rPr>
            </w:pPr>
            <w:r w:rsidRPr="0039386E">
              <w:rPr>
                <w:rFonts w:ascii="Arial" w:hAnsi="Arial" w:cs="Arial"/>
              </w:rPr>
              <w:t>Patel, Petruccelli</w:t>
            </w:r>
          </w:p>
        </w:tc>
      </w:tr>
      <w:tr w:rsidR="00CB3CF1" w:rsidRPr="0039386E" w14:paraId="011E7757" w14:textId="77777777" w:rsidTr="00CB3CF1">
        <w:trPr>
          <w:trHeight w:val="758"/>
          <w:tblCellSpacing w:w="15" w:type="dxa"/>
        </w:trPr>
        <w:tc>
          <w:tcPr>
            <w:tcW w:w="0" w:type="auto"/>
            <w:tcBorders>
              <w:left w:val="single" w:sz="4" w:space="0" w:color="auto"/>
              <w:bottom w:val="single" w:sz="4" w:space="0" w:color="auto"/>
              <w:right w:val="single" w:sz="4" w:space="0" w:color="auto"/>
            </w:tcBorders>
            <w:vAlign w:val="center"/>
            <w:hideMark/>
          </w:tcPr>
          <w:p w14:paraId="5AE5F163" w14:textId="77777777" w:rsidR="00CB3CF1" w:rsidRPr="0039386E" w:rsidRDefault="00CB3CF1" w:rsidP="0039386E">
            <w:pPr>
              <w:rPr>
                <w:rFonts w:ascii="Arial" w:hAnsi="Arial" w:cs="Arial"/>
              </w:rPr>
            </w:pPr>
            <w:r w:rsidRPr="0039386E">
              <w:rPr>
                <w:rFonts w:ascii="Arial" w:hAnsi="Arial" w:cs="Arial"/>
              </w:rPr>
              <w:t>Early Intervention</w:t>
            </w:r>
          </w:p>
        </w:tc>
        <w:tc>
          <w:tcPr>
            <w:tcW w:w="0" w:type="auto"/>
            <w:tcBorders>
              <w:bottom w:val="single" w:sz="4" w:space="0" w:color="auto"/>
              <w:right w:val="single" w:sz="4" w:space="0" w:color="auto"/>
            </w:tcBorders>
            <w:vAlign w:val="center"/>
            <w:hideMark/>
          </w:tcPr>
          <w:p w14:paraId="426A3FCD" w14:textId="77777777" w:rsidR="00CB3CF1" w:rsidRPr="0039386E" w:rsidRDefault="00CB3CF1" w:rsidP="0039386E">
            <w:pPr>
              <w:rPr>
                <w:rFonts w:ascii="Arial" w:hAnsi="Arial" w:cs="Arial"/>
              </w:rPr>
            </w:pPr>
            <w:r w:rsidRPr="0039386E">
              <w:rPr>
                <w:rFonts w:ascii="Arial" w:hAnsi="Arial" w:cs="Arial"/>
              </w:rPr>
              <w:t>WHO, NICE</w:t>
            </w:r>
          </w:p>
        </w:tc>
      </w:tr>
    </w:tbl>
    <w:p w14:paraId="08D4EC3F" w14:textId="77777777" w:rsidR="00CB3CF1" w:rsidRPr="0039386E" w:rsidRDefault="00CB3CF1" w:rsidP="0039386E">
      <w:pPr>
        <w:rPr>
          <w:rFonts w:ascii="Arial" w:hAnsi="Arial" w:cs="Arial"/>
        </w:rPr>
      </w:pPr>
    </w:p>
    <w:p w14:paraId="6B77E3BC" w14:textId="77777777" w:rsidR="00CB3CF1" w:rsidRPr="0039386E" w:rsidRDefault="00CB3CF1" w:rsidP="0039386E">
      <w:pPr>
        <w:rPr>
          <w:rFonts w:ascii="Arial" w:hAnsi="Arial" w:cs="Arial"/>
        </w:rPr>
      </w:pPr>
    </w:p>
    <w:p w14:paraId="71688723" w14:textId="77777777" w:rsidR="00CB3CF1" w:rsidRPr="0039386E" w:rsidRDefault="00CB3CF1" w:rsidP="0039386E">
      <w:pPr>
        <w:rPr>
          <w:rFonts w:ascii="Arial" w:hAnsi="Arial" w:cs="Arial"/>
        </w:rPr>
      </w:pPr>
    </w:p>
    <w:p w14:paraId="5215383C" w14:textId="77777777" w:rsidR="00CB3CF1" w:rsidRPr="0039386E" w:rsidRDefault="00CB3CF1" w:rsidP="0039386E">
      <w:pPr>
        <w:rPr>
          <w:rFonts w:ascii="Arial" w:hAnsi="Arial" w:cs="Arial"/>
        </w:rPr>
      </w:pPr>
    </w:p>
    <w:p w14:paraId="131B2CA4" w14:textId="77777777" w:rsidR="00CB3CF1" w:rsidRPr="0039386E" w:rsidRDefault="00CB3CF1" w:rsidP="0039386E">
      <w:pPr>
        <w:rPr>
          <w:rFonts w:ascii="Arial" w:hAnsi="Arial" w:cs="Arial"/>
        </w:rPr>
      </w:pPr>
    </w:p>
    <w:p w14:paraId="148C5710" w14:textId="77777777" w:rsidR="00CB3CF1" w:rsidRPr="0039386E" w:rsidRDefault="00CB3CF1" w:rsidP="0039386E">
      <w:pPr>
        <w:rPr>
          <w:rFonts w:ascii="Arial" w:hAnsi="Arial" w:cs="Arial"/>
        </w:rPr>
      </w:pPr>
    </w:p>
    <w:p w14:paraId="66F4BF3A" w14:textId="77777777" w:rsidR="00CB3CF1" w:rsidRPr="0039386E" w:rsidRDefault="00CB3CF1" w:rsidP="0039386E">
      <w:pPr>
        <w:rPr>
          <w:rFonts w:ascii="Arial" w:hAnsi="Arial" w:cs="Arial"/>
        </w:rPr>
      </w:pPr>
    </w:p>
    <w:p w14:paraId="5658F9AC" w14:textId="77777777" w:rsidR="00CB3CF1" w:rsidRPr="0039386E" w:rsidRDefault="00CB3CF1" w:rsidP="0039386E">
      <w:pPr>
        <w:rPr>
          <w:rFonts w:ascii="Arial" w:hAnsi="Arial" w:cs="Arial"/>
        </w:rPr>
      </w:pPr>
    </w:p>
    <w:p w14:paraId="2E6F2103" w14:textId="77777777" w:rsidR="00CB3CF1" w:rsidRPr="0039386E" w:rsidRDefault="00CB3CF1" w:rsidP="0039386E">
      <w:pPr>
        <w:rPr>
          <w:rFonts w:ascii="Arial" w:hAnsi="Arial" w:cs="Arial"/>
        </w:rPr>
      </w:pPr>
    </w:p>
    <w:p w14:paraId="3210011D" w14:textId="77777777" w:rsidR="00CB3CF1" w:rsidRPr="0039386E" w:rsidRDefault="00CB3CF1" w:rsidP="0039386E">
      <w:pPr>
        <w:rPr>
          <w:rFonts w:ascii="Arial" w:hAnsi="Arial" w:cs="Arial"/>
        </w:rPr>
      </w:pPr>
    </w:p>
    <w:p w14:paraId="006B1E4F" w14:textId="77777777" w:rsidR="005D69A0" w:rsidRDefault="005D69A0" w:rsidP="0039386E">
      <w:pPr>
        <w:rPr>
          <w:rFonts w:ascii="Arial" w:hAnsi="Arial" w:cs="Arial"/>
        </w:rPr>
      </w:pPr>
    </w:p>
    <w:p w14:paraId="4B7FE57B" w14:textId="77777777" w:rsidR="00121E88" w:rsidRDefault="00121E88" w:rsidP="0039386E">
      <w:pPr>
        <w:rPr>
          <w:rFonts w:ascii="Arial" w:hAnsi="Arial" w:cs="Arial"/>
        </w:rPr>
      </w:pPr>
    </w:p>
    <w:p w14:paraId="26961347" w14:textId="77777777" w:rsidR="00121E88" w:rsidRDefault="00121E88" w:rsidP="0039386E">
      <w:pPr>
        <w:rPr>
          <w:rFonts w:ascii="Arial" w:hAnsi="Arial" w:cs="Arial"/>
        </w:rPr>
      </w:pPr>
    </w:p>
    <w:p w14:paraId="334B55B5" w14:textId="77777777" w:rsidR="00121E88" w:rsidRDefault="00121E88" w:rsidP="0039386E">
      <w:pPr>
        <w:rPr>
          <w:rFonts w:ascii="Arial" w:hAnsi="Arial" w:cs="Arial"/>
        </w:rPr>
      </w:pPr>
    </w:p>
    <w:p w14:paraId="344F845E" w14:textId="77777777" w:rsidR="00121E88" w:rsidRDefault="00121E88" w:rsidP="0039386E">
      <w:pPr>
        <w:rPr>
          <w:rFonts w:ascii="Arial" w:hAnsi="Arial" w:cs="Arial"/>
        </w:rPr>
      </w:pPr>
    </w:p>
    <w:p w14:paraId="3738687F" w14:textId="77777777" w:rsidR="00121E88" w:rsidRPr="0039386E" w:rsidRDefault="00121E88" w:rsidP="0039386E">
      <w:pPr>
        <w:rPr>
          <w:rFonts w:ascii="Arial" w:hAnsi="Arial" w:cs="Arial"/>
        </w:rPr>
      </w:pPr>
    </w:p>
    <w:p w14:paraId="2B078DCD" w14:textId="7C44F3DE" w:rsidR="00CB3CF1" w:rsidRPr="0039386E" w:rsidRDefault="00CB3CF1" w:rsidP="0039386E">
      <w:pPr>
        <w:rPr>
          <w:rFonts w:ascii="Arial" w:hAnsi="Arial" w:cs="Arial"/>
        </w:rPr>
      </w:pPr>
      <w:r w:rsidRPr="0039386E">
        <w:rPr>
          <w:rFonts w:ascii="Arial" w:hAnsi="Arial" w:cs="Arial"/>
          <w:b/>
          <w:bCs/>
        </w:rPr>
        <w:lastRenderedPageBreak/>
        <w:t>Appendi</w:t>
      </w:r>
      <w:r w:rsidRPr="0039386E">
        <w:rPr>
          <w:rFonts w:ascii="Arial" w:hAnsi="Arial" w:cs="Arial"/>
          <w:b/>
          <w:bCs/>
        </w:rPr>
        <w:t>x</w:t>
      </w:r>
      <w:r w:rsidRPr="0039386E">
        <w:rPr>
          <w:rFonts w:ascii="Arial" w:hAnsi="Arial" w:cs="Arial"/>
          <w:b/>
          <w:bCs/>
        </w:rPr>
        <w:t xml:space="preserve"> F – Research Timeline</w:t>
      </w:r>
    </w:p>
    <w:p w14:paraId="5BD7CA43" w14:textId="77777777" w:rsidR="00CB3CF1" w:rsidRPr="0039386E" w:rsidRDefault="00CB3CF1" w:rsidP="0039386E">
      <w:pPr>
        <w:rPr>
          <w:rFonts w:ascii="Arial" w:hAnsi="Arial" w:cs="Arial"/>
        </w:rPr>
      </w:pPr>
      <w:r w:rsidRPr="0039386E">
        <w:rPr>
          <w:rFonts w:ascii="Arial" w:hAnsi="Arial" w:cs="Arial"/>
          <w:noProof/>
        </w:rPr>
        <w:drawing>
          <wp:inline distT="0" distB="0" distL="0" distR="0" wp14:anchorId="3C116142" wp14:editId="01CCEC22">
            <wp:extent cx="5486400" cy="2763520"/>
            <wp:effectExtent l="0" t="0" r="0" b="0"/>
            <wp:docPr id="21079996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99635" name="Picture 2107999635"/>
                    <pic:cNvPicPr/>
                  </pic:nvPicPr>
                  <pic:blipFill>
                    <a:blip r:embed="rId61"/>
                    <a:stretch>
                      <a:fillRect/>
                    </a:stretch>
                  </pic:blipFill>
                  <pic:spPr>
                    <a:xfrm>
                      <a:off x="0" y="0"/>
                      <a:ext cx="5486400" cy="2763520"/>
                    </a:xfrm>
                    <a:prstGeom prst="rect">
                      <a:avLst/>
                    </a:prstGeom>
                  </pic:spPr>
                </pic:pic>
              </a:graphicData>
            </a:graphic>
          </wp:inline>
        </w:drawing>
      </w:r>
    </w:p>
    <w:p w14:paraId="00774F8D" w14:textId="77777777" w:rsidR="00CB3CF1" w:rsidRPr="0039386E" w:rsidRDefault="00CB3CF1" w:rsidP="0039386E">
      <w:pPr>
        <w:rPr>
          <w:rFonts w:ascii="Arial" w:hAnsi="Arial" w:cs="Arial"/>
        </w:rPr>
      </w:pPr>
    </w:p>
    <w:p w14:paraId="7C337437" w14:textId="77777777" w:rsidR="00CB3CF1" w:rsidRPr="0039386E" w:rsidRDefault="00CB3CF1" w:rsidP="0039386E">
      <w:pPr>
        <w:rPr>
          <w:rFonts w:ascii="Arial" w:hAnsi="Arial" w:cs="Arial"/>
        </w:rPr>
      </w:pPr>
      <w:r w:rsidRPr="0039386E">
        <w:rPr>
          <w:rFonts w:ascii="Arial" w:hAnsi="Arial" w:cs="Arial"/>
          <w:b/>
          <w:bCs/>
        </w:rPr>
        <w:t>Figure H1.</w:t>
      </w:r>
      <w:r w:rsidRPr="0039386E">
        <w:rPr>
          <w:rFonts w:ascii="Arial" w:hAnsi="Arial" w:cs="Arial"/>
        </w:rPr>
        <w:t xml:space="preserve"> </w:t>
      </w:r>
      <w:r w:rsidRPr="0039386E">
        <w:rPr>
          <w:rFonts w:ascii="Arial" w:hAnsi="Arial" w:cs="Arial"/>
          <w:i/>
          <w:iCs/>
        </w:rPr>
        <w:t>Research timeline illustrating the stages undertaken during the completion of this literature review dissertation.</w:t>
      </w:r>
    </w:p>
    <w:p w14:paraId="5CFE5153" w14:textId="77777777" w:rsidR="00CB3CF1" w:rsidRPr="0039386E" w:rsidRDefault="00CB3CF1" w:rsidP="0039386E">
      <w:pPr>
        <w:rPr>
          <w:rFonts w:ascii="Arial" w:hAnsi="Arial" w:cs="Arial"/>
        </w:rPr>
      </w:pPr>
    </w:p>
    <w:p w14:paraId="2382BF63" w14:textId="77777777" w:rsidR="00CB3CF1" w:rsidRPr="0039386E" w:rsidRDefault="00CB3CF1" w:rsidP="0039386E">
      <w:pPr>
        <w:rPr>
          <w:rFonts w:ascii="Arial" w:hAnsi="Arial" w:cs="Arial"/>
        </w:rPr>
      </w:pPr>
    </w:p>
    <w:p w14:paraId="69F4F175" w14:textId="77777777" w:rsidR="00CB3CF1" w:rsidRPr="0039386E" w:rsidRDefault="00CB3CF1" w:rsidP="0039386E">
      <w:pPr>
        <w:rPr>
          <w:rFonts w:ascii="Arial" w:hAnsi="Arial" w:cs="Arial"/>
        </w:rPr>
      </w:pPr>
    </w:p>
    <w:p w14:paraId="74E0140E" w14:textId="77777777" w:rsidR="00CB3CF1" w:rsidRPr="0039386E" w:rsidRDefault="00CB3CF1" w:rsidP="0039386E">
      <w:pPr>
        <w:rPr>
          <w:rFonts w:ascii="Arial" w:hAnsi="Arial" w:cs="Arial"/>
        </w:rPr>
      </w:pPr>
    </w:p>
    <w:p w14:paraId="536E5545" w14:textId="77777777" w:rsidR="00CB3CF1" w:rsidRPr="0039386E" w:rsidRDefault="00CB3CF1" w:rsidP="0039386E">
      <w:pPr>
        <w:rPr>
          <w:rFonts w:ascii="Arial" w:hAnsi="Arial" w:cs="Arial"/>
        </w:rPr>
      </w:pPr>
    </w:p>
    <w:p w14:paraId="4ACA1F64" w14:textId="77777777" w:rsidR="00CB3CF1" w:rsidRPr="0039386E" w:rsidRDefault="00CB3CF1" w:rsidP="0039386E">
      <w:pPr>
        <w:rPr>
          <w:rFonts w:ascii="Arial" w:hAnsi="Arial" w:cs="Arial"/>
        </w:rPr>
      </w:pPr>
    </w:p>
    <w:p w14:paraId="47232BAD" w14:textId="77777777" w:rsidR="00CB3CF1" w:rsidRPr="0039386E" w:rsidRDefault="00CB3CF1" w:rsidP="0039386E">
      <w:pPr>
        <w:rPr>
          <w:rFonts w:ascii="Arial" w:hAnsi="Arial" w:cs="Arial"/>
        </w:rPr>
      </w:pPr>
    </w:p>
    <w:p w14:paraId="2B4F585A" w14:textId="77777777" w:rsidR="00CB3CF1" w:rsidRPr="0039386E" w:rsidRDefault="00CB3CF1" w:rsidP="0039386E">
      <w:pPr>
        <w:rPr>
          <w:rFonts w:ascii="Arial" w:hAnsi="Arial" w:cs="Arial"/>
        </w:rPr>
      </w:pPr>
    </w:p>
    <w:p w14:paraId="1DFD39A2" w14:textId="77777777" w:rsidR="00CB3CF1" w:rsidRPr="0039386E" w:rsidRDefault="00CB3CF1" w:rsidP="0039386E">
      <w:pPr>
        <w:rPr>
          <w:rFonts w:ascii="Arial" w:hAnsi="Arial" w:cs="Arial"/>
        </w:rPr>
      </w:pPr>
    </w:p>
    <w:p w14:paraId="1698B387" w14:textId="77777777" w:rsidR="00CB3CF1" w:rsidRPr="0039386E" w:rsidRDefault="00CB3CF1" w:rsidP="0039386E">
      <w:pPr>
        <w:rPr>
          <w:rFonts w:ascii="Arial" w:hAnsi="Arial" w:cs="Arial"/>
        </w:rPr>
      </w:pPr>
    </w:p>
    <w:p w14:paraId="7B2BF3F1" w14:textId="77777777" w:rsidR="00CB3CF1" w:rsidRPr="0039386E" w:rsidRDefault="00CB3CF1" w:rsidP="0039386E">
      <w:pPr>
        <w:rPr>
          <w:rFonts w:ascii="Arial" w:hAnsi="Arial" w:cs="Arial"/>
        </w:rPr>
      </w:pPr>
    </w:p>
    <w:p w14:paraId="5FBDA26B" w14:textId="77777777" w:rsidR="005D69A0" w:rsidRPr="0039386E" w:rsidRDefault="005D69A0" w:rsidP="0039386E">
      <w:pPr>
        <w:rPr>
          <w:rFonts w:ascii="Arial" w:hAnsi="Arial" w:cs="Arial"/>
        </w:rPr>
      </w:pPr>
    </w:p>
    <w:p w14:paraId="4DA57ABB" w14:textId="77777777" w:rsidR="005D69A0" w:rsidRPr="0039386E" w:rsidRDefault="005D69A0" w:rsidP="0039386E">
      <w:pPr>
        <w:rPr>
          <w:rFonts w:ascii="Arial" w:hAnsi="Arial" w:cs="Arial"/>
        </w:rPr>
      </w:pPr>
    </w:p>
    <w:p w14:paraId="7BC20200" w14:textId="77777777" w:rsidR="00CB3CF1" w:rsidRPr="0039386E" w:rsidRDefault="00CB3CF1" w:rsidP="0039386E">
      <w:pPr>
        <w:rPr>
          <w:rFonts w:ascii="Arial" w:hAnsi="Arial" w:cs="Arial"/>
        </w:rPr>
      </w:pPr>
    </w:p>
    <w:p w14:paraId="603A63B4" w14:textId="71B8DF54" w:rsidR="00CB3CF1" w:rsidRPr="0039386E" w:rsidRDefault="00CB3CF1" w:rsidP="0039386E">
      <w:pPr>
        <w:rPr>
          <w:rFonts w:ascii="Arial" w:hAnsi="Arial" w:cs="Arial"/>
          <w:b/>
          <w:bCs/>
        </w:rPr>
      </w:pPr>
      <w:r w:rsidRPr="0039386E">
        <w:rPr>
          <w:rFonts w:ascii="Arial" w:hAnsi="Arial" w:cs="Arial"/>
          <w:b/>
          <w:bCs/>
        </w:rPr>
        <w:lastRenderedPageBreak/>
        <w:t>Appendi</w:t>
      </w:r>
      <w:r w:rsidRPr="0039386E">
        <w:rPr>
          <w:rFonts w:ascii="Arial" w:hAnsi="Arial" w:cs="Arial"/>
          <w:b/>
          <w:bCs/>
        </w:rPr>
        <w:t>x</w:t>
      </w:r>
      <w:r w:rsidRPr="0039386E">
        <w:rPr>
          <w:rFonts w:ascii="Arial" w:hAnsi="Arial" w:cs="Arial"/>
          <w:b/>
          <w:bCs/>
        </w:rPr>
        <w:t xml:space="preserve"> G – Ethical Considerations</w:t>
      </w:r>
    </w:p>
    <w:p w14:paraId="3B0FD3AC" w14:textId="77777777" w:rsidR="00CB3CF1" w:rsidRPr="0039386E" w:rsidRDefault="00CB3CF1" w:rsidP="0039386E">
      <w:pPr>
        <w:rPr>
          <w:rFonts w:ascii="Arial" w:hAnsi="Arial" w:cs="Arial"/>
        </w:rPr>
      </w:pPr>
      <w:r w:rsidRPr="0039386E">
        <w:rPr>
          <w:rFonts w:ascii="Arial" w:hAnsi="Arial" w:cs="Arial"/>
        </w:rPr>
        <w:t>About one page explaining:</w:t>
      </w:r>
    </w:p>
    <w:p w14:paraId="69383ACF"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Literature review </w:t>
      </w:r>
    </w:p>
    <w:p w14:paraId="2D35026C"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No participants </w:t>
      </w:r>
    </w:p>
    <w:p w14:paraId="65AAC04D"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No NHS approval </w:t>
      </w:r>
    </w:p>
    <w:p w14:paraId="62A0265C"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GDPR </w:t>
      </w:r>
    </w:p>
    <w:p w14:paraId="34EC6FD7"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Academic integrity </w:t>
      </w:r>
    </w:p>
    <w:p w14:paraId="6D8B4B77"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Copyright </w:t>
      </w:r>
    </w:p>
    <w:p w14:paraId="13DB158F" w14:textId="77777777" w:rsidR="00CB3CF1" w:rsidRPr="0039386E" w:rsidRDefault="00CB3CF1" w:rsidP="0039386E">
      <w:pPr>
        <w:numPr>
          <w:ilvl w:val="0"/>
          <w:numId w:val="103"/>
        </w:numPr>
        <w:spacing w:after="200"/>
        <w:rPr>
          <w:rFonts w:ascii="Arial" w:hAnsi="Arial" w:cs="Arial"/>
        </w:rPr>
      </w:pPr>
      <w:r w:rsidRPr="0039386E">
        <w:rPr>
          <w:rFonts w:ascii="Arial" w:hAnsi="Arial" w:cs="Arial"/>
        </w:rPr>
        <w:t xml:space="preserve">UWTSD Harvard referencing </w:t>
      </w:r>
    </w:p>
    <w:p w14:paraId="56D6D634" w14:textId="77777777" w:rsidR="00CB3CF1" w:rsidRPr="0039386E" w:rsidRDefault="00CB3CF1" w:rsidP="0039386E">
      <w:pPr>
        <w:rPr>
          <w:rFonts w:ascii="Arial" w:hAnsi="Arial" w:cs="Arial"/>
        </w:rPr>
      </w:pPr>
    </w:p>
    <w:p w14:paraId="0AE47F22" w14:textId="77777777" w:rsidR="00CB3CF1" w:rsidRPr="0039386E" w:rsidRDefault="00CB3CF1" w:rsidP="0039386E">
      <w:pPr>
        <w:rPr>
          <w:rFonts w:ascii="Arial" w:hAnsi="Arial" w:cs="Arial"/>
        </w:rPr>
      </w:pPr>
    </w:p>
    <w:p w14:paraId="7AEDE096" w14:textId="77777777" w:rsidR="00CB3CF1" w:rsidRPr="0039386E" w:rsidRDefault="00CB3CF1" w:rsidP="0039386E">
      <w:pPr>
        <w:rPr>
          <w:rFonts w:ascii="Arial" w:hAnsi="Arial" w:cs="Arial"/>
        </w:rPr>
      </w:pPr>
    </w:p>
    <w:p w14:paraId="12CDE543" w14:textId="77777777" w:rsidR="00CB3CF1" w:rsidRPr="0039386E" w:rsidRDefault="00CB3CF1" w:rsidP="0039386E">
      <w:pPr>
        <w:rPr>
          <w:rFonts w:ascii="Arial" w:hAnsi="Arial" w:cs="Arial"/>
        </w:rPr>
      </w:pPr>
    </w:p>
    <w:p w14:paraId="7FE0FE19" w14:textId="77777777" w:rsidR="00CB3CF1" w:rsidRPr="0039386E" w:rsidRDefault="00CB3CF1" w:rsidP="0039386E">
      <w:pPr>
        <w:rPr>
          <w:rFonts w:ascii="Arial" w:hAnsi="Arial" w:cs="Arial"/>
        </w:rPr>
      </w:pPr>
    </w:p>
    <w:p w14:paraId="7580FF36" w14:textId="77777777" w:rsidR="00CB3CF1" w:rsidRPr="0039386E" w:rsidRDefault="00CB3CF1" w:rsidP="0039386E">
      <w:pPr>
        <w:rPr>
          <w:rFonts w:ascii="Arial" w:hAnsi="Arial" w:cs="Arial"/>
        </w:rPr>
      </w:pPr>
    </w:p>
    <w:p w14:paraId="70CBBDD0" w14:textId="77777777" w:rsidR="00CB3CF1" w:rsidRPr="0039386E" w:rsidRDefault="00CB3CF1" w:rsidP="0039386E">
      <w:pPr>
        <w:rPr>
          <w:rFonts w:ascii="Arial" w:hAnsi="Arial" w:cs="Arial"/>
        </w:rPr>
      </w:pPr>
    </w:p>
    <w:p w14:paraId="533DD6DD" w14:textId="77777777" w:rsidR="00CB3CF1" w:rsidRPr="0039386E" w:rsidRDefault="00CB3CF1" w:rsidP="0039386E">
      <w:pPr>
        <w:rPr>
          <w:rFonts w:ascii="Arial" w:hAnsi="Arial" w:cs="Arial"/>
        </w:rPr>
      </w:pPr>
    </w:p>
    <w:p w14:paraId="0668B155" w14:textId="77777777" w:rsidR="00CB3CF1" w:rsidRPr="0039386E" w:rsidRDefault="00CB3CF1" w:rsidP="0039386E">
      <w:pPr>
        <w:rPr>
          <w:rFonts w:ascii="Arial" w:hAnsi="Arial" w:cs="Arial"/>
        </w:rPr>
      </w:pPr>
    </w:p>
    <w:p w14:paraId="7967C392" w14:textId="77777777" w:rsidR="00CB3CF1" w:rsidRPr="0039386E" w:rsidRDefault="00CB3CF1" w:rsidP="0039386E">
      <w:pPr>
        <w:rPr>
          <w:rFonts w:ascii="Arial" w:hAnsi="Arial" w:cs="Arial"/>
        </w:rPr>
      </w:pPr>
    </w:p>
    <w:p w14:paraId="1CC6B300" w14:textId="77777777" w:rsidR="00CB3CF1" w:rsidRPr="0039386E" w:rsidRDefault="00CB3CF1" w:rsidP="0039386E">
      <w:pPr>
        <w:rPr>
          <w:rFonts w:ascii="Arial" w:hAnsi="Arial" w:cs="Arial"/>
        </w:rPr>
      </w:pPr>
    </w:p>
    <w:p w14:paraId="0DCDBD54" w14:textId="77777777" w:rsidR="00CB3CF1" w:rsidRPr="0039386E" w:rsidRDefault="00CB3CF1" w:rsidP="0039386E">
      <w:pPr>
        <w:rPr>
          <w:rFonts w:ascii="Arial" w:hAnsi="Arial" w:cs="Arial"/>
        </w:rPr>
      </w:pPr>
    </w:p>
    <w:p w14:paraId="127FD390" w14:textId="77777777" w:rsidR="00CB3CF1" w:rsidRPr="0039386E" w:rsidRDefault="00CB3CF1" w:rsidP="0039386E">
      <w:pPr>
        <w:rPr>
          <w:rFonts w:ascii="Arial" w:hAnsi="Arial" w:cs="Arial"/>
        </w:rPr>
      </w:pPr>
    </w:p>
    <w:p w14:paraId="62FB62A2" w14:textId="77777777" w:rsidR="00CB3CF1" w:rsidRPr="0039386E" w:rsidRDefault="00CB3CF1" w:rsidP="0039386E">
      <w:pPr>
        <w:rPr>
          <w:rFonts w:ascii="Arial" w:hAnsi="Arial" w:cs="Arial"/>
        </w:rPr>
      </w:pPr>
    </w:p>
    <w:p w14:paraId="6B73780D" w14:textId="77777777" w:rsidR="00CB3CF1" w:rsidRPr="0039386E" w:rsidRDefault="00CB3CF1" w:rsidP="0039386E">
      <w:pPr>
        <w:rPr>
          <w:rFonts w:ascii="Arial" w:hAnsi="Arial" w:cs="Arial"/>
        </w:rPr>
      </w:pPr>
    </w:p>
    <w:p w14:paraId="28E4E714" w14:textId="77777777" w:rsidR="00CB3CF1" w:rsidRPr="0039386E" w:rsidRDefault="00CB3CF1" w:rsidP="0039386E">
      <w:pPr>
        <w:rPr>
          <w:rFonts w:ascii="Arial" w:hAnsi="Arial" w:cs="Arial"/>
        </w:rPr>
      </w:pPr>
    </w:p>
    <w:p w14:paraId="7081C081" w14:textId="417BE24D" w:rsidR="00CB3CF1" w:rsidRPr="0039386E" w:rsidRDefault="00CB3CF1" w:rsidP="0039386E">
      <w:pPr>
        <w:rPr>
          <w:rFonts w:ascii="Arial" w:hAnsi="Arial" w:cs="Arial"/>
          <w:b/>
          <w:bCs/>
        </w:rPr>
      </w:pPr>
      <w:r w:rsidRPr="0039386E">
        <w:rPr>
          <w:rFonts w:ascii="Arial" w:hAnsi="Arial" w:cs="Arial"/>
          <w:b/>
          <w:bCs/>
        </w:rPr>
        <w:lastRenderedPageBreak/>
        <w:t>Appendix</w:t>
      </w:r>
      <w:r w:rsidRPr="0039386E">
        <w:rPr>
          <w:rFonts w:ascii="Arial" w:hAnsi="Arial" w:cs="Arial"/>
          <w:b/>
          <w:bCs/>
        </w:rPr>
        <w:t xml:space="preserve"> H – Abbreviations</w:t>
      </w:r>
    </w:p>
    <w:tbl>
      <w:tblPr>
        <w:tblW w:w="8143" w:type="dxa"/>
        <w:tblCellSpacing w:w="15" w:type="dxa"/>
        <w:tblCellMar>
          <w:top w:w="15" w:type="dxa"/>
          <w:left w:w="15" w:type="dxa"/>
          <w:bottom w:w="15" w:type="dxa"/>
          <w:right w:w="15" w:type="dxa"/>
        </w:tblCellMar>
        <w:tblLook w:val="04A0" w:firstRow="1" w:lastRow="0" w:firstColumn="1" w:lastColumn="0" w:noHBand="0" w:noVBand="1"/>
      </w:tblPr>
      <w:tblGrid>
        <w:gridCol w:w="1850"/>
        <w:gridCol w:w="6293"/>
      </w:tblGrid>
      <w:tr w:rsidR="00CB3CF1" w:rsidRPr="0039386E" w14:paraId="31E2DE23" w14:textId="77777777" w:rsidTr="00CB3CF1">
        <w:trPr>
          <w:trHeight w:val="819"/>
          <w:tblHeader/>
          <w:tblCellSpacing w:w="15" w:type="dxa"/>
        </w:trPr>
        <w:tc>
          <w:tcPr>
            <w:tcW w:w="0" w:type="auto"/>
            <w:tcBorders>
              <w:top w:val="single" w:sz="4" w:space="0" w:color="auto"/>
              <w:left w:val="single" w:sz="4" w:space="0" w:color="auto"/>
            </w:tcBorders>
            <w:vAlign w:val="center"/>
            <w:hideMark/>
          </w:tcPr>
          <w:p w14:paraId="3CC317B0" w14:textId="77777777" w:rsidR="00CB3CF1" w:rsidRPr="0039386E" w:rsidRDefault="00CB3CF1" w:rsidP="0039386E">
            <w:pPr>
              <w:rPr>
                <w:rFonts w:ascii="Arial" w:hAnsi="Arial" w:cs="Arial"/>
                <w:b/>
                <w:bCs/>
              </w:rPr>
            </w:pPr>
            <w:r w:rsidRPr="0039386E">
              <w:rPr>
                <w:rFonts w:ascii="Arial" w:hAnsi="Arial" w:cs="Arial"/>
                <w:b/>
                <w:bCs/>
              </w:rPr>
              <w:t>Abbreviation</w:t>
            </w:r>
          </w:p>
        </w:tc>
        <w:tc>
          <w:tcPr>
            <w:tcW w:w="0" w:type="auto"/>
            <w:tcBorders>
              <w:top w:val="single" w:sz="4" w:space="0" w:color="auto"/>
              <w:left w:val="single" w:sz="4" w:space="0" w:color="auto"/>
              <w:right w:val="single" w:sz="4" w:space="0" w:color="auto"/>
            </w:tcBorders>
            <w:vAlign w:val="center"/>
            <w:hideMark/>
          </w:tcPr>
          <w:p w14:paraId="23709A79" w14:textId="77777777" w:rsidR="00CB3CF1" w:rsidRPr="0039386E" w:rsidRDefault="00CB3CF1" w:rsidP="0039386E">
            <w:pPr>
              <w:rPr>
                <w:rFonts w:ascii="Arial" w:hAnsi="Arial" w:cs="Arial"/>
                <w:b/>
                <w:bCs/>
              </w:rPr>
            </w:pPr>
            <w:r w:rsidRPr="0039386E">
              <w:rPr>
                <w:rFonts w:ascii="Arial" w:hAnsi="Arial" w:cs="Arial"/>
                <w:b/>
                <w:bCs/>
              </w:rPr>
              <w:t xml:space="preserve">              Meaning</w:t>
            </w:r>
          </w:p>
        </w:tc>
      </w:tr>
      <w:tr w:rsidR="00CB3CF1" w:rsidRPr="0039386E" w14:paraId="7739C634" w14:textId="77777777" w:rsidTr="00CB3CF1">
        <w:trPr>
          <w:trHeight w:val="857"/>
          <w:tblCellSpacing w:w="15" w:type="dxa"/>
        </w:trPr>
        <w:tc>
          <w:tcPr>
            <w:tcW w:w="0" w:type="auto"/>
            <w:tcBorders>
              <w:top w:val="single" w:sz="4" w:space="0" w:color="auto"/>
              <w:left w:val="single" w:sz="4" w:space="0" w:color="auto"/>
              <w:bottom w:val="single" w:sz="4" w:space="0" w:color="auto"/>
            </w:tcBorders>
            <w:vAlign w:val="center"/>
            <w:hideMark/>
          </w:tcPr>
          <w:p w14:paraId="6770B7CF" w14:textId="77777777" w:rsidR="00CB3CF1" w:rsidRPr="0039386E" w:rsidRDefault="00CB3CF1" w:rsidP="0039386E">
            <w:pPr>
              <w:rPr>
                <w:rFonts w:ascii="Arial" w:hAnsi="Arial" w:cs="Arial"/>
              </w:rPr>
            </w:pPr>
            <w:r w:rsidRPr="0039386E">
              <w:rPr>
                <w:rFonts w:ascii="Arial" w:hAnsi="Arial" w:cs="Arial"/>
              </w:rPr>
              <w:t>ADHD</w:t>
            </w:r>
          </w:p>
        </w:tc>
        <w:tc>
          <w:tcPr>
            <w:tcW w:w="0" w:type="auto"/>
            <w:tcBorders>
              <w:top w:val="single" w:sz="4" w:space="0" w:color="auto"/>
              <w:left w:val="single" w:sz="4" w:space="0" w:color="auto"/>
              <w:bottom w:val="single" w:sz="4" w:space="0" w:color="auto"/>
              <w:right w:val="single" w:sz="4" w:space="0" w:color="auto"/>
            </w:tcBorders>
            <w:vAlign w:val="center"/>
            <w:hideMark/>
          </w:tcPr>
          <w:p w14:paraId="6A486AE5" w14:textId="77777777" w:rsidR="00CB3CF1" w:rsidRPr="0039386E" w:rsidRDefault="00CB3CF1" w:rsidP="0039386E">
            <w:pPr>
              <w:rPr>
                <w:rFonts w:ascii="Arial" w:hAnsi="Arial" w:cs="Arial"/>
              </w:rPr>
            </w:pPr>
            <w:r w:rsidRPr="0039386E">
              <w:rPr>
                <w:rFonts w:ascii="Arial" w:hAnsi="Arial" w:cs="Arial"/>
              </w:rPr>
              <w:t>Attention Deficit Hyperactivity Disorder</w:t>
            </w:r>
          </w:p>
        </w:tc>
      </w:tr>
      <w:tr w:rsidR="00CB3CF1" w:rsidRPr="0039386E" w14:paraId="0B42E0B5" w14:textId="77777777" w:rsidTr="00CB3CF1">
        <w:trPr>
          <w:trHeight w:val="819"/>
          <w:tblCellSpacing w:w="15" w:type="dxa"/>
        </w:trPr>
        <w:tc>
          <w:tcPr>
            <w:tcW w:w="0" w:type="auto"/>
            <w:tcBorders>
              <w:left w:val="single" w:sz="4" w:space="0" w:color="auto"/>
              <w:bottom w:val="single" w:sz="4" w:space="0" w:color="auto"/>
            </w:tcBorders>
            <w:vAlign w:val="center"/>
            <w:hideMark/>
          </w:tcPr>
          <w:p w14:paraId="7E75B21F" w14:textId="77777777" w:rsidR="00CB3CF1" w:rsidRPr="0039386E" w:rsidRDefault="00CB3CF1" w:rsidP="0039386E">
            <w:pPr>
              <w:rPr>
                <w:rFonts w:ascii="Arial" w:hAnsi="Arial" w:cs="Arial"/>
              </w:rPr>
            </w:pPr>
            <w:r w:rsidRPr="0039386E">
              <w:rPr>
                <w:rFonts w:ascii="Arial" w:hAnsi="Arial" w:cs="Arial"/>
              </w:rPr>
              <w:t>CAMHS</w:t>
            </w:r>
          </w:p>
        </w:tc>
        <w:tc>
          <w:tcPr>
            <w:tcW w:w="0" w:type="auto"/>
            <w:tcBorders>
              <w:left w:val="single" w:sz="4" w:space="0" w:color="auto"/>
              <w:bottom w:val="single" w:sz="4" w:space="0" w:color="auto"/>
              <w:right w:val="single" w:sz="4" w:space="0" w:color="auto"/>
            </w:tcBorders>
            <w:vAlign w:val="center"/>
            <w:hideMark/>
          </w:tcPr>
          <w:p w14:paraId="043F4B92" w14:textId="77777777" w:rsidR="00CB3CF1" w:rsidRPr="0039386E" w:rsidRDefault="00CB3CF1" w:rsidP="0039386E">
            <w:pPr>
              <w:rPr>
                <w:rFonts w:ascii="Arial" w:hAnsi="Arial" w:cs="Arial"/>
              </w:rPr>
            </w:pPr>
            <w:r w:rsidRPr="0039386E">
              <w:rPr>
                <w:rFonts w:ascii="Arial" w:hAnsi="Arial" w:cs="Arial"/>
              </w:rPr>
              <w:t>Child and Adolescent Mental Health Services</w:t>
            </w:r>
          </w:p>
        </w:tc>
      </w:tr>
      <w:tr w:rsidR="00CB3CF1" w:rsidRPr="0039386E" w14:paraId="0DFDA0DE" w14:textId="77777777" w:rsidTr="00CB3CF1">
        <w:trPr>
          <w:trHeight w:val="819"/>
          <w:tblCellSpacing w:w="15" w:type="dxa"/>
        </w:trPr>
        <w:tc>
          <w:tcPr>
            <w:tcW w:w="0" w:type="auto"/>
            <w:tcBorders>
              <w:left w:val="single" w:sz="4" w:space="0" w:color="auto"/>
            </w:tcBorders>
            <w:vAlign w:val="center"/>
            <w:hideMark/>
          </w:tcPr>
          <w:p w14:paraId="1FB329DE" w14:textId="77777777" w:rsidR="00CB3CF1" w:rsidRPr="0039386E" w:rsidRDefault="00CB3CF1" w:rsidP="0039386E">
            <w:pPr>
              <w:rPr>
                <w:rFonts w:ascii="Arial" w:hAnsi="Arial" w:cs="Arial"/>
              </w:rPr>
            </w:pPr>
            <w:r w:rsidRPr="0039386E">
              <w:rPr>
                <w:rFonts w:ascii="Arial" w:hAnsi="Arial" w:cs="Arial"/>
              </w:rPr>
              <w:t>NICE</w:t>
            </w:r>
          </w:p>
        </w:tc>
        <w:tc>
          <w:tcPr>
            <w:tcW w:w="0" w:type="auto"/>
            <w:tcBorders>
              <w:left w:val="single" w:sz="4" w:space="0" w:color="auto"/>
              <w:right w:val="single" w:sz="4" w:space="0" w:color="auto"/>
            </w:tcBorders>
            <w:vAlign w:val="center"/>
            <w:hideMark/>
          </w:tcPr>
          <w:p w14:paraId="3759E046" w14:textId="77777777" w:rsidR="00CB3CF1" w:rsidRPr="0039386E" w:rsidRDefault="00CB3CF1" w:rsidP="0039386E">
            <w:pPr>
              <w:rPr>
                <w:rFonts w:ascii="Arial" w:hAnsi="Arial" w:cs="Arial"/>
              </w:rPr>
            </w:pPr>
            <w:r w:rsidRPr="0039386E">
              <w:rPr>
                <w:rFonts w:ascii="Arial" w:hAnsi="Arial" w:cs="Arial"/>
              </w:rPr>
              <w:t>National Institute for Health and Care Excellence</w:t>
            </w:r>
          </w:p>
        </w:tc>
      </w:tr>
      <w:tr w:rsidR="00CB3CF1" w:rsidRPr="0039386E" w14:paraId="430D0B52" w14:textId="77777777" w:rsidTr="00CB3CF1">
        <w:trPr>
          <w:trHeight w:val="857"/>
          <w:tblCellSpacing w:w="15" w:type="dxa"/>
        </w:trPr>
        <w:tc>
          <w:tcPr>
            <w:tcW w:w="0" w:type="auto"/>
            <w:tcBorders>
              <w:top w:val="single" w:sz="4" w:space="0" w:color="auto"/>
              <w:left w:val="single" w:sz="4" w:space="0" w:color="auto"/>
              <w:bottom w:val="single" w:sz="4" w:space="0" w:color="auto"/>
            </w:tcBorders>
            <w:vAlign w:val="center"/>
            <w:hideMark/>
          </w:tcPr>
          <w:p w14:paraId="56112A68" w14:textId="77777777" w:rsidR="00CB3CF1" w:rsidRPr="0039386E" w:rsidRDefault="00CB3CF1" w:rsidP="0039386E">
            <w:pPr>
              <w:rPr>
                <w:rFonts w:ascii="Arial" w:hAnsi="Arial" w:cs="Arial"/>
              </w:rPr>
            </w:pPr>
            <w:r w:rsidRPr="0039386E">
              <w:rPr>
                <w:rFonts w:ascii="Arial" w:hAnsi="Arial" w:cs="Arial"/>
              </w:rPr>
              <w:t>WHO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94B5BD" w14:textId="77777777" w:rsidR="00CB3CF1" w:rsidRPr="0039386E" w:rsidRDefault="00CB3CF1" w:rsidP="0039386E">
            <w:pPr>
              <w:rPr>
                <w:rFonts w:ascii="Arial" w:hAnsi="Arial" w:cs="Arial"/>
              </w:rPr>
            </w:pPr>
            <w:r w:rsidRPr="0039386E">
              <w:rPr>
                <w:rFonts w:ascii="Arial" w:hAnsi="Arial" w:cs="Arial"/>
              </w:rPr>
              <w:t>World Health Organization</w:t>
            </w:r>
          </w:p>
        </w:tc>
      </w:tr>
      <w:tr w:rsidR="00CB3CF1" w:rsidRPr="0039386E" w14:paraId="0E64F9B2" w14:textId="77777777" w:rsidTr="00CB3CF1">
        <w:trPr>
          <w:trHeight w:val="838"/>
          <w:tblCellSpacing w:w="15" w:type="dxa"/>
        </w:trPr>
        <w:tc>
          <w:tcPr>
            <w:tcW w:w="0" w:type="auto"/>
            <w:tcBorders>
              <w:left w:val="single" w:sz="4" w:space="0" w:color="auto"/>
              <w:bottom w:val="single" w:sz="4" w:space="0" w:color="auto"/>
            </w:tcBorders>
            <w:vAlign w:val="center"/>
            <w:hideMark/>
          </w:tcPr>
          <w:p w14:paraId="667825C6" w14:textId="77777777" w:rsidR="00CB3CF1" w:rsidRPr="0039386E" w:rsidRDefault="00CB3CF1" w:rsidP="0039386E">
            <w:pPr>
              <w:rPr>
                <w:rFonts w:ascii="Arial" w:hAnsi="Arial" w:cs="Arial"/>
              </w:rPr>
            </w:pPr>
            <w:r w:rsidRPr="0039386E">
              <w:rPr>
                <w:rFonts w:ascii="Arial" w:hAnsi="Arial" w:cs="Arial"/>
              </w:rPr>
              <w:t>ACEs</w:t>
            </w:r>
          </w:p>
        </w:tc>
        <w:tc>
          <w:tcPr>
            <w:tcW w:w="0" w:type="auto"/>
            <w:tcBorders>
              <w:left w:val="single" w:sz="4" w:space="0" w:color="auto"/>
              <w:bottom w:val="single" w:sz="4" w:space="0" w:color="auto"/>
              <w:right w:val="single" w:sz="4" w:space="0" w:color="auto"/>
            </w:tcBorders>
            <w:vAlign w:val="center"/>
            <w:hideMark/>
          </w:tcPr>
          <w:p w14:paraId="2A4E06BB" w14:textId="77777777" w:rsidR="00CB3CF1" w:rsidRPr="0039386E" w:rsidRDefault="00CB3CF1" w:rsidP="0039386E">
            <w:pPr>
              <w:rPr>
                <w:rFonts w:ascii="Arial" w:hAnsi="Arial" w:cs="Arial"/>
              </w:rPr>
            </w:pPr>
            <w:r w:rsidRPr="0039386E">
              <w:rPr>
                <w:rFonts w:ascii="Arial" w:hAnsi="Arial" w:cs="Arial"/>
              </w:rPr>
              <w:t>Adverse Childhood Experiences</w:t>
            </w:r>
          </w:p>
        </w:tc>
      </w:tr>
      <w:tr w:rsidR="00CB3CF1" w:rsidRPr="0039386E" w14:paraId="3F373A20" w14:textId="77777777" w:rsidTr="00CB3CF1">
        <w:trPr>
          <w:trHeight w:val="819"/>
          <w:tblCellSpacing w:w="15" w:type="dxa"/>
        </w:trPr>
        <w:tc>
          <w:tcPr>
            <w:tcW w:w="0" w:type="auto"/>
            <w:tcBorders>
              <w:left w:val="single" w:sz="4" w:space="0" w:color="auto"/>
              <w:bottom w:val="single" w:sz="4" w:space="0" w:color="auto"/>
            </w:tcBorders>
            <w:vAlign w:val="center"/>
            <w:hideMark/>
          </w:tcPr>
          <w:p w14:paraId="52CBD943" w14:textId="77777777" w:rsidR="00CB3CF1" w:rsidRPr="0039386E" w:rsidRDefault="00CB3CF1" w:rsidP="0039386E">
            <w:pPr>
              <w:rPr>
                <w:rFonts w:ascii="Arial" w:hAnsi="Arial" w:cs="Arial"/>
              </w:rPr>
            </w:pPr>
            <w:r w:rsidRPr="0039386E">
              <w:rPr>
                <w:rFonts w:ascii="Arial" w:hAnsi="Arial" w:cs="Arial"/>
              </w:rPr>
              <w:t>CBT</w:t>
            </w:r>
          </w:p>
        </w:tc>
        <w:tc>
          <w:tcPr>
            <w:tcW w:w="0" w:type="auto"/>
            <w:tcBorders>
              <w:left w:val="single" w:sz="4" w:space="0" w:color="auto"/>
              <w:bottom w:val="single" w:sz="4" w:space="0" w:color="auto"/>
              <w:right w:val="single" w:sz="4" w:space="0" w:color="auto"/>
            </w:tcBorders>
            <w:vAlign w:val="center"/>
            <w:hideMark/>
          </w:tcPr>
          <w:p w14:paraId="715AB0A2" w14:textId="77777777" w:rsidR="00CB3CF1" w:rsidRPr="0039386E" w:rsidRDefault="00CB3CF1" w:rsidP="0039386E">
            <w:pPr>
              <w:rPr>
                <w:rFonts w:ascii="Arial" w:hAnsi="Arial" w:cs="Arial"/>
              </w:rPr>
            </w:pPr>
            <w:r w:rsidRPr="0039386E">
              <w:rPr>
                <w:rFonts w:ascii="Arial" w:hAnsi="Arial" w:cs="Arial"/>
              </w:rPr>
              <w:t>Cognitive Behavioural Therapy</w:t>
            </w:r>
          </w:p>
        </w:tc>
      </w:tr>
    </w:tbl>
    <w:p w14:paraId="44BDC075" w14:textId="77777777" w:rsidR="00CB3CF1" w:rsidRPr="0039386E" w:rsidRDefault="00CB3CF1" w:rsidP="0039386E">
      <w:pPr>
        <w:rPr>
          <w:rFonts w:ascii="Arial" w:hAnsi="Arial" w:cs="Arial"/>
        </w:rPr>
      </w:pPr>
    </w:p>
    <w:p w14:paraId="78D375C0" w14:textId="77777777" w:rsidR="008C38C3" w:rsidRPr="0039386E" w:rsidRDefault="008C38C3" w:rsidP="0039386E">
      <w:pPr>
        <w:rPr>
          <w:rFonts w:ascii="Arial" w:hAnsi="Arial" w:cs="Arial"/>
        </w:rPr>
      </w:pPr>
    </w:p>
    <w:p w14:paraId="0D5F3838" w14:textId="77777777" w:rsidR="008C38C3" w:rsidRPr="0039386E" w:rsidRDefault="008C38C3" w:rsidP="0039386E">
      <w:pPr>
        <w:rPr>
          <w:rFonts w:ascii="Arial" w:hAnsi="Arial" w:cs="Arial"/>
        </w:rPr>
      </w:pPr>
    </w:p>
    <w:p w14:paraId="438D3C08" w14:textId="77777777" w:rsidR="008C38C3" w:rsidRPr="0039386E" w:rsidRDefault="008C38C3" w:rsidP="0039386E">
      <w:pPr>
        <w:rPr>
          <w:rFonts w:ascii="Arial" w:hAnsi="Arial" w:cs="Arial"/>
        </w:rPr>
      </w:pPr>
    </w:p>
    <w:p w14:paraId="18FF6044" w14:textId="77777777" w:rsidR="008C38C3" w:rsidRPr="0039386E" w:rsidRDefault="008C38C3" w:rsidP="0039386E">
      <w:pPr>
        <w:rPr>
          <w:rFonts w:ascii="Arial" w:hAnsi="Arial" w:cs="Arial"/>
        </w:rPr>
      </w:pPr>
    </w:p>
    <w:p w14:paraId="268CFD1F" w14:textId="77777777" w:rsidR="008C38C3" w:rsidRPr="0039386E" w:rsidRDefault="008C38C3" w:rsidP="0039386E">
      <w:pPr>
        <w:rPr>
          <w:rFonts w:ascii="Arial" w:hAnsi="Arial" w:cs="Arial"/>
        </w:rPr>
      </w:pPr>
    </w:p>
    <w:p w14:paraId="2440A778" w14:textId="77777777" w:rsidR="008C38C3" w:rsidRPr="0039386E" w:rsidRDefault="008C38C3" w:rsidP="0039386E">
      <w:pPr>
        <w:rPr>
          <w:rFonts w:ascii="Arial" w:hAnsi="Arial" w:cs="Arial"/>
        </w:rPr>
      </w:pPr>
    </w:p>
    <w:p w14:paraId="5122D4D8" w14:textId="77777777" w:rsidR="008C38C3" w:rsidRPr="0039386E" w:rsidRDefault="008C38C3" w:rsidP="0039386E">
      <w:pPr>
        <w:rPr>
          <w:rFonts w:ascii="Arial" w:hAnsi="Arial" w:cs="Arial"/>
        </w:rPr>
      </w:pPr>
    </w:p>
    <w:p w14:paraId="4944E244" w14:textId="77777777" w:rsidR="008C38C3" w:rsidRPr="0039386E" w:rsidRDefault="008C38C3" w:rsidP="0039386E">
      <w:pPr>
        <w:rPr>
          <w:rFonts w:ascii="Arial" w:hAnsi="Arial" w:cs="Arial"/>
        </w:rPr>
      </w:pPr>
    </w:p>
    <w:p w14:paraId="5DA0FD87" w14:textId="77777777" w:rsidR="008C38C3" w:rsidRPr="0039386E" w:rsidRDefault="008C38C3" w:rsidP="0039386E">
      <w:pPr>
        <w:rPr>
          <w:rFonts w:ascii="Arial" w:hAnsi="Arial" w:cs="Arial"/>
        </w:rPr>
      </w:pPr>
    </w:p>
    <w:p w14:paraId="6ED1B63A" w14:textId="77777777" w:rsidR="000264A2" w:rsidRPr="0039386E" w:rsidRDefault="000264A2" w:rsidP="0039386E">
      <w:pPr>
        <w:rPr>
          <w:rFonts w:ascii="Arial" w:hAnsi="Arial" w:cs="Arial"/>
        </w:rPr>
      </w:pPr>
    </w:p>
    <w:p w14:paraId="01E01220" w14:textId="77777777" w:rsidR="008C38C3" w:rsidRPr="0039386E" w:rsidRDefault="008C38C3" w:rsidP="0039386E">
      <w:pPr>
        <w:rPr>
          <w:rFonts w:ascii="Arial" w:hAnsi="Arial" w:cs="Arial"/>
        </w:rPr>
      </w:pPr>
    </w:p>
    <w:p w14:paraId="70C7CA0C" w14:textId="77777777" w:rsidR="008C38C3" w:rsidRPr="0039386E" w:rsidRDefault="008C38C3" w:rsidP="0039386E">
      <w:pPr>
        <w:rPr>
          <w:rFonts w:ascii="Arial" w:hAnsi="Arial" w:cs="Arial"/>
        </w:rPr>
      </w:pPr>
    </w:p>
    <w:sectPr w:rsidR="008C38C3" w:rsidRPr="0039386E">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AC4AE" w14:textId="77777777" w:rsidR="00E80862" w:rsidRDefault="00E80862" w:rsidP="00211184">
      <w:pPr>
        <w:spacing w:after="0" w:line="240" w:lineRule="auto"/>
      </w:pPr>
      <w:r>
        <w:separator/>
      </w:r>
    </w:p>
  </w:endnote>
  <w:endnote w:type="continuationSeparator" w:id="0">
    <w:p w14:paraId="729B24E2" w14:textId="77777777" w:rsidR="00E80862" w:rsidRDefault="00E80862"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20619" w14:textId="77777777" w:rsidR="00E80862" w:rsidRDefault="00E80862" w:rsidP="00211184">
      <w:pPr>
        <w:spacing w:after="0" w:line="240" w:lineRule="auto"/>
      </w:pPr>
      <w:r>
        <w:separator/>
      </w:r>
    </w:p>
  </w:footnote>
  <w:footnote w:type="continuationSeparator" w:id="0">
    <w:p w14:paraId="1C25037D" w14:textId="77777777" w:rsidR="00E80862" w:rsidRDefault="00E80862"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40153"/>
    <w:multiLevelType w:val="multilevel"/>
    <w:tmpl w:val="1856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3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E92DEB"/>
    <w:multiLevelType w:val="multilevel"/>
    <w:tmpl w:val="8182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3F7E35"/>
    <w:multiLevelType w:val="multilevel"/>
    <w:tmpl w:val="2684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4"/>
  </w:num>
  <w:num w:numId="2" w16cid:durableId="1500121260">
    <w:abstractNumId w:val="54"/>
  </w:num>
  <w:num w:numId="3" w16cid:durableId="438111508">
    <w:abstractNumId w:val="87"/>
  </w:num>
  <w:num w:numId="4" w16cid:durableId="106121269">
    <w:abstractNumId w:val="16"/>
  </w:num>
  <w:num w:numId="5" w16cid:durableId="1859468656">
    <w:abstractNumId w:val="99"/>
  </w:num>
  <w:num w:numId="6" w16cid:durableId="1173763238">
    <w:abstractNumId w:val="65"/>
  </w:num>
  <w:num w:numId="7" w16cid:durableId="515197422">
    <w:abstractNumId w:val="46"/>
  </w:num>
  <w:num w:numId="8" w16cid:durableId="676225712">
    <w:abstractNumId w:val="90"/>
  </w:num>
  <w:num w:numId="9" w16cid:durableId="654647421">
    <w:abstractNumId w:val="64"/>
  </w:num>
  <w:num w:numId="10" w16cid:durableId="972827862">
    <w:abstractNumId w:val="67"/>
  </w:num>
  <w:num w:numId="11" w16cid:durableId="73359902">
    <w:abstractNumId w:val="44"/>
  </w:num>
  <w:num w:numId="12" w16cid:durableId="1233615214">
    <w:abstractNumId w:val="10"/>
  </w:num>
  <w:num w:numId="13" w16cid:durableId="1037585576">
    <w:abstractNumId w:val="96"/>
  </w:num>
  <w:num w:numId="14" w16cid:durableId="1454127918">
    <w:abstractNumId w:val="80"/>
  </w:num>
  <w:num w:numId="15" w16cid:durableId="820851363">
    <w:abstractNumId w:val="3"/>
  </w:num>
  <w:num w:numId="16" w16cid:durableId="776406381">
    <w:abstractNumId w:val="9"/>
  </w:num>
  <w:num w:numId="17" w16cid:durableId="2003772795">
    <w:abstractNumId w:val="100"/>
  </w:num>
  <w:num w:numId="18" w16cid:durableId="471214588">
    <w:abstractNumId w:val="8"/>
  </w:num>
  <w:num w:numId="19" w16cid:durableId="1919750537">
    <w:abstractNumId w:val="92"/>
  </w:num>
  <w:num w:numId="20" w16cid:durableId="1917666381">
    <w:abstractNumId w:val="5"/>
  </w:num>
  <w:num w:numId="21" w16cid:durableId="881479433">
    <w:abstractNumId w:val="68"/>
  </w:num>
  <w:num w:numId="22" w16cid:durableId="164788852">
    <w:abstractNumId w:val="72"/>
  </w:num>
  <w:num w:numId="23" w16cid:durableId="735323509">
    <w:abstractNumId w:val="14"/>
  </w:num>
  <w:num w:numId="24" w16cid:durableId="1000431254">
    <w:abstractNumId w:val="43"/>
  </w:num>
  <w:num w:numId="25" w16cid:durableId="434404662">
    <w:abstractNumId w:val="21"/>
  </w:num>
  <w:num w:numId="26" w16cid:durableId="792409853">
    <w:abstractNumId w:val="52"/>
  </w:num>
  <w:num w:numId="27" w16cid:durableId="70469880">
    <w:abstractNumId w:val="56"/>
  </w:num>
  <w:num w:numId="28" w16cid:durableId="1255548974">
    <w:abstractNumId w:val="49"/>
  </w:num>
  <w:num w:numId="29" w16cid:durableId="509951972">
    <w:abstractNumId w:val="36"/>
  </w:num>
  <w:num w:numId="30" w16cid:durableId="1491873496">
    <w:abstractNumId w:val="60"/>
  </w:num>
  <w:num w:numId="31" w16cid:durableId="1277179892">
    <w:abstractNumId w:val="71"/>
  </w:num>
  <w:num w:numId="32" w16cid:durableId="1137721610">
    <w:abstractNumId w:val="57"/>
  </w:num>
  <w:num w:numId="33" w16cid:durableId="1569337486">
    <w:abstractNumId w:val="101"/>
  </w:num>
  <w:num w:numId="34" w16cid:durableId="1771851078">
    <w:abstractNumId w:val="6"/>
  </w:num>
  <w:num w:numId="35" w16cid:durableId="1096747610">
    <w:abstractNumId w:val="20"/>
  </w:num>
  <w:num w:numId="36" w16cid:durableId="1853105471">
    <w:abstractNumId w:val="81"/>
  </w:num>
  <w:num w:numId="37" w16cid:durableId="2016615092">
    <w:abstractNumId w:val="53"/>
  </w:num>
  <w:num w:numId="38" w16cid:durableId="439030946">
    <w:abstractNumId w:val="69"/>
  </w:num>
  <w:num w:numId="39" w16cid:durableId="315690756">
    <w:abstractNumId w:val="37"/>
  </w:num>
  <w:num w:numId="40" w16cid:durableId="1252278660">
    <w:abstractNumId w:val="12"/>
  </w:num>
  <w:num w:numId="41" w16cid:durableId="1719351677">
    <w:abstractNumId w:val="75"/>
  </w:num>
  <w:num w:numId="42" w16cid:durableId="1107427397">
    <w:abstractNumId w:val="23"/>
  </w:num>
  <w:num w:numId="43" w16cid:durableId="371266753">
    <w:abstractNumId w:val="70"/>
  </w:num>
  <w:num w:numId="44" w16cid:durableId="491869272">
    <w:abstractNumId w:val="28"/>
  </w:num>
  <w:num w:numId="45" w16cid:durableId="1351251430">
    <w:abstractNumId w:val="73"/>
  </w:num>
  <w:num w:numId="46" w16cid:durableId="1368607436">
    <w:abstractNumId w:val="93"/>
  </w:num>
  <w:num w:numId="47" w16cid:durableId="1588029100">
    <w:abstractNumId w:val="98"/>
  </w:num>
  <w:num w:numId="48" w16cid:durableId="415832180">
    <w:abstractNumId w:val="88"/>
  </w:num>
  <w:num w:numId="49" w16cid:durableId="1178735139">
    <w:abstractNumId w:val="45"/>
  </w:num>
  <w:num w:numId="50" w16cid:durableId="721834200">
    <w:abstractNumId w:val="55"/>
  </w:num>
  <w:num w:numId="51" w16cid:durableId="686251813">
    <w:abstractNumId w:val="2"/>
  </w:num>
  <w:num w:numId="52" w16cid:durableId="1960641414">
    <w:abstractNumId w:val="13"/>
  </w:num>
  <w:num w:numId="53" w16cid:durableId="39089564">
    <w:abstractNumId w:val="48"/>
  </w:num>
  <w:num w:numId="54" w16cid:durableId="1192718157">
    <w:abstractNumId w:val="19"/>
  </w:num>
  <w:num w:numId="55" w16cid:durableId="1777825955">
    <w:abstractNumId w:val="76"/>
  </w:num>
  <w:num w:numId="56" w16cid:durableId="286199487">
    <w:abstractNumId w:val="25"/>
  </w:num>
  <w:num w:numId="57" w16cid:durableId="1119490663">
    <w:abstractNumId w:val="59"/>
  </w:num>
  <w:num w:numId="58" w16cid:durableId="1353922786">
    <w:abstractNumId w:val="33"/>
  </w:num>
  <w:num w:numId="59" w16cid:durableId="492723980">
    <w:abstractNumId w:val="63"/>
  </w:num>
  <w:num w:numId="60" w16cid:durableId="526941613">
    <w:abstractNumId w:val="34"/>
  </w:num>
  <w:num w:numId="61" w16cid:durableId="320043301">
    <w:abstractNumId w:val="61"/>
  </w:num>
  <w:num w:numId="62" w16cid:durableId="2037610982">
    <w:abstractNumId w:val="7"/>
  </w:num>
  <w:num w:numId="63" w16cid:durableId="1079794559">
    <w:abstractNumId w:val="40"/>
  </w:num>
  <w:num w:numId="64" w16cid:durableId="503403534">
    <w:abstractNumId w:val="35"/>
  </w:num>
  <w:num w:numId="65" w16cid:durableId="194734275">
    <w:abstractNumId w:val="11"/>
  </w:num>
  <w:num w:numId="66" w16cid:durableId="424033359">
    <w:abstractNumId w:val="47"/>
  </w:num>
  <w:num w:numId="67" w16cid:durableId="1335066293">
    <w:abstractNumId w:val="84"/>
  </w:num>
  <w:num w:numId="68" w16cid:durableId="662587085">
    <w:abstractNumId w:val="38"/>
  </w:num>
  <w:num w:numId="69" w16cid:durableId="2071072074">
    <w:abstractNumId w:val="79"/>
  </w:num>
  <w:num w:numId="70" w16cid:durableId="1573662111">
    <w:abstractNumId w:val="95"/>
  </w:num>
  <w:num w:numId="71" w16cid:durableId="131678057">
    <w:abstractNumId w:val="89"/>
  </w:num>
  <w:num w:numId="72" w16cid:durableId="99565733">
    <w:abstractNumId w:val="27"/>
  </w:num>
  <w:num w:numId="73" w16cid:durableId="1810784339">
    <w:abstractNumId w:val="66"/>
  </w:num>
  <w:num w:numId="74" w16cid:durableId="1491748033">
    <w:abstractNumId w:val="78"/>
  </w:num>
  <w:num w:numId="75" w16cid:durableId="670565925">
    <w:abstractNumId w:val="18"/>
  </w:num>
  <w:num w:numId="76" w16cid:durableId="211696971">
    <w:abstractNumId w:val="26"/>
  </w:num>
  <w:num w:numId="77" w16cid:durableId="1773429901">
    <w:abstractNumId w:val="42"/>
  </w:num>
  <w:num w:numId="78" w16cid:durableId="804733676">
    <w:abstractNumId w:val="30"/>
  </w:num>
  <w:num w:numId="79" w16cid:durableId="488864096">
    <w:abstractNumId w:val="85"/>
  </w:num>
  <w:num w:numId="80" w16cid:durableId="1599749197">
    <w:abstractNumId w:val="41"/>
  </w:num>
  <w:num w:numId="81" w16cid:durableId="1726679607">
    <w:abstractNumId w:val="22"/>
  </w:num>
  <w:num w:numId="82" w16cid:durableId="1630209448">
    <w:abstractNumId w:val="50"/>
  </w:num>
  <w:num w:numId="83" w16cid:durableId="928663234">
    <w:abstractNumId w:val="62"/>
  </w:num>
  <w:num w:numId="84" w16cid:durableId="2017072952">
    <w:abstractNumId w:val="74"/>
  </w:num>
  <w:num w:numId="85" w16cid:durableId="58405484">
    <w:abstractNumId w:val="31"/>
  </w:num>
  <w:num w:numId="86" w16cid:durableId="1817530714">
    <w:abstractNumId w:val="15"/>
  </w:num>
  <w:num w:numId="87" w16cid:durableId="2141336387">
    <w:abstractNumId w:val="58"/>
  </w:num>
  <w:num w:numId="88" w16cid:durableId="1325282792">
    <w:abstractNumId w:val="4"/>
  </w:num>
  <w:num w:numId="89" w16cid:durableId="1319654748">
    <w:abstractNumId w:val="77"/>
  </w:num>
  <w:num w:numId="90" w16cid:durableId="556555801">
    <w:abstractNumId w:val="0"/>
  </w:num>
  <w:num w:numId="91" w16cid:durableId="1903828627">
    <w:abstractNumId w:val="17"/>
  </w:num>
  <w:num w:numId="92" w16cid:durableId="281425930">
    <w:abstractNumId w:val="51"/>
  </w:num>
  <w:num w:numId="93" w16cid:durableId="1491553762">
    <w:abstractNumId w:val="39"/>
  </w:num>
  <w:num w:numId="94" w16cid:durableId="965625632">
    <w:abstractNumId w:val="83"/>
  </w:num>
  <w:num w:numId="95" w16cid:durableId="1481145624">
    <w:abstractNumId w:val="102"/>
  </w:num>
  <w:num w:numId="96" w16cid:durableId="29957555">
    <w:abstractNumId w:val="97"/>
  </w:num>
  <w:num w:numId="97" w16cid:durableId="1042821728">
    <w:abstractNumId w:val="86"/>
  </w:num>
  <w:num w:numId="98" w16cid:durableId="633143735">
    <w:abstractNumId w:val="91"/>
  </w:num>
  <w:num w:numId="99" w16cid:durableId="1100951892">
    <w:abstractNumId w:val="24"/>
  </w:num>
  <w:num w:numId="100" w16cid:durableId="18512348">
    <w:abstractNumId w:val="29"/>
  </w:num>
  <w:num w:numId="101" w16cid:durableId="1185679466">
    <w:abstractNumId w:val="82"/>
  </w:num>
  <w:num w:numId="102" w16cid:durableId="2144082675">
    <w:abstractNumId w:val="32"/>
  </w:num>
  <w:num w:numId="103" w16cid:durableId="1486357709">
    <w:abstractNumId w:val="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44E0"/>
    <w:rsid w:val="000264A2"/>
    <w:rsid w:val="000400E4"/>
    <w:rsid w:val="00063B4C"/>
    <w:rsid w:val="000A2779"/>
    <w:rsid w:val="000D05D8"/>
    <w:rsid w:val="000D0641"/>
    <w:rsid w:val="000D2B00"/>
    <w:rsid w:val="000F25D9"/>
    <w:rsid w:val="00117750"/>
    <w:rsid w:val="00121E88"/>
    <w:rsid w:val="001601E6"/>
    <w:rsid w:val="001C3AF6"/>
    <w:rsid w:val="001D1485"/>
    <w:rsid w:val="001F19A6"/>
    <w:rsid w:val="0020590F"/>
    <w:rsid w:val="00211184"/>
    <w:rsid w:val="0021364B"/>
    <w:rsid w:val="0025020C"/>
    <w:rsid w:val="00256951"/>
    <w:rsid w:val="002865F5"/>
    <w:rsid w:val="00292A36"/>
    <w:rsid w:val="002953DD"/>
    <w:rsid w:val="002A6C0D"/>
    <w:rsid w:val="002D64A3"/>
    <w:rsid w:val="002F5E53"/>
    <w:rsid w:val="00312A5A"/>
    <w:rsid w:val="003135AD"/>
    <w:rsid w:val="0039386E"/>
    <w:rsid w:val="00393F39"/>
    <w:rsid w:val="003A66FD"/>
    <w:rsid w:val="003B1E32"/>
    <w:rsid w:val="00466C88"/>
    <w:rsid w:val="00486126"/>
    <w:rsid w:val="004A40C4"/>
    <w:rsid w:val="004C7501"/>
    <w:rsid w:val="004D4021"/>
    <w:rsid w:val="005119DE"/>
    <w:rsid w:val="005446BF"/>
    <w:rsid w:val="0055147E"/>
    <w:rsid w:val="00583E08"/>
    <w:rsid w:val="005B3EDE"/>
    <w:rsid w:val="005B6E67"/>
    <w:rsid w:val="005C5E80"/>
    <w:rsid w:val="005D69A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8443E"/>
    <w:rsid w:val="00894108"/>
    <w:rsid w:val="008B1DFA"/>
    <w:rsid w:val="008C38C3"/>
    <w:rsid w:val="008D6F0F"/>
    <w:rsid w:val="008E7B2E"/>
    <w:rsid w:val="00916814"/>
    <w:rsid w:val="00995444"/>
    <w:rsid w:val="009C40BF"/>
    <w:rsid w:val="009D06C5"/>
    <w:rsid w:val="009D4BB1"/>
    <w:rsid w:val="009D534C"/>
    <w:rsid w:val="009D728C"/>
    <w:rsid w:val="009E5B14"/>
    <w:rsid w:val="009E7EC8"/>
    <w:rsid w:val="00A04805"/>
    <w:rsid w:val="00A90A7A"/>
    <w:rsid w:val="00AA437C"/>
    <w:rsid w:val="00AB78F0"/>
    <w:rsid w:val="00B01396"/>
    <w:rsid w:val="00B2418B"/>
    <w:rsid w:val="00B26973"/>
    <w:rsid w:val="00B575E2"/>
    <w:rsid w:val="00B7073C"/>
    <w:rsid w:val="00B81F2E"/>
    <w:rsid w:val="00B858A1"/>
    <w:rsid w:val="00BB65AC"/>
    <w:rsid w:val="00BC5816"/>
    <w:rsid w:val="00BD2909"/>
    <w:rsid w:val="00C17A49"/>
    <w:rsid w:val="00C91479"/>
    <w:rsid w:val="00CA6A9D"/>
    <w:rsid w:val="00CB3AF6"/>
    <w:rsid w:val="00CB3C13"/>
    <w:rsid w:val="00CB3CF1"/>
    <w:rsid w:val="00CE3FD1"/>
    <w:rsid w:val="00CE620E"/>
    <w:rsid w:val="00CF1ED5"/>
    <w:rsid w:val="00D117EE"/>
    <w:rsid w:val="00D13A82"/>
    <w:rsid w:val="00D13DB7"/>
    <w:rsid w:val="00D33426"/>
    <w:rsid w:val="00DB71AC"/>
    <w:rsid w:val="00DC00D1"/>
    <w:rsid w:val="00DD02A4"/>
    <w:rsid w:val="00DD08BF"/>
    <w:rsid w:val="00DE1A02"/>
    <w:rsid w:val="00E05C6C"/>
    <w:rsid w:val="00E157E1"/>
    <w:rsid w:val="00E2182C"/>
    <w:rsid w:val="00E325CF"/>
    <w:rsid w:val="00E40B0D"/>
    <w:rsid w:val="00E71420"/>
    <w:rsid w:val="00E80862"/>
    <w:rsid w:val="00E94DA0"/>
    <w:rsid w:val="00EA5CC3"/>
    <w:rsid w:val="00EF6341"/>
    <w:rsid w:val="00F0560A"/>
    <w:rsid w:val="00F158D7"/>
    <w:rsid w:val="00F20EE5"/>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83E08"/>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583E08"/>
    <w:pPr>
      <w:spacing w:after="100"/>
    </w:pPr>
  </w:style>
  <w:style w:type="paragraph" w:styleId="TOC2">
    <w:name w:val="toc 2"/>
    <w:basedOn w:val="Normal"/>
    <w:next w:val="Normal"/>
    <w:autoRedefine/>
    <w:uiPriority w:val="39"/>
    <w:unhideWhenUsed/>
    <w:rsid w:val="00583E08"/>
    <w:pPr>
      <w:spacing w:after="100"/>
      <w:ind w:left="220"/>
    </w:pPr>
  </w:style>
  <w:style w:type="paragraph" w:styleId="TOC3">
    <w:name w:val="toc 3"/>
    <w:basedOn w:val="Normal"/>
    <w:next w:val="Normal"/>
    <w:autoRedefine/>
    <w:uiPriority w:val="39"/>
    <w:unhideWhenUsed/>
    <w:rsid w:val="00583E0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hyperlink" Target="https://www.childrenscommissioner.gov.uk/wp-content/uploads/2021/01/cco-the-state-of-childrens-mental-health-services-2020-21.pdf?utm_source=chatgpt.com" TargetMode="External"/><Relationship Id="rId26" Type="http://schemas.openxmlformats.org/officeDocument/2006/relationships/hyperlink" Target="https://doi.org/10.1111/camh.12322" TargetMode="External"/><Relationship Id="rId39" Type="http://schemas.openxmlformats.org/officeDocument/2006/relationships/hyperlink" Target="https://digital.nhs.uk/" TargetMode="External"/><Relationship Id="rId21" Type="http://schemas.openxmlformats.org/officeDocument/2006/relationships/hyperlink" Target="https://doi.org/10.1111/j.1467-8624.2010.01564.x" TargetMode="External"/><Relationship Id="rId34" Type="http://schemas.openxmlformats.org/officeDocument/2006/relationships/hyperlink" Target="https://www.nice.org.uk/guidance/cg158" TargetMode="External"/><Relationship Id="rId42" Type="http://schemas.openxmlformats.org/officeDocument/2006/relationships/hyperlink" Target="https://doi.org/10.1111/jcpp.13190" TargetMode="External"/><Relationship Id="rId47" Type="http://schemas.openxmlformats.org/officeDocument/2006/relationships/hyperlink" Target="https://doi.org/10.1073/pnas.0707741104" TargetMode="External"/><Relationship Id="rId50" Type="http://schemas.openxmlformats.org/officeDocument/2006/relationships/hyperlink" Target="https://doi.org/10.1136/jech-2019-212738" TargetMode="External"/><Relationship Id="rId55" Type="http://schemas.openxmlformats.org/officeDocument/2006/relationships/hyperlink" Target="https://doi.org/10.1146/annurev.clinpsy.3.022806.091358/"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91/1478088706qp063oa" TargetMode="External"/><Relationship Id="rId29" Type="http://schemas.openxmlformats.org/officeDocument/2006/relationships/hyperlink" Target="https://doi.org/10.1126/science.1128898" TargetMode="External"/><Relationship Id="rId11" Type="http://schemas.openxmlformats.org/officeDocument/2006/relationships/customXml" Target="ink/ink2.xml"/><Relationship Id="rId24" Type="http://schemas.openxmlformats.org/officeDocument/2006/relationships/hyperlink" Target="https://doi.org/10.1016/j.neubiorev.2021.01.022" TargetMode="External"/><Relationship Id="rId32" Type="http://schemas.openxmlformats.org/officeDocument/2006/relationships/hyperlink" Target="https://doi.org/10.1111/1467-8624.00164" TargetMode="External"/><Relationship Id="rId37" Type="http://schemas.openxmlformats.org/officeDocument/2006/relationships/hyperlink" Target="https://www.nice.org.uk/guidance/ng223" TargetMode="External"/><Relationship Id="rId40" Type="http://schemas.openxmlformats.org/officeDocument/2006/relationships/hyperlink" Target="https://www.longtermplan.nhs.uk/" TargetMode="External"/><Relationship Id="rId45" Type="http://schemas.openxmlformats.org/officeDocument/2006/relationships/hyperlink" Target="https://doi.org/10.1177/0956797616678438" TargetMode="External"/><Relationship Id="rId53" Type="http://schemas.openxmlformats.org/officeDocument/2006/relationships/hyperlink" Target="https://www.who.int/publications/i/item/9789240049338" TargetMode="External"/><Relationship Id="rId58" Type="http://schemas.openxmlformats.org/officeDocument/2006/relationships/diagramQuickStyle" Target="diagrams/quickStyle1.xml"/><Relationship Id="rId5" Type="http://schemas.openxmlformats.org/officeDocument/2006/relationships/webSettings" Target="webSettings.xml"/><Relationship Id="rId61" Type="http://schemas.openxmlformats.org/officeDocument/2006/relationships/image" Target="media/image3.jpg"/><Relationship Id="rId19" Type="http://schemas.openxmlformats.org/officeDocument/2006/relationships/hyperlink" Target="https://www.childrenscommissioner.gov.uk/wp-content/uploads/2021/01/cco-the-state-of-childrens-mental-health-services-2020-21.pdf?utm_source=chatgpt.com" TargetMode="External"/><Relationship Id="rId14" Type="http://schemas.openxmlformats.org/officeDocument/2006/relationships/customXml" Target="ink/ink5.xml"/><Relationship Id="rId22" Type="http://schemas.openxmlformats.org/officeDocument/2006/relationships/hyperlink" Target="https://doi.org/10.1126/science.847460" TargetMode="External"/><Relationship Id="rId27" Type="http://schemas.openxmlformats.org/officeDocument/2006/relationships/hyperlink" Target="https://epi.org.uk/publications-and-research/children-young-peoples-mental-health-state-nation/" TargetMode="External"/><Relationship Id="rId30" Type="http://schemas.openxmlformats.org/officeDocument/2006/relationships/hyperlink" Target="https://doi.org/10.1001/archpsyc.62.6.593" TargetMode="External"/><Relationship Id="rId35" Type="http://schemas.openxmlformats.org/officeDocument/2006/relationships/hyperlink" Target="https://www.nice.org.uk/guidance/ng87" TargetMode="External"/><Relationship Id="rId43" Type="http://schemas.openxmlformats.org/officeDocument/2006/relationships/hyperlink" Target="https://doi.org/10.1016/S0140-6736(18)31612-X" TargetMode="External"/><Relationship Id="rId48" Type="http://schemas.openxmlformats.org/officeDocument/2006/relationships/hyperlink" Target="https://doi.org/10.1016/j.jbusres.2019.07.039" TargetMode="External"/><Relationship Id="rId56" Type="http://schemas.openxmlformats.org/officeDocument/2006/relationships/diagramData" Target="diagrams/data1.xm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93/heapro/dar075" TargetMode="Externa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hyperlink" Target="https://assets.childrenscommissioner.gov.uk/wpuploads/2024/03/Childrens-mental-health-services-22-23_CCo-final-report.pdf?utm_source=chatgpt.com" TargetMode="External"/><Relationship Id="rId25" Type="http://schemas.openxmlformats.org/officeDocument/2006/relationships/hyperlink" Target="https://doi.org/10.1111/j.1467-8624.2009.01405.x" TargetMode="External"/><Relationship Id="rId33" Type="http://schemas.openxmlformats.org/officeDocument/2006/relationships/hyperlink" Target="https://doi.org/10.1146/annurev-clinpsy-081219-120307" TargetMode="External"/><Relationship Id="rId38" Type="http://schemas.openxmlformats.org/officeDocument/2006/relationships/hyperlink" Target="https://digital.nhs.uk/" TargetMode="External"/><Relationship Id="rId46" Type="http://schemas.openxmlformats.org/officeDocument/2006/relationships/hyperlink" Target="https://doi.org/10.1016/j.socscimed.2013.04.026" TargetMode="External"/><Relationship Id="rId59" Type="http://schemas.openxmlformats.org/officeDocument/2006/relationships/diagramColors" Target="diagrams/colors1.xml"/><Relationship Id="rId20" Type="http://schemas.openxmlformats.org/officeDocument/2006/relationships/hyperlink" Target="https://doi.org/10.1037/bul0000110" TargetMode="External"/><Relationship Id="rId41" Type="http://schemas.openxmlformats.org/officeDocument/2006/relationships/hyperlink" Target="https://doi.org/10.1177/1609406917733847" TargetMode="External"/><Relationship Id="rId54" Type="http://schemas.openxmlformats.org/officeDocument/2006/relationships/hyperlink" Target="https://doi.org/10.1177/0739456X17723971"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11/jcpp.12841" TargetMode="External"/><Relationship Id="rId23" Type="http://schemas.openxmlformats.org/officeDocument/2006/relationships/hyperlink" Target="https://doi.org/10.1111/cdep.12013" TargetMode="External"/><Relationship Id="rId28" Type="http://schemas.openxmlformats.org/officeDocument/2006/relationships/hyperlink" Target="https://doi.org/10.1080/1047840X.2014.940781" TargetMode="External"/><Relationship Id="rId36" Type="http://schemas.openxmlformats.org/officeDocument/2006/relationships/hyperlink" Target="https://www.nice.org.uk/guidance/ng134" TargetMode="External"/><Relationship Id="rId49" Type="http://schemas.openxmlformats.org/officeDocument/2006/relationships/hyperlink" Target="https://doi.org/10.1111/j.1469-7610.2012.02611.x" TargetMode="External"/><Relationship Id="rId57" Type="http://schemas.openxmlformats.org/officeDocument/2006/relationships/diagramLayout" Target="diagrams/layout1.xml"/><Relationship Id="rId10" Type="http://schemas.openxmlformats.org/officeDocument/2006/relationships/image" Target="media/image2.png"/><Relationship Id="rId31" Type="http://schemas.openxmlformats.org/officeDocument/2006/relationships/hyperlink" Target="https://doi.org/10.1111/j.1475-3588.2009.00551.x" TargetMode="External"/><Relationship Id="rId44" Type="http://schemas.openxmlformats.org/officeDocument/2006/relationships/hyperlink" Target="https://doi.org/10.1016/j.chiabu.2019.104127" TargetMode="External"/><Relationship Id="rId52" Type="http://schemas.openxmlformats.org/officeDocument/2006/relationships/hyperlink" Target="https://www.who.int/publications/i/item/9789240025707" TargetMode="External"/><Relationship Id="rId6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customXml" Target="ink/ink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C67B04-0BBF-4955-AF1B-5A44767F6B7B}" type="doc">
      <dgm:prSet loTypeId="urn:microsoft.com/office/officeart/2005/8/layout/process2" loCatId="process" qsTypeId="urn:microsoft.com/office/officeart/2005/8/quickstyle/simple1" qsCatId="simple" csTypeId="urn:microsoft.com/office/officeart/2005/8/colors/accent1_2" csCatId="accent1" phldr="1"/>
      <dgm:spPr/>
    </dgm:pt>
    <dgm:pt modelId="{7EFDB803-53D1-4800-897F-5D7214541BF1}">
      <dgm:prSet phldrT="[Text]" custT="1"/>
      <dgm:spPr/>
      <dgm:t>
        <a:bodyPr/>
        <a:lstStyle/>
        <a:p>
          <a:r>
            <a:rPr lang="en-GB" sz="1000">
              <a:latin typeface="Arial" panose="020B0604020202020204" pitchFamily="34" charset="0"/>
              <a:cs typeface="Arial" panose="020B0604020202020204" pitchFamily="34" charset="0"/>
            </a:rPr>
            <a:t>Records identified through database searching (</a:t>
          </a:r>
          <a:r>
            <a:rPr lang="en-GB" sz="1100">
              <a:latin typeface="Arial" panose="020B0604020202020204" pitchFamily="34" charset="0"/>
              <a:cs typeface="Arial" panose="020B0604020202020204" pitchFamily="34" charset="0"/>
            </a:rPr>
            <a:t>n-857</a:t>
          </a:r>
          <a:r>
            <a:rPr lang="en-GB" sz="1000">
              <a:latin typeface="Arial" panose="020B0604020202020204" pitchFamily="34" charset="0"/>
              <a:cs typeface="Arial" panose="020B0604020202020204" pitchFamily="34" charset="0"/>
            </a:rPr>
            <a:t>)</a:t>
          </a:r>
        </a:p>
      </dgm:t>
    </dgm:pt>
    <dgm:pt modelId="{95BCA820-AB37-4D6E-9C3F-AC110EC97B40}" type="parTrans" cxnId="{4004E1BC-E1B6-4EAF-AAD5-B70291065F8C}">
      <dgm:prSet/>
      <dgm:spPr/>
      <dgm:t>
        <a:bodyPr/>
        <a:lstStyle/>
        <a:p>
          <a:endParaRPr lang="en-GB"/>
        </a:p>
      </dgm:t>
    </dgm:pt>
    <dgm:pt modelId="{8700D34A-C61E-498D-BC5B-2B0020B2B9D5}" type="sibTrans" cxnId="{4004E1BC-E1B6-4EAF-AAD5-B70291065F8C}">
      <dgm:prSet/>
      <dgm:spPr/>
      <dgm:t>
        <a:bodyPr/>
        <a:lstStyle/>
        <a:p>
          <a:endParaRPr lang="en-GB"/>
        </a:p>
      </dgm:t>
    </dgm:pt>
    <dgm:pt modelId="{E0AE6DEE-0AE5-4F82-AFD8-9757EF2A0569}">
      <dgm:prSet phldrT="[Text]" custT="1"/>
      <dgm:spPr/>
      <dgm:t>
        <a:bodyPr/>
        <a:lstStyle/>
        <a:p>
          <a:r>
            <a:rPr lang="en-GB" sz="1000">
              <a:latin typeface="Arial" panose="020B0604020202020204" pitchFamily="34" charset="0"/>
              <a:cs typeface="Arial" panose="020B0604020202020204" pitchFamily="34" charset="0"/>
            </a:rPr>
            <a:t>Duplicates Removed (n=143)</a:t>
          </a:r>
        </a:p>
      </dgm:t>
    </dgm:pt>
    <dgm:pt modelId="{CF290685-5C09-417B-BAB5-39C5902122EB}" type="parTrans" cxnId="{0047E667-B98A-4FF0-A816-48A2A803C2F0}">
      <dgm:prSet/>
      <dgm:spPr/>
      <dgm:t>
        <a:bodyPr/>
        <a:lstStyle/>
        <a:p>
          <a:endParaRPr lang="en-GB"/>
        </a:p>
      </dgm:t>
    </dgm:pt>
    <dgm:pt modelId="{9F6BAC00-4310-4FE7-8248-8A9FD13D17CD}" type="sibTrans" cxnId="{0047E667-B98A-4FF0-A816-48A2A803C2F0}">
      <dgm:prSet/>
      <dgm:spPr/>
      <dgm:t>
        <a:bodyPr/>
        <a:lstStyle/>
        <a:p>
          <a:endParaRPr lang="en-GB"/>
        </a:p>
      </dgm:t>
    </dgm:pt>
    <dgm:pt modelId="{E18293A1-CBB0-4F98-97BF-44715FEB5DBB}">
      <dgm:prSet phldrT="[Text]" custT="1"/>
      <dgm:spPr/>
      <dgm:t>
        <a:bodyPr/>
        <a:lstStyle/>
        <a:p>
          <a:r>
            <a:rPr lang="en-GB" sz="1000">
              <a:latin typeface="Arial" panose="020B0604020202020204" pitchFamily="34" charset="0"/>
              <a:cs typeface="Arial" panose="020B0604020202020204" pitchFamily="34" charset="0"/>
            </a:rPr>
            <a:t>Records Screened (n=714</a:t>
          </a:r>
          <a:r>
            <a:rPr lang="en-GB" sz="1000"/>
            <a:t>)</a:t>
          </a:r>
        </a:p>
      </dgm:t>
    </dgm:pt>
    <dgm:pt modelId="{57A1D9D2-6827-4344-9741-99A4B39233DE}" type="parTrans" cxnId="{1FC31B04-6CAB-4678-BB16-C0E429A11AD7}">
      <dgm:prSet/>
      <dgm:spPr/>
      <dgm:t>
        <a:bodyPr/>
        <a:lstStyle/>
        <a:p>
          <a:endParaRPr lang="en-GB"/>
        </a:p>
      </dgm:t>
    </dgm:pt>
    <dgm:pt modelId="{DC662271-5C26-49C7-8D45-B124206FD1E0}" type="sibTrans" cxnId="{1FC31B04-6CAB-4678-BB16-C0E429A11AD7}">
      <dgm:prSet/>
      <dgm:spPr/>
      <dgm:t>
        <a:bodyPr/>
        <a:lstStyle/>
        <a:p>
          <a:endParaRPr lang="en-GB"/>
        </a:p>
      </dgm:t>
    </dgm:pt>
    <dgm:pt modelId="{B4830FBE-0805-4ECD-9435-866EEF0AFE1F}">
      <dgm:prSet phldrT="[Text]" custT="1"/>
      <dgm:spPr/>
      <dgm:t>
        <a:bodyPr/>
        <a:lstStyle/>
        <a:p>
          <a:r>
            <a:rPr lang="en-GB" sz="1000">
              <a:latin typeface="Arial" panose="020B0604020202020204" pitchFamily="34" charset="0"/>
              <a:cs typeface="Arial" panose="020B0604020202020204" pitchFamily="34" charset="0"/>
            </a:rPr>
            <a:t>Records excluded after title/abstract review (n =598)</a:t>
          </a:r>
        </a:p>
      </dgm:t>
    </dgm:pt>
    <dgm:pt modelId="{DA0E2D58-C6DE-48F7-AEEB-1BE7644CAE38}" type="parTrans" cxnId="{839294C3-F7F6-427A-8B8B-7A0D77D04E56}">
      <dgm:prSet/>
      <dgm:spPr/>
      <dgm:t>
        <a:bodyPr/>
        <a:lstStyle/>
        <a:p>
          <a:endParaRPr lang="en-GB"/>
        </a:p>
      </dgm:t>
    </dgm:pt>
    <dgm:pt modelId="{FA177E3B-1ED3-417C-99E4-CBD48016B787}" type="sibTrans" cxnId="{839294C3-F7F6-427A-8B8B-7A0D77D04E56}">
      <dgm:prSet/>
      <dgm:spPr/>
      <dgm:t>
        <a:bodyPr/>
        <a:lstStyle/>
        <a:p>
          <a:endParaRPr lang="en-GB"/>
        </a:p>
      </dgm:t>
    </dgm:pt>
    <dgm:pt modelId="{350CC9A4-00D3-4A0F-AC58-90A58A8A1DD9}">
      <dgm:prSet phldrT="[Text]" custT="1"/>
      <dgm:spPr/>
      <dgm:t>
        <a:bodyPr/>
        <a:lstStyle/>
        <a:p>
          <a:r>
            <a:rPr lang="en-GB" sz="1000">
              <a:latin typeface="Arial" panose="020B0604020202020204" pitchFamily="34" charset="0"/>
              <a:cs typeface="Arial" panose="020B0604020202020204" pitchFamily="34" charset="0"/>
            </a:rPr>
            <a:t>Full-text articles assessed for eligibility (n=116)</a:t>
          </a:r>
        </a:p>
      </dgm:t>
    </dgm:pt>
    <dgm:pt modelId="{A3FDE5FF-0E34-4A6D-A38D-FDC46D645CD2}" type="parTrans" cxnId="{DBED7C0F-E525-4292-A978-7678F74CA1E3}">
      <dgm:prSet/>
      <dgm:spPr/>
      <dgm:t>
        <a:bodyPr/>
        <a:lstStyle/>
        <a:p>
          <a:endParaRPr lang="en-GB"/>
        </a:p>
      </dgm:t>
    </dgm:pt>
    <dgm:pt modelId="{668E0016-E7E2-4465-BA83-ABE5FA05EE8D}" type="sibTrans" cxnId="{DBED7C0F-E525-4292-A978-7678F74CA1E3}">
      <dgm:prSet/>
      <dgm:spPr/>
      <dgm:t>
        <a:bodyPr/>
        <a:lstStyle/>
        <a:p>
          <a:endParaRPr lang="en-GB"/>
        </a:p>
      </dgm:t>
    </dgm:pt>
    <dgm:pt modelId="{9EF2B3A6-2D4F-4BD4-AE04-D845AFCD3157}">
      <dgm:prSet phldrT="[Text]" custT="1"/>
      <dgm:spPr/>
      <dgm:t>
        <a:bodyPr/>
        <a:lstStyle/>
        <a:p>
          <a:r>
            <a:rPr lang="en-GB" sz="1000">
              <a:latin typeface="Arial" panose="020B0604020202020204" pitchFamily="34" charset="0"/>
              <a:cs typeface="Arial" panose="020B0604020202020204" pitchFamily="34" charset="0"/>
            </a:rPr>
            <a:t>Full-text articles excluded</a:t>
          </a:r>
        </a:p>
        <a:p>
          <a:r>
            <a:rPr lang="en-GB" sz="600">
              <a:latin typeface="Arial" panose="020B0604020202020204" pitchFamily="34" charset="0"/>
              <a:cs typeface="Arial" panose="020B0604020202020204" pitchFamily="34" charset="0"/>
            </a:rPr>
            <a:t>wrong age group</a:t>
          </a:r>
        </a:p>
        <a:p>
          <a:r>
            <a:rPr lang="en-GB" sz="600">
              <a:latin typeface="Arial" panose="020B0604020202020204" pitchFamily="34" charset="0"/>
              <a:cs typeface="Arial" panose="020B0604020202020204" pitchFamily="34" charset="0"/>
            </a:rPr>
            <a:t>not peer reviewed</a:t>
          </a:r>
        </a:p>
        <a:p>
          <a:r>
            <a:rPr lang="en-GB" sz="600">
              <a:latin typeface="Arial" panose="020B0604020202020204" pitchFamily="34" charset="0"/>
              <a:cs typeface="Arial" panose="020B0604020202020204" pitchFamily="34" charset="0"/>
            </a:rPr>
            <a:t>adult population</a:t>
          </a:r>
        </a:p>
        <a:p>
          <a:r>
            <a:rPr lang="en-GB" sz="600">
              <a:latin typeface="Arial" panose="020B0604020202020204" pitchFamily="34" charset="0"/>
              <a:cs typeface="Arial" panose="020B0604020202020204" pitchFamily="34" charset="0"/>
            </a:rPr>
            <a:t>not relevant</a:t>
          </a:r>
        </a:p>
        <a:p>
          <a:r>
            <a:rPr lang="en-GB" sz="1000">
              <a:latin typeface="Arial" panose="020B0604020202020204" pitchFamily="34" charset="0"/>
              <a:cs typeface="Arial" panose="020B0604020202020204" pitchFamily="34" charset="0"/>
            </a:rPr>
            <a:t>(n=81)</a:t>
          </a:r>
        </a:p>
      </dgm:t>
    </dgm:pt>
    <dgm:pt modelId="{9DDB6114-0887-47C2-8330-8AF4D3BDFB7A}" type="parTrans" cxnId="{4AEBE46D-949B-45AD-9FF5-FAAEB60E816C}">
      <dgm:prSet/>
      <dgm:spPr/>
      <dgm:t>
        <a:bodyPr/>
        <a:lstStyle/>
        <a:p>
          <a:endParaRPr lang="en-GB"/>
        </a:p>
      </dgm:t>
    </dgm:pt>
    <dgm:pt modelId="{FF0CDAB0-9E2F-4D93-98E4-6BAEFCDA9036}" type="sibTrans" cxnId="{4AEBE46D-949B-45AD-9FF5-FAAEB60E816C}">
      <dgm:prSet/>
      <dgm:spPr/>
      <dgm:t>
        <a:bodyPr/>
        <a:lstStyle/>
        <a:p>
          <a:endParaRPr lang="en-GB"/>
        </a:p>
      </dgm:t>
    </dgm:pt>
    <dgm:pt modelId="{BD37E111-BD52-44BA-82B4-55582CEFBCC0}">
      <dgm:prSet phldrT="[Text]" custT="1"/>
      <dgm:spPr/>
      <dgm:t>
        <a:bodyPr/>
        <a:lstStyle/>
        <a:p>
          <a:r>
            <a:rPr lang="en-GB" sz="1000">
              <a:latin typeface="Arial" panose="020B0604020202020204" pitchFamily="34" charset="0"/>
              <a:cs typeface="Arial" panose="020B0604020202020204" pitchFamily="34" charset="0"/>
            </a:rPr>
            <a:t>Students included in literature </a:t>
          </a:r>
        </a:p>
        <a:p>
          <a:r>
            <a:rPr lang="en-GB" sz="1000">
              <a:latin typeface="Arial" panose="020B0604020202020204" pitchFamily="34" charset="0"/>
              <a:cs typeface="Arial" panose="020B0604020202020204" pitchFamily="34" charset="0"/>
            </a:rPr>
            <a:t>review (n=35)</a:t>
          </a:r>
        </a:p>
      </dgm:t>
    </dgm:pt>
    <dgm:pt modelId="{31CEDBCA-D244-49D8-AABD-5D9FFEEC6291}" type="parTrans" cxnId="{BA4FCE91-AC3E-44DA-98E6-DC778801CBD5}">
      <dgm:prSet/>
      <dgm:spPr/>
      <dgm:t>
        <a:bodyPr/>
        <a:lstStyle/>
        <a:p>
          <a:endParaRPr lang="en-GB"/>
        </a:p>
      </dgm:t>
    </dgm:pt>
    <dgm:pt modelId="{3262191B-D32B-4777-A830-72C7CA3EB527}" type="sibTrans" cxnId="{BA4FCE91-AC3E-44DA-98E6-DC778801CBD5}">
      <dgm:prSet/>
      <dgm:spPr/>
      <dgm:t>
        <a:bodyPr/>
        <a:lstStyle/>
        <a:p>
          <a:endParaRPr lang="en-GB"/>
        </a:p>
      </dgm:t>
    </dgm:pt>
    <dgm:pt modelId="{603C201E-D320-4F0C-A30D-F61E5E9DC2B6}" type="pres">
      <dgm:prSet presAssocID="{E2C67B04-0BBF-4955-AF1B-5A44767F6B7B}" presName="linearFlow" presStyleCnt="0">
        <dgm:presLayoutVars>
          <dgm:resizeHandles val="exact"/>
        </dgm:presLayoutVars>
      </dgm:prSet>
      <dgm:spPr/>
    </dgm:pt>
    <dgm:pt modelId="{7B0F5D4B-CB93-43E9-A8F3-A2834BB0F441}" type="pres">
      <dgm:prSet presAssocID="{7EFDB803-53D1-4800-897F-5D7214541BF1}" presName="node" presStyleLbl="node1" presStyleIdx="0" presStyleCnt="7">
        <dgm:presLayoutVars>
          <dgm:bulletEnabled val="1"/>
        </dgm:presLayoutVars>
      </dgm:prSet>
      <dgm:spPr/>
    </dgm:pt>
    <dgm:pt modelId="{D42EF770-F5AD-41B6-9BB8-A2E37E798CD7}" type="pres">
      <dgm:prSet presAssocID="{8700D34A-C61E-498D-BC5B-2B0020B2B9D5}" presName="sibTrans" presStyleLbl="sibTrans2D1" presStyleIdx="0" presStyleCnt="6"/>
      <dgm:spPr/>
    </dgm:pt>
    <dgm:pt modelId="{3A8F47F2-011F-4A3B-89DD-6A3C18347918}" type="pres">
      <dgm:prSet presAssocID="{8700D34A-C61E-498D-BC5B-2B0020B2B9D5}" presName="connectorText" presStyleLbl="sibTrans2D1" presStyleIdx="0" presStyleCnt="6"/>
      <dgm:spPr/>
    </dgm:pt>
    <dgm:pt modelId="{5062DD84-1886-4777-9538-D74AAC88E6BD}" type="pres">
      <dgm:prSet presAssocID="{E0AE6DEE-0AE5-4F82-AFD8-9757EF2A0569}" presName="node" presStyleLbl="node1" presStyleIdx="1" presStyleCnt="7">
        <dgm:presLayoutVars>
          <dgm:bulletEnabled val="1"/>
        </dgm:presLayoutVars>
      </dgm:prSet>
      <dgm:spPr/>
    </dgm:pt>
    <dgm:pt modelId="{D410572C-AA27-45B5-B095-76281D8C41C0}" type="pres">
      <dgm:prSet presAssocID="{9F6BAC00-4310-4FE7-8248-8A9FD13D17CD}" presName="sibTrans" presStyleLbl="sibTrans2D1" presStyleIdx="1" presStyleCnt="6"/>
      <dgm:spPr/>
    </dgm:pt>
    <dgm:pt modelId="{74941AEC-86CE-4CE3-913E-AFDAA9F51E35}" type="pres">
      <dgm:prSet presAssocID="{9F6BAC00-4310-4FE7-8248-8A9FD13D17CD}" presName="connectorText" presStyleLbl="sibTrans2D1" presStyleIdx="1" presStyleCnt="6"/>
      <dgm:spPr/>
    </dgm:pt>
    <dgm:pt modelId="{EDFFA0C5-206C-47F8-A3CF-4B7AA4D7DADB}" type="pres">
      <dgm:prSet presAssocID="{E18293A1-CBB0-4F98-97BF-44715FEB5DBB}" presName="node" presStyleLbl="node1" presStyleIdx="2" presStyleCnt="7">
        <dgm:presLayoutVars>
          <dgm:bulletEnabled val="1"/>
        </dgm:presLayoutVars>
      </dgm:prSet>
      <dgm:spPr/>
    </dgm:pt>
    <dgm:pt modelId="{7DF06B72-23AC-4279-8DCA-D299F45DD883}" type="pres">
      <dgm:prSet presAssocID="{DC662271-5C26-49C7-8D45-B124206FD1E0}" presName="sibTrans" presStyleLbl="sibTrans2D1" presStyleIdx="2" presStyleCnt="6"/>
      <dgm:spPr/>
    </dgm:pt>
    <dgm:pt modelId="{49479B39-021D-4867-9D2E-5B628DBD3257}" type="pres">
      <dgm:prSet presAssocID="{DC662271-5C26-49C7-8D45-B124206FD1E0}" presName="connectorText" presStyleLbl="sibTrans2D1" presStyleIdx="2" presStyleCnt="6"/>
      <dgm:spPr/>
    </dgm:pt>
    <dgm:pt modelId="{A93806C6-1F9E-42D0-8FD4-FCB91066B23C}" type="pres">
      <dgm:prSet presAssocID="{B4830FBE-0805-4ECD-9435-866EEF0AFE1F}" presName="node" presStyleLbl="node1" presStyleIdx="3" presStyleCnt="7">
        <dgm:presLayoutVars>
          <dgm:bulletEnabled val="1"/>
        </dgm:presLayoutVars>
      </dgm:prSet>
      <dgm:spPr/>
    </dgm:pt>
    <dgm:pt modelId="{3B45765C-DC2B-4963-9451-5BEAEE1B214D}" type="pres">
      <dgm:prSet presAssocID="{FA177E3B-1ED3-417C-99E4-CBD48016B787}" presName="sibTrans" presStyleLbl="sibTrans2D1" presStyleIdx="3" presStyleCnt="6"/>
      <dgm:spPr/>
    </dgm:pt>
    <dgm:pt modelId="{8942E36C-5FDA-4E87-8F3A-75F1D415497F}" type="pres">
      <dgm:prSet presAssocID="{FA177E3B-1ED3-417C-99E4-CBD48016B787}" presName="connectorText" presStyleLbl="sibTrans2D1" presStyleIdx="3" presStyleCnt="6"/>
      <dgm:spPr/>
    </dgm:pt>
    <dgm:pt modelId="{AD6B8279-5B9A-4952-AA3F-E31C2FB45F06}" type="pres">
      <dgm:prSet presAssocID="{350CC9A4-00D3-4A0F-AC58-90A58A8A1DD9}" presName="node" presStyleLbl="node1" presStyleIdx="4" presStyleCnt="7">
        <dgm:presLayoutVars>
          <dgm:bulletEnabled val="1"/>
        </dgm:presLayoutVars>
      </dgm:prSet>
      <dgm:spPr/>
    </dgm:pt>
    <dgm:pt modelId="{59753826-35CA-43AA-AC6A-ADB7DAB54A74}" type="pres">
      <dgm:prSet presAssocID="{668E0016-E7E2-4465-BA83-ABE5FA05EE8D}" presName="sibTrans" presStyleLbl="sibTrans2D1" presStyleIdx="4" presStyleCnt="6"/>
      <dgm:spPr/>
    </dgm:pt>
    <dgm:pt modelId="{85F64092-1599-431B-A9A7-AF051E8ACD18}" type="pres">
      <dgm:prSet presAssocID="{668E0016-E7E2-4465-BA83-ABE5FA05EE8D}" presName="connectorText" presStyleLbl="sibTrans2D1" presStyleIdx="4" presStyleCnt="6"/>
      <dgm:spPr/>
    </dgm:pt>
    <dgm:pt modelId="{B5BCD959-957B-4322-A237-791DADF53FE5}" type="pres">
      <dgm:prSet presAssocID="{9EF2B3A6-2D4F-4BD4-AE04-D845AFCD3157}" presName="node" presStyleLbl="node1" presStyleIdx="5" presStyleCnt="7">
        <dgm:presLayoutVars>
          <dgm:bulletEnabled val="1"/>
        </dgm:presLayoutVars>
      </dgm:prSet>
      <dgm:spPr/>
    </dgm:pt>
    <dgm:pt modelId="{898E7F17-2D4B-4BC5-803F-2404523F4E46}" type="pres">
      <dgm:prSet presAssocID="{FF0CDAB0-9E2F-4D93-98E4-6BAEFCDA9036}" presName="sibTrans" presStyleLbl="sibTrans2D1" presStyleIdx="5" presStyleCnt="6"/>
      <dgm:spPr/>
    </dgm:pt>
    <dgm:pt modelId="{A5E85378-0276-4530-8AE2-69AE05EDD4D8}" type="pres">
      <dgm:prSet presAssocID="{FF0CDAB0-9E2F-4D93-98E4-6BAEFCDA9036}" presName="connectorText" presStyleLbl="sibTrans2D1" presStyleIdx="5" presStyleCnt="6"/>
      <dgm:spPr/>
    </dgm:pt>
    <dgm:pt modelId="{B6E0037B-ED89-410A-BB84-7027C4611F52}" type="pres">
      <dgm:prSet presAssocID="{BD37E111-BD52-44BA-82B4-55582CEFBCC0}" presName="node" presStyleLbl="node1" presStyleIdx="6" presStyleCnt="7">
        <dgm:presLayoutVars>
          <dgm:bulletEnabled val="1"/>
        </dgm:presLayoutVars>
      </dgm:prSet>
      <dgm:spPr/>
    </dgm:pt>
  </dgm:ptLst>
  <dgm:cxnLst>
    <dgm:cxn modelId="{1FC31B04-6CAB-4678-BB16-C0E429A11AD7}" srcId="{E2C67B04-0BBF-4955-AF1B-5A44767F6B7B}" destId="{E18293A1-CBB0-4F98-97BF-44715FEB5DBB}" srcOrd="2" destOrd="0" parTransId="{57A1D9D2-6827-4344-9741-99A4B39233DE}" sibTransId="{DC662271-5C26-49C7-8D45-B124206FD1E0}"/>
    <dgm:cxn modelId="{2F40A305-734F-4085-8FB6-6718B2728FB6}" type="presOf" srcId="{DC662271-5C26-49C7-8D45-B124206FD1E0}" destId="{7DF06B72-23AC-4279-8DCA-D299F45DD883}" srcOrd="0" destOrd="0" presId="urn:microsoft.com/office/officeart/2005/8/layout/process2"/>
    <dgm:cxn modelId="{DBED7C0F-E525-4292-A978-7678F74CA1E3}" srcId="{E2C67B04-0BBF-4955-AF1B-5A44767F6B7B}" destId="{350CC9A4-00D3-4A0F-AC58-90A58A8A1DD9}" srcOrd="4" destOrd="0" parTransId="{A3FDE5FF-0E34-4A6D-A38D-FDC46D645CD2}" sibTransId="{668E0016-E7E2-4465-BA83-ABE5FA05EE8D}"/>
    <dgm:cxn modelId="{2774FD10-5AC3-4AB8-A61B-2561EBA585CC}" type="presOf" srcId="{BD37E111-BD52-44BA-82B4-55582CEFBCC0}" destId="{B6E0037B-ED89-410A-BB84-7027C4611F52}" srcOrd="0" destOrd="0" presId="urn:microsoft.com/office/officeart/2005/8/layout/process2"/>
    <dgm:cxn modelId="{36E05211-0E29-4F18-82EF-BEC83FB5ECDE}" type="presOf" srcId="{668E0016-E7E2-4465-BA83-ABE5FA05EE8D}" destId="{59753826-35CA-43AA-AC6A-ADB7DAB54A74}" srcOrd="0" destOrd="0" presId="urn:microsoft.com/office/officeart/2005/8/layout/process2"/>
    <dgm:cxn modelId="{5DD36118-B998-4C32-B41B-052C5FBC8C3A}" type="presOf" srcId="{668E0016-E7E2-4465-BA83-ABE5FA05EE8D}" destId="{85F64092-1599-431B-A9A7-AF051E8ACD18}" srcOrd="1" destOrd="0" presId="urn:microsoft.com/office/officeart/2005/8/layout/process2"/>
    <dgm:cxn modelId="{0047E667-B98A-4FF0-A816-48A2A803C2F0}" srcId="{E2C67B04-0BBF-4955-AF1B-5A44767F6B7B}" destId="{E0AE6DEE-0AE5-4F82-AFD8-9757EF2A0569}" srcOrd="1" destOrd="0" parTransId="{CF290685-5C09-417B-BAB5-39C5902122EB}" sibTransId="{9F6BAC00-4310-4FE7-8248-8A9FD13D17CD}"/>
    <dgm:cxn modelId="{4AEBE46D-949B-45AD-9FF5-FAAEB60E816C}" srcId="{E2C67B04-0BBF-4955-AF1B-5A44767F6B7B}" destId="{9EF2B3A6-2D4F-4BD4-AE04-D845AFCD3157}" srcOrd="5" destOrd="0" parTransId="{9DDB6114-0887-47C2-8330-8AF4D3BDFB7A}" sibTransId="{FF0CDAB0-9E2F-4D93-98E4-6BAEFCDA9036}"/>
    <dgm:cxn modelId="{52AD0858-F555-4AF4-8F76-CAEC705424E5}" type="presOf" srcId="{FF0CDAB0-9E2F-4D93-98E4-6BAEFCDA9036}" destId="{898E7F17-2D4B-4BC5-803F-2404523F4E46}" srcOrd="0" destOrd="0" presId="urn:microsoft.com/office/officeart/2005/8/layout/process2"/>
    <dgm:cxn modelId="{3D095179-E83C-4682-92AF-28BF8DB0AD35}" type="presOf" srcId="{8700D34A-C61E-498D-BC5B-2B0020B2B9D5}" destId="{D42EF770-F5AD-41B6-9BB8-A2E37E798CD7}" srcOrd="0" destOrd="0" presId="urn:microsoft.com/office/officeart/2005/8/layout/process2"/>
    <dgm:cxn modelId="{FD2F0A8C-C7B4-411B-B825-92E2AB2502CA}" type="presOf" srcId="{E2C67B04-0BBF-4955-AF1B-5A44767F6B7B}" destId="{603C201E-D320-4F0C-A30D-F61E5E9DC2B6}" srcOrd="0" destOrd="0" presId="urn:microsoft.com/office/officeart/2005/8/layout/process2"/>
    <dgm:cxn modelId="{BA4FCE91-AC3E-44DA-98E6-DC778801CBD5}" srcId="{E2C67B04-0BBF-4955-AF1B-5A44767F6B7B}" destId="{BD37E111-BD52-44BA-82B4-55582CEFBCC0}" srcOrd="6" destOrd="0" parTransId="{31CEDBCA-D244-49D8-AABD-5D9FFEEC6291}" sibTransId="{3262191B-D32B-4777-A830-72C7CA3EB527}"/>
    <dgm:cxn modelId="{71B24094-8D83-48F7-9544-A913E382F428}" type="presOf" srcId="{E18293A1-CBB0-4F98-97BF-44715FEB5DBB}" destId="{EDFFA0C5-206C-47F8-A3CF-4B7AA4D7DADB}" srcOrd="0" destOrd="0" presId="urn:microsoft.com/office/officeart/2005/8/layout/process2"/>
    <dgm:cxn modelId="{58D61C95-F44D-4DBF-A7C3-5BDEEEE0837E}" type="presOf" srcId="{350CC9A4-00D3-4A0F-AC58-90A58A8A1DD9}" destId="{AD6B8279-5B9A-4952-AA3F-E31C2FB45F06}" srcOrd="0" destOrd="0" presId="urn:microsoft.com/office/officeart/2005/8/layout/process2"/>
    <dgm:cxn modelId="{396E7FA7-85BB-4170-8130-8C145998C0D6}" type="presOf" srcId="{8700D34A-C61E-498D-BC5B-2B0020B2B9D5}" destId="{3A8F47F2-011F-4A3B-89DD-6A3C18347918}" srcOrd="1" destOrd="0" presId="urn:microsoft.com/office/officeart/2005/8/layout/process2"/>
    <dgm:cxn modelId="{120E40B5-11AF-468B-A7E4-B8C9BCA82AD5}" type="presOf" srcId="{FA177E3B-1ED3-417C-99E4-CBD48016B787}" destId="{8942E36C-5FDA-4E87-8F3A-75F1D415497F}" srcOrd="1" destOrd="0" presId="urn:microsoft.com/office/officeart/2005/8/layout/process2"/>
    <dgm:cxn modelId="{4004E1BC-E1B6-4EAF-AAD5-B70291065F8C}" srcId="{E2C67B04-0BBF-4955-AF1B-5A44767F6B7B}" destId="{7EFDB803-53D1-4800-897F-5D7214541BF1}" srcOrd="0" destOrd="0" parTransId="{95BCA820-AB37-4D6E-9C3F-AC110EC97B40}" sibTransId="{8700D34A-C61E-498D-BC5B-2B0020B2B9D5}"/>
    <dgm:cxn modelId="{839294C3-F7F6-427A-8B8B-7A0D77D04E56}" srcId="{E2C67B04-0BBF-4955-AF1B-5A44767F6B7B}" destId="{B4830FBE-0805-4ECD-9435-866EEF0AFE1F}" srcOrd="3" destOrd="0" parTransId="{DA0E2D58-C6DE-48F7-AEEB-1BE7644CAE38}" sibTransId="{FA177E3B-1ED3-417C-99E4-CBD48016B787}"/>
    <dgm:cxn modelId="{A7ECF8C6-3F39-4F1C-B9BA-7E4418314AFD}" type="presOf" srcId="{7EFDB803-53D1-4800-897F-5D7214541BF1}" destId="{7B0F5D4B-CB93-43E9-A8F3-A2834BB0F441}" srcOrd="0" destOrd="0" presId="urn:microsoft.com/office/officeart/2005/8/layout/process2"/>
    <dgm:cxn modelId="{00DF6CCA-6F0D-4295-B05D-91FB5D4BFD26}" type="presOf" srcId="{FF0CDAB0-9E2F-4D93-98E4-6BAEFCDA9036}" destId="{A5E85378-0276-4530-8AE2-69AE05EDD4D8}" srcOrd="1" destOrd="0" presId="urn:microsoft.com/office/officeart/2005/8/layout/process2"/>
    <dgm:cxn modelId="{D89009D1-A49D-4817-B33B-7266A5A2B33C}" type="presOf" srcId="{DC662271-5C26-49C7-8D45-B124206FD1E0}" destId="{49479B39-021D-4867-9D2E-5B628DBD3257}" srcOrd="1" destOrd="0" presId="urn:microsoft.com/office/officeart/2005/8/layout/process2"/>
    <dgm:cxn modelId="{8C4DF9D1-4DB0-4404-824A-9831B45C82EC}" type="presOf" srcId="{FA177E3B-1ED3-417C-99E4-CBD48016B787}" destId="{3B45765C-DC2B-4963-9451-5BEAEE1B214D}" srcOrd="0" destOrd="0" presId="urn:microsoft.com/office/officeart/2005/8/layout/process2"/>
    <dgm:cxn modelId="{5A034DD7-9946-44F2-A4E8-EAF9EE6D4818}" type="presOf" srcId="{9F6BAC00-4310-4FE7-8248-8A9FD13D17CD}" destId="{74941AEC-86CE-4CE3-913E-AFDAA9F51E35}" srcOrd="1" destOrd="0" presId="urn:microsoft.com/office/officeart/2005/8/layout/process2"/>
    <dgm:cxn modelId="{07E101DD-9616-43A3-A457-5DEA2CC2D3FF}" type="presOf" srcId="{B4830FBE-0805-4ECD-9435-866EEF0AFE1F}" destId="{A93806C6-1F9E-42D0-8FD4-FCB91066B23C}" srcOrd="0" destOrd="0" presId="urn:microsoft.com/office/officeart/2005/8/layout/process2"/>
    <dgm:cxn modelId="{5A5CAADD-965D-42FC-BB5A-9F2542C0EA8A}" type="presOf" srcId="{9EF2B3A6-2D4F-4BD4-AE04-D845AFCD3157}" destId="{B5BCD959-957B-4322-A237-791DADF53FE5}" srcOrd="0" destOrd="0" presId="urn:microsoft.com/office/officeart/2005/8/layout/process2"/>
    <dgm:cxn modelId="{F7B557F1-2802-4C91-ACB3-A6F57FBF0790}" type="presOf" srcId="{E0AE6DEE-0AE5-4F82-AFD8-9757EF2A0569}" destId="{5062DD84-1886-4777-9538-D74AAC88E6BD}" srcOrd="0" destOrd="0" presId="urn:microsoft.com/office/officeart/2005/8/layout/process2"/>
    <dgm:cxn modelId="{84B6EDF1-BAC7-4EF1-B69A-D8219BDAB92F}" type="presOf" srcId="{9F6BAC00-4310-4FE7-8248-8A9FD13D17CD}" destId="{D410572C-AA27-45B5-B095-76281D8C41C0}" srcOrd="0" destOrd="0" presId="urn:microsoft.com/office/officeart/2005/8/layout/process2"/>
    <dgm:cxn modelId="{639087FB-E2E1-481C-9EF7-2D9A45257B88}" type="presParOf" srcId="{603C201E-D320-4F0C-A30D-F61E5E9DC2B6}" destId="{7B0F5D4B-CB93-43E9-A8F3-A2834BB0F441}" srcOrd="0" destOrd="0" presId="urn:microsoft.com/office/officeart/2005/8/layout/process2"/>
    <dgm:cxn modelId="{FC3A0093-70EC-4DB8-8B3B-7F2CAE28F2D2}" type="presParOf" srcId="{603C201E-D320-4F0C-A30D-F61E5E9DC2B6}" destId="{D42EF770-F5AD-41B6-9BB8-A2E37E798CD7}" srcOrd="1" destOrd="0" presId="urn:microsoft.com/office/officeart/2005/8/layout/process2"/>
    <dgm:cxn modelId="{359A1599-9715-4C12-8FB0-91B9EFEFCC24}" type="presParOf" srcId="{D42EF770-F5AD-41B6-9BB8-A2E37E798CD7}" destId="{3A8F47F2-011F-4A3B-89DD-6A3C18347918}" srcOrd="0" destOrd="0" presId="urn:microsoft.com/office/officeart/2005/8/layout/process2"/>
    <dgm:cxn modelId="{A4EE96EB-9889-409E-B06C-5463423948D4}" type="presParOf" srcId="{603C201E-D320-4F0C-A30D-F61E5E9DC2B6}" destId="{5062DD84-1886-4777-9538-D74AAC88E6BD}" srcOrd="2" destOrd="0" presId="urn:microsoft.com/office/officeart/2005/8/layout/process2"/>
    <dgm:cxn modelId="{5EC6FA59-286F-431E-AFEC-D8067E8395C1}" type="presParOf" srcId="{603C201E-D320-4F0C-A30D-F61E5E9DC2B6}" destId="{D410572C-AA27-45B5-B095-76281D8C41C0}" srcOrd="3" destOrd="0" presId="urn:microsoft.com/office/officeart/2005/8/layout/process2"/>
    <dgm:cxn modelId="{7AD2533F-6277-4109-8413-A7EAB58EDD38}" type="presParOf" srcId="{D410572C-AA27-45B5-B095-76281D8C41C0}" destId="{74941AEC-86CE-4CE3-913E-AFDAA9F51E35}" srcOrd="0" destOrd="0" presId="urn:microsoft.com/office/officeart/2005/8/layout/process2"/>
    <dgm:cxn modelId="{5BAE18FC-92A4-4BEC-8F8B-3542389DBC4B}" type="presParOf" srcId="{603C201E-D320-4F0C-A30D-F61E5E9DC2B6}" destId="{EDFFA0C5-206C-47F8-A3CF-4B7AA4D7DADB}" srcOrd="4" destOrd="0" presId="urn:microsoft.com/office/officeart/2005/8/layout/process2"/>
    <dgm:cxn modelId="{4C905240-27A4-4008-8DD6-F2A556FBB70B}" type="presParOf" srcId="{603C201E-D320-4F0C-A30D-F61E5E9DC2B6}" destId="{7DF06B72-23AC-4279-8DCA-D299F45DD883}" srcOrd="5" destOrd="0" presId="urn:microsoft.com/office/officeart/2005/8/layout/process2"/>
    <dgm:cxn modelId="{CF92DEF6-D4B5-4DA4-BC99-1E56D135A3E9}" type="presParOf" srcId="{7DF06B72-23AC-4279-8DCA-D299F45DD883}" destId="{49479B39-021D-4867-9D2E-5B628DBD3257}" srcOrd="0" destOrd="0" presId="urn:microsoft.com/office/officeart/2005/8/layout/process2"/>
    <dgm:cxn modelId="{B4BF1EE6-A8C2-43EE-BBC3-D0524354B344}" type="presParOf" srcId="{603C201E-D320-4F0C-A30D-F61E5E9DC2B6}" destId="{A93806C6-1F9E-42D0-8FD4-FCB91066B23C}" srcOrd="6" destOrd="0" presId="urn:microsoft.com/office/officeart/2005/8/layout/process2"/>
    <dgm:cxn modelId="{11B33F95-3E4B-4B47-829E-080A6E318D30}" type="presParOf" srcId="{603C201E-D320-4F0C-A30D-F61E5E9DC2B6}" destId="{3B45765C-DC2B-4963-9451-5BEAEE1B214D}" srcOrd="7" destOrd="0" presId="urn:microsoft.com/office/officeart/2005/8/layout/process2"/>
    <dgm:cxn modelId="{EB8C2F55-2BD5-4273-8EEE-18E682E6166E}" type="presParOf" srcId="{3B45765C-DC2B-4963-9451-5BEAEE1B214D}" destId="{8942E36C-5FDA-4E87-8F3A-75F1D415497F}" srcOrd="0" destOrd="0" presId="urn:microsoft.com/office/officeart/2005/8/layout/process2"/>
    <dgm:cxn modelId="{E1D350B9-D81B-4102-8B0A-F7A1CAB7C3C9}" type="presParOf" srcId="{603C201E-D320-4F0C-A30D-F61E5E9DC2B6}" destId="{AD6B8279-5B9A-4952-AA3F-E31C2FB45F06}" srcOrd="8" destOrd="0" presId="urn:microsoft.com/office/officeart/2005/8/layout/process2"/>
    <dgm:cxn modelId="{467E919D-4E51-4C2B-9ACA-C75106261D3D}" type="presParOf" srcId="{603C201E-D320-4F0C-A30D-F61E5E9DC2B6}" destId="{59753826-35CA-43AA-AC6A-ADB7DAB54A74}" srcOrd="9" destOrd="0" presId="urn:microsoft.com/office/officeart/2005/8/layout/process2"/>
    <dgm:cxn modelId="{47B2A227-A048-4BFF-875B-7017BA91AD2E}" type="presParOf" srcId="{59753826-35CA-43AA-AC6A-ADB7DAB54A74}" destId="{85F64092-1599-431B-A9A7-AF051E8ACD18}" srcOrd="0" destOrd="0" presId="urn:microsoft.com/office/officeart/2005/8/layout/process2"/>
    <dgm:cxn modelId="{E744A8D5-99C5-4872-852A-F12F46E8BB62}" type="presParOf" srcId="{603C201E-D320-4F0C-A30D-F61E5E9DC2B6}" destId="{B5BCD959-957B-4322-A237-791DADF53FE5}" srcOrd="10" destOrd="0" presId="urn:microsoft.com/office/officeart/2005/8/layout/process2"/>
    <dgm:cxn modelId="{01A3C184-1BE8-4052-8B57-EB0BAD1A0827}" type="presParOf" srcId="{603C201E-D320-4F0C-A30D-F61E5E9DC2B6}" destId="{898E7F17-2D4B-4BC5-803F-2404523F4E46}" srcOrd="11" destOrd="0" presId="urn:microsoft.com/office/officeart/2005/8/layout/process2"/>
    <dgm:cxn modelId="{C45DE7D4-36E2-4840-8BF1-66E1E42BB191}" type="presParOf" srcId="{898E7F17-2D4B-4BC5-803F-2404523F4E46}" destId="{A5E85378-0276-4530-8AE2-69AE05EDD4D8}" srcOrd="0" destOrd="0" presId="urn:microsoft.com/office/officeart/2005/8/layout/process2"/>
    <dgm:cxn modelId="{3816F847-DEA6-477A-88FB-9F31EFD63DB8}" type="presParOf" srcId="{603C201E-D320-4F0C-A30D-F61E5E9DC2B6}" destId="{B6E0037B-ED89-410A-BB84-7027C4611F52}" srcOrd="12" destOrd="0" presId="urn:microsoft.com/office/officeart/2005/8/layout/process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0F5D4B-CB93-43E9-A8F3-A2834BB0F441}">
      <dsp:nvSpPr>
        <dsp:cNvPr id="0" name=""/>
        <dsp:cNvSpPr/>
      </dsp:nvSpPr>
      <dsp:spPr>
        <a:xfrm>
          <a:off x="2206025" y="4780"/>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Records identified through database searching (</a:t>
          </a:r>
          <a:r>
            <a:rPr lang="en-GB" sz="1100" kern="1200">
              <a:latin typeface="Arial" panose="020B0604020202020204" pitchFamily="34" charset="0"/>
              <a:cs typeface="Arial" panose="020B0604020202020204" pitchFamily="34" charset="0"/>
            </a:rPr>
            <a:t>n-857</a:t>
          </a:r>
          <a:r>
            <a:rPr lang="en-GB" sz="1000" kern="1200">
              <a:latin typeface="Arial" panose="020B0604020202020204" pitchFamily="34" charset="0"/>
              <a:cs typeface="Arial" panose="020B0604020202020204" pitchFamily="34" charset="0"/>
            </a:rPr>
            <a:t>)</a:t>
          </a:r>
        </a:p>
      </dsp:txBody>
      <dsp:txXfrm>
        <a:off x="2228940" y="27695"/>
        <a:ext cx="1523819" cy="736549"/>
      </dsp:txXfrm>
    </dsp:sp>
    <dsp:sp modelId="{D42EF770-F5AD-41B6-9BB8-A2E37E798CD7}">
      <dsp:nvSpPr>
        <dsp:cNvPr id="0" name=""/>
        <dsp:cNvSpPr/>
      </dsp:nvSpPr>
      <dsp:spPr>
        <a:xfrm rot="5400000">
          <a:off x="2844153" y="806719"/>
          <a:ext cx="293392" cy="3520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885228" y="836058"/>
        <a:ext cx="211242" cy="205374"/>
      </dsp:txXfrm>
    </dsp:sp>
    <dsp:sp modelId="{5062DD84-1886-4777-9538-D74AAC88E6BD}">
      <dsp:nvSpPr>
        <dsp:cNvPr id="0" name=""/>
        <dsp:cNvSpPr/>
      </dsp:nvSpPr>
      <dsp:spPr>
        <a:xfrm>
          <a:off x="2206025" y="1178350"/>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Duplicates Removed (n=143)</a:t>
          </a:r>
        </a:p>
      </dsp:txBody>
      <dsp:txXfrm>
        <a:off x="2228940" y="1201265"/>
        <a:ext cx="1523819" cy="736549"/>
      </dsp:txXfrm>
    </dsp:sp>
    <dsp:sp modelId="{D410572C-AA27-45B5-B095-76281D8C41C0}">
      <dsp:nvSpPr>
        <dsp:cNvPr id="0" name=""/>
        <dsp:cNvSpPr/>
      </dsp:nvSpPr>
      <dsp:spPr>
        <a:xfrm rot="5400000">
          <a:off x="2844153" y="1980289"/>
          <a:ext cx="293392" cy="3520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885228" y="2009628"/>
        <a:ext cx="211242" cy="205374"/>
      </dsp:txXfrm>
    </dsp:sp>
    <dsp:sp modelId="{EDFFA0C5-206C-47F8-A3CF-4B7AA4D7DADB}">
      <dsp:nvSpPr>
        <dsp:cNvPr id="0" name=""/>
        <dsp:cNvSpPr/>
      </dsp:nvSpPr>
      <dsp:spPr>
        <a:xfrm>
          <a:off x="2206025" y="2351920"/>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Records Screened (n=714</a:t>
          </a:r>
          <a:r>
            <a:rPr lang="en-GB" sz="1000" kern="1200"/>
            <a:t>)</a:t>
          </a:r>
        </a:p>
      </dsp:txBody>
      <dsp:txXfrm>
        <a:off x="2228940" y="2374835"/>
        <a:ext cx="1523819" cy="736549"/>
      </dsp:txXfrm>
    </dsp:sp>
    <dsp:sp modelId="{7DF06B72-23AC-4279-8DCA-D299F45DD883}">
      <dsp:nvSpPr>
        <dsp:cNvPr id="0" name=""/>
        <dsp:cNvSpPr/>
      </dsp:nvSpPr>
      <dsp:spPr>
        <a:xfrm rot="5400000">
          <a:off x="2844153" y="3153859"/>
          <a:ext cx="293392" cy="3520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885228" y="3183198"/>
        <a:ext cx="211242" cy="205374"/>
      </dsp:txXfrm>
    </dsp:sp>
    <dsp:sp modelId="{A93806C6-1F9E-42D0-8FD4-FCB91066B23C}">
      <dsp:nvSpPr>
        <dsp:cNvPr id="0" name=""/>
        <dsp:cNvSpPr/>
      </dsp:nvSpPr>
      <dsp:spPr>
        <a:xfrm>
          <a:off x="2206025" y="3525490"/>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Records excluded after title/abstract review (n =598)</a:t>
          </a:r>
        </a:p>
      </dsp:txBody>
      <dsp:txXfrm>
        <a:off x="2228940" y="3548405"/>
        <a:ext cx="1523819" cy="736549"/>
      </dsp:txXfrm>
    </dsp:sp>
    <dsp:sp modelId="{3B45765C-DC2B-4963-9451-5BEAEE1B214D}">
      <dsp:nvSpPr>
        <dsp:cNvPr id="0" name=""/>
        <dsp:cNvSpPr/>
      </dsp:nvSpPr>
      <dsp:spPr>
        <a:xfrm rot="5400000">
          <a:off x="2844153" y="4327429"/>
          <a:ext cx="293392" cy="3520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885228" y="4356768"/>
        <a:ext cx="211242" cy="205374"/>
      </dsp:txXfrm>
    </dsp:sp>
    <dsp:sp modelId="{AD6B8279-5B9A-4952-AA3F-E31C2FB45F06}">
      <dsp:nvSpPr>
        <dsp:cNvPr id="0" name=""/>
        <dsp:cNvSpPr/>
      </dsp:nvSpPr>
      <dsp:spPr>
        <a:xfrm>
          <a:off x="2206025" y="4699059"/>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Full-text articles assessed for eligibility (n=116)</a:t>
          </a:r>
        </a:p>
      </dsp:txBody>
      <dsp:txXfrm>
        <a:off x="2228940" y="4721974"/>
        <a:ext cx="1523819" cy="736549"/>
      </dsp:txXfrm>
    </dsp:sp>
    <dsp:sp modelId="{59753826-35CA-43AA-AC6A-ADB7DAB54A74}">
      <dsp:nvSpPr>
        <dsp:cNvPr id="0" name=""/>
        <dsp:cNvSpPr/>
      </dsp:nvSpPr>
      <dsp:spPr>
        <a:xfrm rot="5400000">
          <a:off x="2844153" y="5500999"/>
          <a:ext cx="293392" cy="3520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885228" y="5530338"/>
        <a:ext cx="211242" cy="205374"/>
      </dsp:txXfrm>
    </dsp:sp>
    <dsp:sp modelId="{B5BCD959-957B-4322-A237-791DADF53FE5}">
      <dsp:nvSpPr>
        <dsp:cNvPr id="0" name=""/>
        <dsp:cNvSpPr/>
      </dsp:nvSpPr>
      <dsp:spPr>
        <a:xfrm>
          <a:off x="2206025" y="5872629"/>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Full-text articles excluded</a:t>
          </a:r>
        </a:p>
        <a:p>
          <a:pPr marL="0" lvl="0" indent="0" algn="ctr" defTabSz="4445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wrong age group</a:t>
          </a:r>
        </a:p>
        <a:p>
          <a:pPr marL="0" lvl="0" indent="0" algn="ctr" defTabSz="4445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not peer reviewed</a:t>
          </a:r>
        </a:p>
        <a:p>
          <a:pPr marL="0" lvl="0" indent="0" algn="ctr" defTabSz="4445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adult population</a:t>
          </a:r>
        </a:p>
        <a:p>
          <a:pPr marL="0" lvl="0" indent="0" algn="ctr" defTabSz="4445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not relevant</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(n=81)</a:t>
          </a:r>
        </a:p>
      </dsp:txBody>
      <dsp:txXfrm>
        <a:off x="2228940" y="5895544"/>
        <a:ext cx="1523819" cy="736549"/>
      </dsp:txXfrm>
    </dsp:sp>
    <dsp:sp modelId="{898E7F17-2D4B-4BC5-803F-2404523F4E46}">
      <dsp:nvSpPr>
        <dsp:cNvPr id="0" name=""/>
        <dsp:cNvSpPr/>
      </dsp:nvSpPr>
      <dsp:spPr>
        <a:xfrm rot="5400000">
          <a:off x="2844153" y="6674569"/>
          <a:ext cx="293392" cy="3520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885228" y="6703908"/>
        <a:ext cx="211242" cy="205374"/>
      </dsp:txXfrm>
    </dsp:sp>
    <dsp:sp modelId="{B6E0037B-ED89-410A-BB84-7027C4611F52}">
      <dsp:nvSpPr>
        <dsp:cNvPr id="0" name=""/>
        <dsp:cNvSpPr/>
      </dsp:nvSpPr>
      <dsp:spPr>
        <a:xfrm>
          <a:off x="2206025" y="7046199"/>
          <a:ext cx="1569649" cy="7823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Students included in literature </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review (n=35)</a:t>
          </a:r>
        </a:p>
      </dsp:txBody>
      <dsp:txXfrm>
        <a:off x="2228940" y="7069114"/>
        <a:ext cx="1523819" cy="73654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5T20:43:27.787"/>
    </inkml:context>
    <inkml:brush xml:id="br0">
      <inkml:brushProperty name="width" value="0.035" units="cm"/>
      <inkml:brushProperty name="height" value="0.035" units="cm"/>
    </inkml:brush>
  </inkml:definitions>
  <inkml:trace contextRef="#ctx0" brushRef="#br0">928 12 24575,'-9'0'0,"-1"1"0,0 0 0,-14 4 0,1-1 0,-339 85 0,296-70 0,-81 34 0,121-41 0,1 0 0,1 1 0,0 1 0,1 0 0,-40 35 0,52-38 0,0 0 0,0 0 0,2 1 0,-14 22 0,19-27 0,-1 2 0,1-1 0,1 1 0,0-1 0,1 1 0,-1 0 0,2 0 0,-1 14 0,2-19 0,0 0 0,0 0 0,1 1 0,0-2 0,0 1 0,0 0 0,1 0 0,-1 0 0,1 0 0,0 0 0,0-1 0,3 5 0,-3-6 0,0 0 0,1 1 0,-1-2 0,1 1 0,-1 0 0,1 0 0,-1 0 0,1-1 0,0 1 0,0-1 0,0 0 0,0 0 0,0 0 0,1 0 0,-1 0 0,0 0 0,0-1 0,5 1 0,1-1 0,-1 0 0,1 0 0,-1-1 0,1 0 0,-1 0 0,10-3 0,3-2 0,27-10 0,84-45 0,-52 22 0,-71 35 0,0 0 0,0 1 0,0 0 0,1 0 0,11-2 0,-19 5 0,1-1 0,0 1 0,-1 0 0,1 0 0,-1 0 0,1 0 0,0 0 0,0 1 0,-1-1 0,1 1 0,-1-1 0,1 1 0,-1 0 0,1 0 0,-1 0 0,1 0 0,-1 0 0,0 0 0,0 1 0,0-1 0,0 1 0,0-1 0,3 4 0,-1-1 0,0 1 0,-1 0 0,0 0 0,0 0 0,-1 0 0,1 0 0,1 7 0,0 2 0,3 25 0,-4-7 0,-1 1 0,-2-1 0,-2 0 0,-2 1 0,-1-1 0,-1 0 0,-21 53 0,25-81 0,-3 9 0,-9 16 0,12-26 0,0 0 0,0 0 0,0 0 0,0 0 0,-1 0 0,1 0 0,-1-1 0,0 1 0,0-1 0,-5 3 0,8-4 0,-1-1 0,1 0 0,0 0 0,-1 1 0,0-1 0,1 0 0,-1 1 0,1-1 0,-1 0 0,1 0 0,-1 0 0,0 0 0,1 0 0,-1 0 0,1 0 0,-1 0 0,0 0 0,1 0 0,-1 0 0,1 0 0,-1 0 0,0 0 0,1 0 0,-1-1 0,0 1 0,1 0 0,0 0 0,-1-1 0,1 1 0,-1 0 0,0-1 0,1 1 0,0 0 0,-1 0 0,1-1 0,-1 0 0,1 1 0,-1-2 0,-1 0 0,1 0 0,0-1 0,0 2 0,0-2 0,0 1 0,0-4 0,-2-12 0,1-1 0,2-33 0,1 21 0,-3-33-180,-3 1-1,-3-1 1,-36-123 0,-17 11 180,-7-24 0,66 193-15,2 5 4,1 3 7,3 13 154,120 347-763,16-7-415,-132-334 925,68 146-278,-74-161 381,1 0 0,-1-1 0,1 1 0,0-1 0,0 1 0,0-1 0,7 7 0,-9-11 0,-1 0 0,0 1-1,0-1 1,1 0 0,-1 0-1,0 1 1,1-1 0,-1 0-1,1 0 1,-1 0 0,0 0-1,1 1 1,-1-1 0,1 0 0,-1 0-1,1 0 1,-1 0 0,1 0-1,-1 0 1,0 0 0,1 0-1,-1 0 1,1 0 0,-1 0-1,1 0 1,0 0 0,0-1 29,0 1 1,-1-1-1,1 1 1,0-1 0,0 0-1,-1 1 1,1-1-1,0 0 1,0 0-1,-1 1 1,1-3 0,5-7 337,-2 1 1,0-1 0,-1-1 0,3-15 0,-6 26-368,23-124 573,-9-3-684,-10 88 65,1-9-67,17-244-392,-22 283 505,-1 8 0,0 5 0,-7 57 116,8-60-109,-4 71 303,12 131-1,-5-176-309,8 27 0,-8-46 0,0 1 0,0 0 0,1 0 0,0-1 0,1 1 0,9 11 0,-12-18 0,0 1 0,0 0 0,1-1 0,0 1 0,0-1 0,-1 0 0,2 0 0,-1 0 0,0 0 0,0 0 0,1-1 0,4 3 0,-5-4 0,1 1 0,-1 0 0,1-1 0,-1 1 0,0-1 0,1 0 0,-1 0 0,1 0 0,-1 0 0,1 0 0,-1-1 0,1 0 0,5-2 0,-1 1 9,0-1-1,-1 0 1,0 0 0,0-1-1,0 0 1,-1 0-1,0-1 1,0 0-1,7-6 1,2-4-734,25-33-1,0-8-6100</inkml:trace>
  <inkml:trace contextRef="#ctx0" brushRef="#br0" timeOffset="776.94">1083 193 24575,'1'5'0,"5"27"0,16 49 0,-15-60 0,63 167 0,-67-181 0,-2-3 0,1-1 0,-1 0 0,2 1 0,-2-1 0,2 0 0,-1 0 0,4 5 0,-5-8 0,-1 0 0,0 0 0,0 0 0,0 0 0,0 0 0,0 1 0,0-1 0,0 0 0,0 0 0,0 0 0,1 0 0,-1 0 0,0 0 0,0 0 0,0 0 0,1 0 0,-1 0 0,0 0 0,0 0 0,0 0 0,0 0 0,1 0 0,-1 0 0,0 0 0,0 0 0,0 0 0,1 0 0,-1 0 0,0 0 0,0 0 0,0 0 0,0 0 0,0 0 0,0 0 0,0-1 0,0 1 0,1 0 0,-1 0 0,0 0 0,0 0 0,0 0 0,0 0 0,0 0 0,0 0 0,0-1 0,1 1 0,-1 0 0,0 0 0,0 0 0,0 0 0,0-1 0,0 1 0,0 0 0,0 0 0,0 0 0,0 0 0,0 0 0,1-4 0,-1 1 0,1 0 0,0 0 0,-1 0 0,0-7 0,-3-18 0,2 17 0,-11-62 0,-27-87 0,37 155 0,0-3 0,5 14 0,9 26 0,41 97 0,8-4 0,-61-125 0,4 9 0,1-1 0,0 0 0,0-1 0,0 1 0,11 8 0,-16-15 0,2 1 0,-1-1 0,0-1 0,1 1 0,-1 0 0,1 0 0,-1 0 0,1-1 0,-1 1 0,1 0 0,0-1 0,-1 0 0,1 1 0,-1-1 0,1 0 0,0 0 0,-1 0 0,1 0 0,0 0 0,-1 0 0,1 0 0,0 0 0,-1 0 0,1 0 0,0-1 0,-1 1 0,1-1 0,0 1 0,-1-1 0,3-1 0,1-1 0,1 0 0,-1 0 0,0-1 0,0 0 0,0 0 0,6-8 0,1-2 0,0 0 0,-2-1 0,0 0 0,-1-1 0,0 0 0,-1 0 0,-2 0 0,0-1 0,-1 0 0,-1 0 0,-1 0 0,0-1 0,-1-20 0,-2 19 0,-1 0 0,-1 0 0,-1 0 0,-1 1 0,0-1 0,-2 1 0,-1 0 0,0 0 0,-2 0 0,-1 1 0,-22-32 0,26 41 0,-1 1 0,1 0 0,-1 0 0,0 1 0,-13-9 0,17 12 0,-1 2 0,1-2 0,-1 1 0,0 1 0,0-1 0,-1 1 0,2-1 0,-2 1 0,1 1 0,0-1 0,0 0 0,-1 1 0,1-1 0,0 1 0,-1 0 0,-3 1 0,0 0 0,0 0 0,0 1 0,1 0 0,-1 0 0,1 1 0,0 0 0,-14 6 0,3 2 0,-27 20 0,26-17 2,1 1-1,1 1 1,0 0 0,1 2-1,2-1 1,-18 29-1,22-30-16,1 1 0,1-1 0,1 1 0,1 1 0,0-1-1,2 1 1,1 0 0,-2 22 0,4-19-27,2-1 0,1 1 1,1 0-1,0 0 0,2-1 0,1 1 0,1-1 1,1-1-1,1 1 0,0-1 0,2-1 1,1 1-1,1-1 0,17 19 0,-22-29 42,0 0 0,1 0 0,0-1 0,1 1 0,-1-2 0,23 13 0,-28-17 0,2 0 0,-2 0 0,2-1 0,-1 1 0,0-1 0,1 0 0,-1 1 0,0-2 0,1 1 0,0-1 0,-1 0 0,1 0 0,-1 0 0,1-1 0,0 1 0,-1-2 0,0 1 0,6-2 0,-3 1 0,0-2 0,0 1 0,-1-1 0,1 0 0,-1-1 0,0 1 0,-1-1 0,8-7 0,2-3-106,-2 0 0,0-1 0,-1-1 0,-1 0 0,-1-1 0,10-21 0,-2-4-228,21-70 1,-16 22 333,-12 32 0,-9 50-2,-2 13-27,-1 24-734,0-25 552,-2 56-4814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4T19:14:19.248"/>
    </inkml:context>
    <inkml:brush xml:id="br0">
      <inkml:brushProperty name="width" value="0.035" units="cm"/>
      <inkml:brushProperty name="height" value="0.035" units="cm"/>
    </inkml:brush>
  </inkml:definitions>
  <inkml:trace contextRef="#ctx0" brushRef="#br0">928 12 24575,'-9'0'0,"-1"1"0,0 0 0,-14 4 0,1-1 0,-339 85 0,296-70 0,-81 34 0,121-41 0,1 0 0,1 1 0,0 1 0,1 0 0,-40 35 0,52-38 0,0 0 0,0 0 0,2 1 0,-14 22 0,19-27 0,-1 2 0,1-1 0,1 1 0,0-1 0,1 1 0,-1 0 0,2 0 0,-1 14 0,2-19 0,0 0 0,0 0 0,1 1 0,0-2 0,0 1 0,0 0 0,1 0 0,-1 0 0,1 0 0,0 0 0,0-1 0,3 5 0,-3-6 0,0 0 0,1 1 0,-1-2 0,1 1 0,-1 0 0,1 0 0,-1 0 0,1-1 0,0 1 0,0-1 0,0 0 0,0 0 0,0 0 0,1 0 0,-1 0 0,0 0 0,0-1 0,5 1 0,1-1 0,-1 0 0,1 0 0,-1-1 0,1 0 0,-1 0 0,10-3 0,3-2 0,27-10 0,84-45 0,-52 22 0,-71 35 0,0 0 0,0 1 0,0 0 0,1 0 0,11-2 0,-19 5 0,1-1 0,0 1 0,-1 0 0,1 0 0,-1 0 0,1 0 0,0 0 0,0 1 0,-1-1 0,1 1 0,-1-1 0,1 1 0,-1 0 0,1 0 0,-1 0 0,1 0 0,-1 0 0,0 0 0,0 1 0,0-1 0,0 1 0,0-1 0,3 4 0,-1-1 0,0 1 0,-1 0 0,0 0 0,0 0 0,-1 0 0,1 0 0,1 7 0,0 2 0,3 25 0,-4-7 0,-1 1 0,-2-1 0,-2 0 0,-2 1 0,-1-1 0,-1 0 0,-21 53 0,25-81 0,-3 9 0,-9 16 0,12-26 0,0 0 0,0 0 0,0 0 0,0 0 0,-1 0 0,1 0 0,-1-1 0,0 1 0,0-1 0,-5 3 0,8-4 0,-1-1 0,1 0 0,0 0 0,-1 1 0,0-1 0,1 0 0,-1 1 0,1-1 0,-1 0 0,1 0 0,-1 0 0,0 0 0,1 0 0,-1 0 0,1 0 0,-1 0 0,0 0 0,1 0 0,-1 0 0,1 0 0,-1 0 0,0 0 0,1 0 0,-1-1 0,0 1 0,1 0 0,0 0 0,-1-1 0,1 1 0,-1 0 0,0-1 0,1 1 0,0 0 0,-1 0 0,1-1 0,-1 0 0,1 1 0,-1-2 0,-1 0 0,1 0 0,0-1 0,0 2 0,0-2 0,0 1 0,0-4 0,-2-12 0,1-1 0,2-33 0,1 21 0,-3-33-180,-3 1-1,-3-1 1,-36-123 0,-17 11 180,-7-24 0,66 193-15,2 5 4,1 3 7,3 13 154,120 347-763,16-7-415,-132-334 925,68 146-278,-74-161 381,1 0 0,-1-1 0,1 1 0,0-1 0,0 1 0,0-1 0,7 7 0,-9-11 0,-1 0 0,0 1-1,0-1 1,1 0 0,-1 0-1,0 1 1,1-1 0,-1 0-1,1 0 1,-1 0 0,0 0-1,1 1 1,-1-1 0,1 0 0,-1 0-1,1 0 1,-1 0 0,1 0-1,-1 0 1,0 0 0,1 0-1,-1 0 1,1 0 0,-1 0-1,1 0 1,0 0 0,0-1 29,0 1 1,-1-1-1,1 1 1,0-1 0,0 0-1,-1 1 1,1-1-1,0 0 1,0 0-1,-1 1 1,1-3 0,5-7 337,-2 1 1,0-1 0,-1-1 0,3-15 0,-6 26-368,23-124 573,-9-3-684,-10 88 65,1-9-67,17-244-392,-22 283 505,-1 8 0,0 5 0,-7 57 116,8-60-109,-4 71 303,12 131-1,-5-176-309,8 27 0,-8-46 0,0 1 0,0 0 0,1 0 0,0-1 0,1 1 0,9 11 0,-12-18 0,0 1 0,0 0 0,1-1 0,0 1 0,0-1 0,-1 0 0,2 0 0,-1 0 0,0 0 0,0 0 0,1-1 0,4 3 0,-5-4 0,1 1 0,-1 0 0,1-1 0,-1 1 0,0-1 0,1 0 0,-1 0 0,1 0 0,-1 0 0,1 0 0,-1-1 0,1 0 0,5-2 0,-1 1 9,0-1-1,-1 0 1,0 0 0,0-1-1,0 0 1,-1 0-1,0-1 1,0 0-1,7-6 1,2-4-734,25-33-1,0-8-6100</inkml:trace>
  <inkml:trace contextRef="#ctx0" brushRef="#br0" timeOffset="1">1083 193 24575,'1'5'0,"5"27"0,16 49 0,-15-60 0,63 167 0,-67-181 0,-2-3 0,1-1 0,-1 0 0,2 1 0,-2-1 0,2 0 0,-1 0 0,4 5 0,-5-8 0,-1 0 0,0 0 0,0 0 0,0 0 0,0 0 0,0 1 0,0-1 0,0 0 0,0 0 0,0 0 0,1 0 0,-1 0 0,0 0 0,0 0 0,0 0 0,1 0 0,-1 0 0,0 0 0,0 0 0,0 0 0,0 0 0,1 0 0,-1 0 0,0 0 0,0 0 0,0 0 0,1 0 0,-1 0 0,0 0 0,0 0 0,0 0 0,0 0 0,0 0 0,0 0 0,0-1 0,0 1 0,1 0 0,-1 0 0,0 0 0,0 0 0,0 0 0,0 0 0,0 0 0,0 0 0,0-1 0,1 1 0,-1 0 0,0 0 0,0 0 0,0 0 0,0-1 0,0 1 0,0 0 0,0 0 0,0 0 0,0 0 0,0 0 0,1-4 0,-1 1 0,1 0 0,0 0 0,-1 0 0,0-7 0,-3-18 0,2 17 0,-11-62 0,-27-87 0,37 155 0,0-3 0,5 14 0,9 26 0,41 97 0,8-4 0,-61-125 0,4 9 0,1-1 0,0 0 0,0-1 0,0 1 0,11 8 0,-16-15 0,2 1 0,-1-1 0,0-1 0,1 1 0,-1 0 0,1 0 0,-1 0 0,1-1 0,-1 1 0,1 0 0,0-1 0,-1 0 0,1 1 0,-1-1 0,1 0 0,0 0 0,-1 0 0,1 0 0,0 0 0,-1 0 0,1 0 0,0 0 0,-1 0 0,1 0 0,0-1 0,-1 1 0,1-1 0,0 1 0,-1-1 0,3-1 0,1-1 0,1 0 0,-1 0 0,0-1 0,0 0 0,0 0 0,6-8 0,1-2 0,0 0 0,-2-1 0,0 0 0,-1-1 0,0 0 0,-1 0 0,-2 0 0,0-1 0,-1 0 0,-1 0 0,-1 0 0,0-1 0,-1-20 0,-2 19 0,-1 0 0,-1 0 0,-1 0 0,-1 1 0,0-1 0,-2 1 0,-1 0 0,0 0 0,-2 0 0,-1 1 0,-22-32 0,26 41 0,-1 1 0,1 0 0,-1 0 0,0 1 0,-13-9 0,17 12 0,-1 2 0,1-2 0,-1 1 0,0 1 0,0-1 0,-1 1 0,2-1 0,-2 1 0,1 1 0,0-1 0,0 0 0,-1 1 0,1-1 0,0 1 0,-1 0 0,-3 1 0,0 0 0,0 0 0,0 1 0,1 0 0,-1 0 0,1 1 0,0 0 0,-14 6 0,3 2 0,-27 20 0,26-17 2,1 1-1,1 1 1,0 0 0,1 2-1,2-1 1,-18 29-1,22-30-16,1 1 0,1-1 0,1 1 0,1 1 0,0-1-1,2 1 1,1 0 0,-2 22 0,4-19-27,2-1 0,1 1 1,1 0-1,0 0 0,2-1 0,1 1 0,1-1 1,1-1-1,1 1 0,0-1 0,2-1 1,1 1-1,1-1 0,17 19 0,-22-29 42,0 0 0,1 0 0,0-1 0,1 1 0,-1-2 0,23 13 0,-28-17 0,2 0 0,-2 0 0,2-1 0,-1 1 0,0-1 0,1 0 0,-1 1 0,0-2 0,1 1 0,0-1 0,-1 0 0,1 0 0,-1 0 0,1-1 0,0 1 0,-1-2 0,0 1 0,6-2 0,-3 1 0,0-2 0,0 1 0,-1-1 0,1 0 0,-1-1 0,0 1 0,-1-1 0,8-7 0,2-3-106,-2 0 0,0-1 0,-1-1 0,-1 0 0,-1-1 0,10-21 0,-2-4-228,21-70 1,-16 22 333,-12 32 0,-9 50-2,-2 13-27,-1 24-734,0-25 552,-2 56-4814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4T19:14:26.754"/>
    </inkml:context>
    <inkml:brush xml:id="br0">
      <inkml:brushProperty name="width" value="0.035" units="cm"/>
      <inkml:brushProperty name="height" value="0.035" units="cm"/>
    </inkml:brush>
  </inkml:definitions>
  <inkml:trace contextRef="#ctx0" brushRef="#br0">928 12 24575,'-9'0'0,"-1"1"0,0 0 0,-14 4 0,1-1 0,-339 85 0,296-70 0,-81 34 0,121-41 0,1 0 0,1 1 0,0 1 0,1 0 0,-40 35 0,52-38 0,0 0 0,0 0 0,2 1 0,-14 22 0,19-27 0,-1 2 0,1-1 0,1 1 0,0-1 0,1 1 0,-1 0 0,2 0 0,-1 14 0,2-19 0,0 0 0,0 0 0,1 1 0,0-2 0,0 1 0,0 0 0,1 0 0,-1 0 0,1 0 0,0 0 0,0-1 0,3 5 0,-3-6 0,0 0 0,1 1 0,-1-2 0,1 1 0,-1 0 0,1 0 0,-1 0 0,1-1 0,0 1 0,0-1 0,0 0 0,0 0 0,0 0 0,1 0 0,-1 0 0,0 0 0,0-1 0,5 1 0,1-1 0,-1 0 0,1 0 0,-1-1 0,1 0 0,-1 0 0,10-3 0,3-2 0,27-10 0,84-45 0,-52 22 0,-71 35 0,0 0 0,0 1 0,0 0 0,1 0 0,11-2 0,-19 5 0,1-1 0,0 1 0,-1 0 0,1 0 0,-1 0 0,1 0 0,0 0 0,0 1 0,-1-1 0,1 1 0,-1-1 0,1 1 0,-1 0 0,1 0 0,-1 0 0,1 0 0,-1 0 0,0 0 0,0 1 0,0-1 0,0 1 0,0-1 0,3 4 0,-1-1 0,0 1 0,-1 0 0,0 0 0,0 0 0,-1 0 0,1 0 0,1 7 0,0 2 0,3 25 0,-4-7 0,-1 1 0,-2-1 0,-2 0 0,-2 1 0,-1-1 0,-1 0 0,-21 53 0,25-81 0,-3 9 0,-9 16 0,12-26 0,0 0 0,0 0 0,0 0 0,0 0 0,-1 0 0,1 0 0,-1-1 0,0 1 0,0-1 0,-5 3 0,8-4 0,-1-1 0,1 0 0,0 0 0,-1 1 0,0-1 0,1 0 0,-1 1 0,1-1 0,-1 0 0,1 0 0,-1 0 0,0 0 0,1 0 0,-1 0 0,1 0 0,-1 0 0,0 0 0,1 0 0,-1 0 0,1 0 0,-1 0 0,0 0 0,1 0 0,-1-1 0,0 1 0,1 0 0,0 0 0,-1-1 0,1 1 0,-1 0 0,0-1 0,1 1 0,0 0 0,-1 0 0,1-1 0,-1 0 0,1 1 0,-1-2 0,-1 0 0,1 0 0,0-1 0,0 2 0,0-2 0,0 1 0,0-4 0,-2-12 0,1-1 0,2-33 0,1 21 0,-3-33-180,-3 1-1,-3-1 1,-36-123 0,-17 11 180,-7-24 0,66 193-15,2 5 4,1 3 7,3 13 154,120 347-763,16-7-415,-132-334 925,68 146-278,-74-161 381,1 0 0,-1-1 0,1 1 0,0-1 0,0 1 0,0-1 0,7 7 0,-9-11 0,-1 0 0,0 1-1,0-1 1,1 0 0,-1 0-1,0 1 1,1-1 0,-1 0-1,1 0 1,-1 0 0,0 0-1,1 1 1,-1-1 0,1 0 0,-1 0-1,1 0 1,-1 0 0,1 0-1,-1 0 1,0 0 0,1 0-1,-1 0 1,1 0 0,-1 0-1,1 0 1,0 0 0,0-1 29,0 1 1,-1-1-1,1 1 1,0-1 0,0 0-1,-1 1 1,1-1-1,0 0 1,0 0-1,-1 1 1,1-3 0,5-7 337,-2 1 1,0-1 0,-1-1 0,3-15 0,-6 26-368,23-124 573,-9-3-684,-10 88 65,1-9-67,17-244-392,-22 283 505,-1 8 0,0 5 0,-7 57 116,8-60-109,-4 71 303,12 131-1,-5-176-309,8 27 0,-8-46 0,0 1 0,0 0 0,1 0 0,0-1 0,1 1 0,9 11 0,-12-18 0,0 1 0,0 0 0,1-1 0,0 1 0,0-1 0,-1 0 0,2 0 0,-1 0 0,0 0 0,0 0 0,1-1 0,4 3 0,-5-4 0,1 1 0,-1 0 0,1-1 0,-1 1 0,0-1 0,1 0 0,-1 0 0,1 0 0,-1 0 0,1 0 0,-1-1 0,1 0 0,5-2 0,-1 1 9,0-1-1,-1 0 1,0 0 0,0-1-1,0 0 1,-1 0-1,0-1 1,0 0-1,7-6 1,2-4-734,25-33-1,0-8-6100</inkml:trace>
  <inkml:trace contextRef="#ctx0" brushRef="#br0" timeOffset="1">1083 193 24575,'1'5'0,"5"27"0,16 49 0,-15-60 0,63 167 0,-67-181 0,-2-3 0,1-1 0,-1 0 0,2 1 0,-2-1 0,2 0 0,-1 0 0,4 5 0,-5-8 0,-1 0 0,0 0 0,0 0 0,0 0 0,0 0 0,0 1 0,0-1 0,0 0 0,0 0 0,0 0 0,1 0 0,-1 0 0,0 0 0,0 0 0,0 0 0,1 0 0,-1 0 0,0 0 0,0 0 0,0 0 0,0 0 0,1 0 0,-1 0 0,0 0 0,0 0 0,0 0 0,1 0 0,-1 0 0,0 0 0,0 0 0,0 0 0,0 0 0,0 0 0,0 0 0,0-1 0,0 1 0,1 0 0,-1 0 0,0 0 0,0 0 0,0 0 0,0 0 0,0 0 0,0 0 0,0-1 0,1 1 0,-1 0 0,0 0 0,0 0 0,0 0 0,0-1 0,0 1 0,0 0 0,0 0 0,0 0 0,0 0 0,0 0 0,1-4 0,-1 1 0,1 0 0,0 0 0,-1 0 0,0-7 0,-3-18 0,2 17 0,-11-62 0,-27-87 0,37 155 0,0-3 0,5 14 0,9 26 0,41 97 0,8-4 0,-61-125 0,4 9 0,1-1 0,0 0 0,0-1 0,0 1 0,11 8 0,-16-15 0,2 1 0,-1-1 0,0-1 0,1 1 0,-1 0 0,1 0 0,-1 0 0,1-1 0,-1 1 0,1 0 0,0-1 0,-1 0 0,1 1 0,-1-1 0,1 0 0,0 0 0,-1 0 0,1 0 0,0 0 0,-1 0 0,1 0 0,0 0 0,-1 0 0,1 0 0,0-1 0,-1 1 0,1-1 0,0 1 0,-1-1 0,3-1 0,1-1 0,1 0 0,-1 0 0,0-1 0,0 0 0,0 0 0,6-8 0,1-2 0,0 0 0,-2-1 0,0 0 0,-1-1 0,0 0 0,-1 0 0,-2 0 0,0-1 0,-1 0 0,-1 0 0,-1 0 0,0-1 0,-1-20 0,-2 19 0,-1 0 0,-1 0 0,-1 0 0,-1 1 0,0-1 0,-2 1 0,-1 0 0,0 0 0,-2 0 0,-1 1 0,-22-32 0,26 41 0,-1 1 0,1 0 0,-1 0 0,0 1 0,-13-9 0,17 12 0,-1 2 0,1-2 0,-1 1 0,0 1 0,0-1 0,-1 1 0,2-1 0,-2 1 0,1 1 0,0-1 0,0 0 0,-1 1 0,1-1 0,0 1 0,-1 0 0,-3 1 0,0 0 0,0 0 0,0 1 0,1 0 0,-1 0 0,1 1 0,0 0 0,-14 6 0,3 2 0,-27 20 0,26-17 2,1 1-1,1 1 1,0 0 0,1 2-1,2-1 1,-18 29-1,22-30-16,1 1 0,1-1 0,1 1 0,1 1 0,0-1-1,2 1 1,1 0 0,-2 22 0,4-19-27,2-1 0,1 1 1,1 0-1,0 0 0,2-1 0,1 1 0,1-1 1,1-1-1,1 1 0,0-1 0,2-1 1,1 1-1,1-1 0,17 19 0,-22-29 42,0 0 0,1 0 0,0-1 0,1 1 0,-1-2 0,23 13 0,-28-17 0,2 0 0,-2 0 0,2-1 0,-1 1 0,0-1 0,1 0 0,-1 1 0,0-2 0,1 1 0,0-1 0,-1 0 0,1 0 0,-1 0 0,1-1 0,0 1 0,-1-2 0,0 1 0,6-2 0,-3 1 0,0-2 0,0 1 0,-1-1 0,1 0 0,-1-1 0,0 1 0,-1-1 0,8-7 0,2-3-106,-2 0 0,0-1 0,-1-1 0,-1 0 0,-1-1 0,10-21 0,-2-4-228,21-70 1,-16 22 333,-12 32 0,-9 50-2,-2 13-27,-1 24-734,0-25 552,-2 56-4814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4T19:14:34.447"/>
    </inkml:context>
    <inkml:brush xml:id="br0">
      <inkml:brushProperty name="width" value="0.035" units="cm"/>
      <inkml:brushProperty name="height" value="0.035" units="cm"/>
    </inkml:brush>
  </inkml:definitions>
  <inkml:trace contextRef="#ctx0" brushRef="#br0">928 12 24575,'-9'0'0,"-1"1"0,0 0 0,-14 4 0,1-1 0,-339 85 0,296-70 0,-81 34 0,121-41 0,1 0 0,1 1 0,0 1 0,1 0 0,-40 35 0,52-38 0,0 0 0,0 0 0,2 1 0,-14 22 0,19-27 0,-1 2 0,1-1 0,1 1 0,0-1 0,1 1 0,-1 0 0,2 0 0,-1 14 0,2-19 0,0 0 0,0 0 0,1 1 0,0-2 0,0 1 0,0 0 0,1 0 0,-1 0 0,1 0 0,0 0 0,0-1 0,3 5 0,-3-6 0,0 0 0,1 1 0,-1-2 0,1 1 0,-1 0 0,1 0 0,-1 0 0,1-1 0,0 1 0,0-1 0,0 0 0,0 0 0,0 0 0,1 0 0,-1 0 0,0 0 0,0-1 0,5 1 0,1-1 0,-1 0 0,1 0 0,-1-1 0,1 0 0,-1 0 0,10-3 0,3-2 0,27-10 0,84-45 0,-52 22 0,-71 35 0,0 0 0,0 1 0,0 0 0,1 0 0,11-2 0,-19 5 0,1-1 0,0 1 0,-1 0 0,1 0 0,-1 0 0,1 0 0,0 0 0,0 1 0,-1-1 0,1 1 0,-1-1 0,1 1 0,-1 0 0,1 0 0,-1 0 0,1 0 0,-1 0 0,0 0 0,0 1 0,0-1 0,0 1 0,0-1 0,3 4 0,-1-1 0,0 1 0,-1 0 0,0 0 0,0 0 0,-1 0 0,1 0 0,1 7 0,0 2 0,3 25 0,-4-7 0,-1 1 0,-2-1 0,-2 0 0,-2 1 0,-1-1 0,-1 0 0,-21 53 0,25-81 0,-3 9 0,-9 16 0,12-26 0,0 0 0,0 0 0,0 0 0,0 0 0,-1 0 0,1 0 0,-1-1 0,0 1 0,0-1 0,-5 3 0,8-4 0,-1-1 0,1 0 0,0 0 0,-1 1 0,0-1 0,1 0 0,-1 1 0,1-1 0,-1 0 0,1 0 0,-1 0 0,0 0 0,1 0 0,-1 0 0,1 0 0,-1 0 0,0 0 0,1 0 0,-1 0 0,1 0 0,-1 0 0,0 0 0,1 0 0,-1-1 0,0 1 0,1 0 0,0 0 0,-1-1 0,1 1 0,-1 0 0,0-1 0,1 1 0,0 0 0,-1 0 0,1-1 0,-1 0 0,1 1 0,-1-2 0,-1 0 0,1 0 0,0-1 0,0 2 0,0-2 0,0 1 0,0-4 0,-2-12 0,1-1 0,2-33 0,1 21 0,-3-33-180,-3 1-1,-3-1 1,-36-123 0,-17 11 180,-7-24 0,66 193-15,2 5 4,1 3 7,3 13 154,120 347-763,16-7-415,-132-334 925,68 146-278,-74-161 381,1 0 0,-1-1 0,1 1 0,0-1 0,0 1 0,0-1 0,7 7 0,-9-11 0,-1 0 0,0 1-1,0-1 1,1 0 0,-1 0-1,0 1 1,1-1 0,-1 0-1,1 0 1,-1 0 0,0 0-1,1 1 1,-1-1 0,1 0 0,-1 0-1,1 0 1,-1 0 0,1 0-1,-1 0 1,0 0 0,1 0-1,-1 0 1,1 0 0,-1 0-1,1 0 1,0 0 0,0-1 29,0 1 1,-1-1-1,1 1 1,0-1 0,0 0-1,-1 1 1,1-1-1,0 0 1,0 0-1,-1 1 1,1-3 0,5-7 337,-2 1 1,0-1 0,-1-1 0,3-15 0,-6 26-368,23-124 573,-9-3-684,-10 88 65,1-9-67,17-244-392,-22 283 505,-1 8 0,0 5 0,-7 57 116,8-60-109,-4 71 303,12 131-1,-5-176-309,8 27 0,-8-46 0,0 1 0,0 0 0,1 0 0,0-1 0,1 1 0,9 11 0,-12-18 0,0 1 0,0 0 0,1-1 0,0 1 0,0-1 0,-1 0 0,2 0 0,-1 0 0,0 0 0,0 0 0,1-1 0,4 3 0,-5-4 0,1 1 0,-1 0 0,1-1 0,-1 1 0,0-1 0,1 0 0,-1 0 0,1 0 0,-1 0 0,1 0 0,-1-1 0,1 0 0,5-2 0,-1 1 9,0-1-1,-1 0 1,0 0 0,0-1-1,0 0 1,-1 0-1,0-1 1,0 0-1,7-6 1,2-4-734,25-33-1,0-8-6100</inkml:trace>
  <inkml:trace contextRef="#ctx0" brushRef="#br0" timeOffset="1">1083 193 24575,'1'5'0,"5"27"0,16 49 0,-15-60 0,63 167 0,-67-181 0,-2-3 0,1-1 0,-1 0 0,2 1 0,-2-1 0,2 0 0,-1 0 0,4 5 0,-5-8 0,-1 0 0,0 0 0,0 0 0,0 0 0,0 0 0,0 1 0,0-1 0,0 0 0,0 0 0,0 0 0,1 0 0,-1 0 0,0 0 0,0 0 0,0 0 0,1 0 0,-1 0 0,0 0 0,0 0 0,0 0 0,0 0 0,1 0 0,-1 0 0,0 0 0,0 0 0,0 0 0,1 0 0,-1 0 0,0 0 0,0 0 0,0 0 0,0 0 0,0 0 0,0 0 0,0-1 0,0 1 0,1 0 0,-1 0 0,0 0 0,0 0 0,0 0 0,0 0 0,0 0 0,0 0 0,0-1 0,1 1 0,-1 0 0,0 0 0,0 0 0,0 0 0,0-1 0,0 1 0,0 0 0,0 0 0,0 0 0,0 0 0,0 0 0,1-4 0,-1 1 0,1 0 0,0 0 0,-1 0 0,0-7 0,-3-18 0,2 17 0,-11-62 0,-27-87 0,37 155 0,0-3 0,5 14 0,9 26 0,41 97 0,8-4 0,-61-125 0,4 9 0,1-1 0,0 0 0,0-1 0,0 1 0,11 8 0,-16-15 0,2 1 0,-1-1 0,0-1 0,1 1 0,-1 0 0,1 0 0,-1 0 0,1-1 0,-1 1 0,1 0 0,0-1 0,-1 0 0,1 1 0,-1-1 0,1 0 0,0 0 0,-1 0 0,1 0 0,0 0 0,-1 0 0,1 0 0,0 0 0,-1 0 0,1 0 0,0-1 0,-1 1 0,1-1 0,0 1 0,-1-1 0,3-1 0,1-1 0,1 0 0,-1 0 0,0-1 0,0 0 0,0 0 0,6-8 0,1-2 0,0 0 0,-2-1 0,0 0 0,-1-1 0,0 0 0,-1 0 0,-2 0 0,0-1 0,-1 0 0,-1 0 0,-1 0 0,0-1 0,-1-20 0,-2 19 0,-1 0 0,-1 0 0,-1 0 0,-1 1 0,0-1 0,-2 1 0,-1 0 0,0 0 0,-2 0 0,-1 1 0,-22-32 0,26 41 0,-1 1 0,1 0 0,-1 0 0,0 1 0,-13-9 0,17 12 0,-1 2 0,1-2 0,-1 1 0,0 1 0,0-1 0,-1 1 0,2-1 0,-2 1 0,1 1 0,0-1 0,0 0 0,-1 1 0,1-1 0,0 1 0,-1 0 0,-3 1 0,0 0 0,0 0 0,0 1 0,1 0 0,-1 0 0,1 1 0,0 0 0,-14 6 0,3 2 0,-27 20 0,26-17 2,1 1-1,1 1 1,0 0 0,1 2-1,2-1 1,-18 29-1,22-30-16,1 1 0,1-1 0,1 1 0,1 1 0,0-1-1,2 1 1,1 0 0,-2 22 0,4-19-27,2-1 0,1 1 1,1 0-1,0 0 0,2-1 0,1 1 0,1-1 1,1-1-1,1 1 0,0-1 0,2-1 1,1 1-1,1-1 0,17 19 0,-22-29 42,0 0 0,1 0 0,0-1 0,1 1 0,-1-2 0,23 13 0,-28-17 0,2 0 0,-2 0 0,2-1 0,-1 1 0,0-1 0,1 0 0,-1 1 0,0-2 0,1 1 0,0-1 0,-1 0 0,1 0 0,-1 0 0,1-1 0,0 1 0,-1-2 0,0 1 0,6-2 0,-3 1 0,0-2 0,0 1 0,-1-1 0,1 0 0,-1-1 0,0 1 0,-1-1 0,8-7 0,2-3-106,-2 0 0,0-1 0,-1-1 0,-1 0 0,-1-1 0,10-21 0,-2-4-228,21-70 1,-16 22 333,-12 32 0,-9 50-2,-2 13-27,-1 24-734,0-25 552,-2 56-4814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4T19:14:40.565"/>
    </inkml:context>
    <inkml:brush xml:id="br0">
      <inkml:brushProperty name="width" value="0.035" units="cm"/>
      <inkml:brushProperty name="height" value="0.035" units="cm"/>
    </inkml:brush>
  </inkml:definitions>
  <inkml:trace contextRef="#ctx0" brushRef="#br0">928 12 24575,'-9'0'0,"-1"1"0,0 0 0,-14 4 0,1-1 0,-339 85 0,296-70 0,-81 34 0,121-41 0,1 0 0,1 1 0,0 1 0,1 0 0,-40 35 0,52-38 0,0 0 0,0 0 0,2 1 0,-14 22 0,19-27 0,-1 2 0,1-1 0,1 1 0,0-1 0,1 1 0,-1 0 0,2 0 0,-1 14 0,2-19 0,0 0 0,0 0 0,1 1 0,0-2 0,0 1 0,0 0 0,1 0 0,-1 0 0,1 0 0,0 0 0,0-1 0,3 5 0,-3-6 0,0 0 0,1 1 0,-1-2 0,1 1 0,-1 0 0,1 0 0,-1 0 0,1-1 0,0 1 0,0-1 0,0 0 0,0 0 0,0 0 0,1 0 0,-1 0 0,0 0 0,0-1 0,5 1 0,1-1 0,-1 0 0,1 0 0,-1-1 0,1 0 0,-1 0 0,10-3 0,3-2 0,27-10 0,84-45 0,-52 22 0,-71 35 0,0 0 0,0 1 0,0 0 0,1 0 0,11-2 0,-19 5 0,1-1 0,0 1 0,-1 0 0,1 0 0,-1 0 0,1 0 0,0 0 0,0 1 0,-1-1 0,1 1 0,-1-1 0,1 1 0,-1 0 0,1 0 0,-1 0 0,1 0 0,-1 0 0,0 0 0,0 1 0,0-1 0,0 1 0,0-1 0,3 4 0,-1-1 0,0 1 0,-1 0 0,0 0 0,0 0 0,-1 0 0,1 0 0,1 7 0,0 2 0,3 25 0,-4-7 0,-1 1 0,-2-1 0,-2 0 0,-2 1 0,-1-1 0,-1 0 0,-21 53 0,25-81 0,-3 9 0,-9 16 0,12-26 0,0 0 0,0 0 0,0 0 0,0 0 0,-1 0 0,1 0 0,-1-1 0,0 1 0,0-1 0,-5 3 0,8-4 0,-1-1 0,1 0 0,0 0 0,-1 1 0,0-1 0,1 0 0,-1 1 0,1-1 0,-1 0 0,1 0 0,-1 0 0,0 0 0,1 0 0,-1 0 0,1 0 0,-1 0 0,0 0 0,1 0 0,-1 0 0,1 0 0,-1 0 0,0 0 0,1 0 0,-1-1 0,0 1 0,1 0 0,0 0 0,-1-1 0,1 1 0,-1 0 0,0-1 0,1 1 0,0 0 0,-1 0 0,1-1 0,-1 0 0,1 1 0,-1-2 0,-1 0 0,1 0 0,0-1 0,0 2 0,0-2 0,0 1 0,0-4 0,-2-12 0,1-1 0,2-33 0,1 21 0,-3-33-180,-3 1-1,-3-1 1,-36-123 0,-17 11 180,-7-24 0,66 193-15,2 5 4,1 3 7,3 13 154,120 347-763,16-7-415,-132-334 925,68 146-278,-74-161 381,1 0 0,-1-1 0,1 1 0,0-1 0,0 1 0,0-1 0,7 7 0,-9-11 0,-1 0 0,0 1-1,0-1 1,1 0 0,-1 0-1,0 1 1,1-1 0,-1 0-1,1 0 1,-1 0 0,0 0-1,1 1 1,-1-1 0,1 0 0,-1 0-1,1 0 1,-1 0 0,1 0-1,-1 0 1,0 0 0,1 0-1,-1 0 1,1 0 0,-1 0-1,1 0 1,0 0 0,0-1 29,0 1 1,-1-1-1,1 1 1,0-1 0,0 0-1,-1 1 1,1-1-1,0 0 1,0 0-1,-1 1 1,1-3 0,5-7 337,-2 1 1,0-1 0,-1-1 0,3-15 0,-6 26-368,23-124 573,-9-3-684,-10 88 65,1-9-67,17-244-392,-22 283 505,-1 8 0,0 5 0,-7 57 116,8-60-109,-4 71 303,12 131-1,-5-176-309,8 27 0,-8-46 0,0 1 0,0 0 0,1 0 0,0-1 0,1 1 0,9 11 0,-12-18 0,0 1 0,0 0 0,1-1 0,0 1 0,0-1 0,-1 0 0,2 0 0,-1 0 0,0 0 0,0 0 0,1-1 0,4 3 0,-5-4 0,1 1 0,-1 0 0,1-1 0,-1 1 0,0-1 0,1 0 0,-1 0 0,1 0 0,-1 0 0,1 0 0,-1-1 0,1 0 0,5-2 0,-1 1 9,0-1-1,-1 0 1,0 0 0,0-1-1,0 0 1,-1 0-1,0-1 1,0 0-1,7-6 1,2-4-734,25-33-1,0-8-6100</inkml:trace>
  <inkml:trace contextRef="#ctx0" brushRef="#br0" timeOffset="1">1083 193 24575,'1'5'0,"5"27"0,16 49 0,-15-60 0,63 167 0,-67-181 0,-2-3 0,1-1 0,-1 0 0,2 1 0,-2-1 0,2 0 0,-1 0 0,4 5 0,-5-8 0,-1 0 0,0 0 0,0 0 0,0 0 0,0 0 0,0 1 0,0-1 0,0 0 0,0 0 0,0 0 0,1 0 0,-1 0 0,0 0 0,0 0 0,0 0 0,1 0 0,-1 0 0,0 0 0,0 0 0,0 0 0,0 0 0,1 0 0,-1 0 0,0 0 0,0 0 0,0 0 0,1 0 0,-1 0 0,0 0 0,0 0 0,0 0 0,0 0 0,0 0 0,0 0 0,0-1 0,0 1 0,1 0 0,-1 0 0,0 0 0,0 0 0,0 0 0,0 0 0,0 0 0,0 0 0,0-1 0,1 1 0,-1 0 0,0 0 0,0 0 0,0 0 0,0-1 0,0 1 0,0 0 0,0 0 0,0 0 0,0 0 0,0 0 0,1-4 0,-1 1 0,1 0 0,0 0 0,-1 0 0,0-7 0,-3-18 0,2 17 0,-11-62 0,-27-87 0,37 155 0,0-3 0,5 14 0,9 26 0,41 97 0,8-4 0,-61-125 0,4 9 0,1-1 0,0 0 0,0-1 0,0 1 0,11 8 0,-16-15 0,2 1 0,-1-1 0,0-1 0,1 1 0,-1 0 0,1 0 0,-1 0 0,1-1 0,-1 1 0,1 0 0,0-1 0,-1 0 0,1 1 0,-1-1 0,1 0 0,0 0 0,-1 0 0,1 0 0,0 0 0,-1 0 0,1 0 0,0 0 0,-1 0 0,1 0 0,0-1 0,-1 1 0,1-1 0,0 1 0,-1-1 0,3-1 0,1-1 0,1 0 0,-1 0 0,0-1 0,0 0 0,0 0 0,6-8 0,1-2 0,0 0 0,-2-1 0,0 0 0,-1-1 0,0 0 0,-1 0 0,-2 0 0,0-1 0,-1 0 0,-1 0 0,-1 0 0,0-1 0,-1-20 0,-2 19 0,-1 0 0,-1 0 0,-1 0 0,-1 1 0,0-1 0,-2 1 0,-1 0 0,0 0 0,-2 0 0,-1 1 0,-22-32 0,26 41 0,-1 1 0,1 0 0,-1 0 0,0 1 0,-13-9 0,17 12 0,-1 2 0,1-2 0,-1 1 0,0 1 0,0-1 0,-1 1 0,2-1 0,-2 1 0,1 1 0,0-1 0,0 0 0,-1 1 0,1-1 0,0 1 0,-1 0 0,-3 1 0,0 0 0,0 0 0,0 1 0,1 0 0,-1 0 0,1 1 0,0 0 0,-14 6 0,3 2 0,-27 20 0,26-17 2,1 1-1,1 1 1,0 0 0,1 2-1,2-1 1,-18 29-1,22-30-16,1 1 0,1-1 0,1 1 0,1 1 0,0-1-1,2 1 1,1 0 0,-2 22 0,4-19-27,2-1 0,1 1 1,1 0-1,0 0 0,2-1 0,1 1 0,1-1 1,1-1-1,1 1 0,0-1 0,2-1 1,1 1-1,1-1 0,17 19 0,-22-29 42,0 0 0,1 0 0,0-1 0,1 1 0,-1-2 0,23 13 0,-28-17 0,2 0 0,-2 0 0,2-1 0,-1 1 0,0-1 0,1 0 0,-1 1 0,0-2 0,1 1 0,0-1 0,-1 0 0,1 0 0,-1 0 0,1-1 0,0 1 0,-1-2 0,0 1 0,6-2 0,-3 1 0,0-2 0,0 1 0,-1-1 0,1 0 0,-1-1 0,0 1 0,-1-1 0,8-7 0,2-3-106,-2 0 0,0-1 0,-1-1 0,-1 0 0,-1-1 0,10-21 0,-2-4-228,21-70 1,-16 22 333,-12 32 0,-9 50-2,-2 13-27,-1 24-734,0-25 552,-2 56-4814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51</Pages>
  <Words>14984</Words>
  <Characters>85414</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Fateha Altafi (2309157)</cp:lastModifiedBy>
  <cp:revision>15</cp:revision>
  <dcterms:created xsi:type="dcterms:W3CDTF">2026-07-24T18:45:00Z</dcterms:created>
  <dcterms:modified xsi:type="dcterms:W3CDTF">2026-07-24T19:43:00Z</dcterms:modified>
</cp:coreProperties>
</file>