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DC62B0" w14:textId="3EC7576E" w:rsidR="003976E5" w:rsidRPr="003976E5" w:rsidRDefault="003976E5" w:rsidP="003976E5">
      <w:pPr>
        <w:spacing w:line="360" w:lineRule="auto"/>
        <w:rPr>
          <w:rFonts w:ascii="Arial" w:hAnsi="Arial" w:cs="Arial"/>
          <w:sz w:val="22"/>
          <w:szCs w:val="22"/>
        </w:rPr>
      </w:pPr>
      <w:r w:rsidRPr="003976E5">
        <w:rPr>
          <w:rFonts w:ascii="Arial" w:hAnsi="Arial" w:cs="Arial"/>
          <w:noProof/>
          <w:sz w:val="22"/>
          <w:szCs w:val="22"/>
        </w:rPr>
        <w:drawing>
          <wp:inline distT="0" distB="0" distL="0" distR="0" wp14:anchorId="35C3212C" wp14:editId="0D9240A9">
            <wp:extent cx="2619375" cy="1171575"/>
            <wp:effectExtent l="0" t="0" r="9525" b="9525"/>
            <wp:docPr id="7989440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619375" cy="1171575"/>
                    </a:xfrm>
                    <a:prstGeom prst="rect">
                      <a:avLst/>
                    </a:prstGeom>
                    <a:noFill/>
                    <a:ln>
                      <a:noFill/>
                    </a:ln>
                  </pic:spPr>
                </pic:pic>
              </a:graphicData>
            </a:graphic>
          </wp:inline>
        </w:drawing>
      </w:r>
    </w:p>
    <w:p w14:paraId="36C2BB47" w14:textId="77777777" w:rsidR="003976E5" w:rsidRPr="003976E5" w:rsidRDefault="003976E5" w:rsidP="003976E5">
      <w:pPr>
        <w:spacing w:line="360" w:lineRule="auto"/>
        <w:rPr>
          <w:rFonts w:ascii="Arial" w:hAnsi="Arial" w:cs="Arial"/>
          <w:sz w:val="22"/>
          <w:szCs w:val="22"/>
        </w:rPr>
      </w:pPr>
      <w:r w:rsidRPr="003976E5">
        <w:rPr>
          <w:rFonts w:ascii="Arial" w:hAnsi="Arial" w:cs="Arial"/>
          <w:sz w:val="22"/>
          <w:szCs w:val="22"/>
        </w:rPr>
        <w:br/>
      </w:r>
    </w:p>
    <w:p w14:paraId="67975541" w14:textId="77777777" w:rsidR="003976E5" w:rsidRPr="003976E5" w:rsidRDefault="003976E5" w:rsidP="003976E5">
      <w:pPr>
        <w:spacing w:line="360" w:lineRule="auto"/>
        <w:rPr>
          <w:rFonts w:ascii="Arial" w:hAnsi="Arial" w:cs="Arial"/>
          <w:sz w:val="22"/>
          <w:szCs w:val="22"/>
        </w:rPr>
      </w:pPr>
      <w:r w:rsidRPr="003976E5">
        <w:rPr>
          <w:rFonts w:ascii="Arial" w:hAnsi="Arial" w:cs="Arial"/>
          <w:b/>
          <w:bCs/>
          <w:sz w:val="22"/>
          <w:szCs w:val="22"/>
        </w:rPr>
        <w:t>Evaluation of Skills Required for a Special Educational Needs (SEN) Teaching Assistant in Health and Social Care Setting</w:t>
      </w:r>
      <w:r w:rsidRPr="003976E5">
        <w:rPr>
          <w:rFonts w:ascii="Arial" w:hAnsi="Arial" w:cs="Arial" w:hint="eastAsia"/>
          <w:sz w:val="22"/>
          <w:szCs w:val="22"/>
        </w:rPr>
        <w:t>s</w:t>
      </w:r>
    </w:p>
    <w:p w14:paraId="33AE7CE0" w14:textId="77777777" w:rsidR="003976E5" w:rsidRPr="003976E5" w:rsidRDefault="003976E5" w:rsidP="003976E5">
      <w:pPr>
        <w:spacing w:line="360" w:lineRule="auto"/>
        <w:rPr>
          <w:rFonts w:ascii="Arial" w:hAnsi="Arial" w:cs="Arial"/>
          <w:sz w:val="22"/>
          <w:szCs w:val="22"/>
        </w:rPr>
      </w:pPr>
    </w:p>
    <w:p w14:paraId="47F9642F" w14:textId="77777777" w:rsidR="003976E5" w:rsidRPr="003976E5" w:rsidRDefault="003976E5" w:rsidP="003976E5">
      <w:pPr>
        <w:spacing w:line="360" w:lineRule="auto"/>
        <w:rPr>
          <w:rFonts w:ascii="Arial" w:hAnsi="Arial" w:cs="Arial"/>
          <w:sz w:val="22"/>
          <w:szCs w:val="22"/>
        </w:rPr>
      </w:pPr>
      <w:r w:rsidRPr="003976E5">
        <w:rPr>
          <w:rFonts w:ascii="Arial" w:hAnsi="Arial" w:cs="Arial"/>
          <w:sz w:val="22"/>
          <w:szCs w:val="22"/>
        </w:rPr>
        <w:t xml:space="preserve">Name:Mehvish </w:t>
      </w:r>
      <w:proofErr w:type="spellStart"/>
      <w:r w:rsidRPr="003976E5">
        <w:rPr>
          <w:rFonts w:ascii="Arial" w:hAnsi="Arial" w:cs="Arial"/>
          <w:sz w:val="22"/>
          <w:szCs w:val="22"/>
        </w:rPr>
        <w:t>Matloob</w:t>
      </w:r>
      <w:proofErr w:type="spellEnd"/>
      <w:r w:rsidRPr="003976E5">
        <w:rPr>
          <w:rFonts w:ascii="Arial" w:hAnsi="Arial" w:cs="Arial"/>
          <w:sz w:val="22"/>
          <w:szCs w:val="22"/>
        </w:rPr>
        <w:t> </w:t>
      </w:r>
    </w:p>
    <w:p w14:paraId="45852B80" w14:textId="77777777" w:rsidR="003976E5" w:rsidRPr="003976E5" w:rsidRDefault="003976E5" w:rsidP="003976E5">
      <w:pPr>
        <w:spacing w:line="360" w:lineRule="auto"/>
        <w:rPr>
          <w:rFonts w:ascii="Arial" w:hAnsi="Arial" w:cs="Arial"/>
          <w:sz w:val="22"/>
          <w:szCs w:val="22"/>
        </w:rPr>
      </w:pPr>
      <w:r w:rsidRPr="003976E5">
        <w:rPr>
          <w:rFonts w:ascii="Arial" w:hAnsi="Arial" w:cs="Arial"/>
          <w:sz w:val="22"/>
          <w:szCs w:val="22"/>
        </w:rPr>
        <w:t>Student ID: 2525288</w:t>
      </w:r>
    </w:p>
    <w:p w14:paraId="20E2B1D5" w14:textId="77777777" w:rsidR="003976E5" w:rsidRPr="003976E5" w:rsidRDefault="003976E5" w:rsidP="003976E5">
      <w:pPr>
        <w:spacing w:line="360" w:lineRule="auto"/>
        <w:rPr>
          <w:rFonts w:ascii="Arial" w:hAnsi="Arial" w:cs="Arial"/>
          <w:sz w:val="22"/>
          <w:szCs w:val="22"/>
        </w:rPr>
      </w:pPr>
      <w:r w:rsidRPr="003976E5">
        <w:rPr>
          <w:rFonts w:ascii="Arial" w:hAnsi="Arial" w:cs="Arial"/>
          <w:sz w:val="22"/>
          <w:szCs w:val="22"/>
        </w:rPr>
        <w:t>Module Code: LCHS4001</w:t>
      </w:r>
    </w:p>
    <w:p w14:paraId="33CCF42C" w14:textId="77777777" w:rsidR="003976E5" w:rsidRPr="003976E5" w:rsidRDefault="003976E5" w:rsidP="003976E5">
      <w:pPr>
        <w:spacing w:line="360" w:lineRule="auto"/>
        <w:rPr>
          <w:rFonts w:ascii="Arial" w:hAnsi="Arial" w:cs="Arial"/>
          <w:sz w:val="22"/>
          <w:szCs w:val="22"/>
        </w:rPr>
      </w:pPr>
      <w:r w:rsidRPr="003976E5">
        <w:rPr>
          <w:rFonts w:ascii="Arial" w:hAnsi="Arial" w:cs="Arial"/>
          <w:sz w:val="22"/>
          <w:szCs w:val="22"/>
        </w:rPr>
        <w:t>Module: Academic and Employability Skills</w:t>
      </w:r>
    </w:p>
    <w:p w14:paraId="58C013E0" w14:textId="77777777" w:rsidR="003976E5" w:rsidRPr="003976E5" w:rsidRDefault="003976E5" w:rsidP="003976E5">
      <w:pPr>
        <w:spacing w:line="360" w:lineRule="auto"/>
        <w:rPr>
          <w:rFonts w:ascii="Arial" w:hAnsi="Arial" w:cs="Arial"/>
          <w:sz w:val="22"/>
          <w:szCs w:val="22"/>
        </w:rPr>
      </w:pPr>
      <w:r w:rsidRPr="003976E5">
        <w:rPr>
          <w:rFonts w:ascii="Arial" w:hAnsi="Arial" w:cs="Arial"/>
          <w:sz w:val="22"/>
          <w:szCs w:val="22"/>
        </w:rPr>
        <w:t>Lecturer: Daniel Jenkin-Smith </w:t>
      </w:r>
    </w:p>
    <w:p w14:paraId="5BC754AF" w14:textId="1293B4A1" w:rsidR="003976E5" w:rsidRPr="003976E5" w:rsidRDefault="003976E5" w:rsidP="003976E5">
      <w:pPr>
        <w:spacing w:line="360" w:lineRule="auto"/>
        <w:rPr>
          <w:rFonts w:ascii="Arial" w:hAnsi="Arial" w:cs="Arial"/>
          <w:sz w:val="22"/>
          <w:szCs w:val="22"/>
        </w:rPr>
      </w:pPr>
      <w:r w:rsidRPr="003976E5">
        <w:rPr>
          <w:rFonts w:ascii="Arial" w:hAnsi="Arial" w:cs="Arial"/>
          <w:sz w:val="22"/>
          <w:szCs w:val="22"/>
        </w:rPr>
        <w:t xml:space="preserve">Submitted on:    </w:t>
      </w:r>
      <w:r w:rsidR="00D52EC8">
        <w:rPr>
          <w:rFonts w:ascii="Arial" w:hAnsi="Arial" w:cs="Arial"/>
          <w:sz w:val="22"/>
          <w:szCs w:val="22"/>
        </w:rPr>
        <w:t>26/03</w:t>
      </w:r>
      <w:r w:rsidRPr="003976E5">
        <w:rPr>
          <w:rFonts w:ascii="Arial" w:hAnsi="Arial" w:cs="Arial"/>
          <w:sz w:val="22"/>
          <w:szCs w:val="22"/>
        </w:rPr>
        <w:t>/2026</w:t>
      </w:r>
    </w:p>
    <w:p w14:paraId="0908B563" w14:textId="77777777" w:rsidR="003976E5" w:rsidRPr="003976E5" w:rsidRDefault="003976E5" w:rsidP="003976E5">
      <w:pPr>
        <w:spacing w:line="360" w:lineRule="auto"/>
        <w:rPr>
          <w:rFonts w:ascii="Arial" w:hAnsi="Arial" w:cs="Arial"/>
          <w:sz w:val="22"/>
          <w:szCs w:val="22"/>
        </w:rPr>
      </w:pPr>
      <w:r w:rsidRPr="003976E5">
        <w:rPr>
          <w:rFonts w:ascii="Arial" w:hAnsi="Arial" w:cs="Arial"/>
          <w:sz w:val="22"/>
          <w:szCs w:val="22"/>
        </w:rPr>
        <w:br/>
      </w:r>
      <w:r w:rsidRPr="003976E5">
        <w:rPr>
          <w:rFonts w:ascii="Arial" w:hAnsi="Arial" w:cs="Arial"/>
          <w:sz w:val="22"/>
          <w:szCs w:val="22"/>
        </w:rPr>
        <w:br/>
      </w:r>
    </w:p>
    <w:p w14:paraId="2E235B73" w14:textId="77777777" w:rsidR="003976E5" w:rsidRPr="003976E5" w:rsidRDefault="003976E5" w:rsidP="003976E5">
      <w:pPr>
        <w:spacing w:line="360" w:lineRule="auto"/>
        <w:rPr>
          <w:rFonts w:ascii="Arial" w:hAnsi="Arial" w:cs="Arial"/>
          <w:sz w:val="22"/>
          <w:szCs w:val="22"/>
        </w:rPr>
      </w:pPr>
    </w:p>
    <w:p w14:paraId="1D78255E" w14:textId="77777777" w:rsidR="003976E5" w:rsidRPr="003976E5" w:rsidRDefault="003976E5" w:rsidP="003976E5">
      <w:pPr>
        <w:spacing w:line="360" w:lineRule="auto"/>
        <w:rPr>
          <w:rFonts w:ascii="Arial" w:hAnsi="Arial" w:cs="Arial"/>
          <w:sz w:val="22"/>
          <w:szCs w:val="22"/>
        </w:rPr>
      </w:pPr>
      <w:r w:rsidRPr="003976E5">
        <w:rPr>
          <w:rFonts w:ascii="Arial" w:hAnsi="Arial" w:cs="Arial"/>
          <w:sz w:val="22"/>
          <w:szCs w:val="22"/>
        </w:rPr>
        <w:t>Table of Contents</w:t>
      </w:r>
    </w:p>
    <w:p w14:paraId="253E51C7" w14:textId="77777777" w:rsidR="003976E5" w:rsidRPr="003976E5" w:rsidRDefault="003976E5" w:rsidP="003976E5">
      <w:pPr>
        <w:spacing w:line="360" w:lineRule="auto"/>
        <w:rPr>
          <w:rFonts w:ascii="Arial" w:hAnsi="Arial" w:cs="Arial"/>
          <w:sz w:val="22"/>
          <w:szCs w:val="22"/>
        </w:rPr>
      </w:pPr>
      <w:hyperlink r:id="rId5" w:anchor="heading=h.h1zcfn6h2li1" w:history="1">
        <w:r w:rsidRPr="003976E5">
          <w:rPr>
            <w:rStyle w:val="Hyperlink"/>
            <w:rFonts w:ascii="Arial" w:hAnsi="Arial" w:cs="Arial"/>
            <w:b/>
            <w:bCs/>
            <w:i/>
            <w:iCs/>
            <w:sz w:val="22"/>
            <w:szCs w:val="22"/>
          </w:rPr>
          <w:t>1.1 Introduction</w:t>
        </w:r>
        <w:r w:rsidRPr="003976E5">
          <w:rPr>
            <w:rStyle w:val="Hyperlink"/>
            <w:rFonts w:ascii="Arial" w:hAnsi="Arial" w:cs="Arial"/>
            <w:b/>
            <w:bCs/>
            <w:i/>
            <w:iCs/>
            <w:sz w:val="22"/>
            <w:szCs w:val="22"/>
          </w:rPr>
          <w:tab/>
          <w:t>3</w:t>
        </w:r>
      </w:hyperlink>
    </w:p>
    <w:p w14:paraId="62D415D5" w14:textId="77777777" w:rsidR="003976E5" w:rsidRPr="003976E5" w:rsidRDefault="003976E5" w:rsidP="003976E5">
      <w:pPr>
        <w:spacing w:line="360" w:lineRule="auto"/>
        <w:rPr>
          <w:rFonts w:ascii="Arial" w:hAnsi="Arial" w:cs="Arial"/>
          <w:sz w:val="22"/>
          <w:szCs w:val="22"/>
        </w:rPr>
      </w:pPr>
      <w:hyperlink r:id="rId6" w:anchor="heading=h.rhizdq5zsaho" w:history="1">
        <w:r w:rsidRPr="003976E5">
          <w:rPr>
            <w:rStyle w:val="Hyperlink"/>
            <w:rFonts w:ascii="Arial" w:hAnsi="Arial" w:cs="Arial"/>
            <w:b/>
            <w:bCs/>
            <w:i/>
            <w:iCs/>
            <w:sz w:val="22"/>
            <w:szCs w:val="22"/>
          </w:rPr>
          <w:t>1.2 Description of, and background to,SEN Teaching Assistant Role in Healthcare</w:t>
        </w:r>
        <w:r w:rsidRPr="003976E5">
          <w:rPr>
            <w:rStyle w:val="Hyperlink"/>
            <w:rFonts w:ascii="Arial" w:hAnsi="Arial" w:cs="Arial"/>
            <w:b/>
            <w:bCs/>
            <w:i/>
            <w:iCs/>
            <w:sz w:val="22"/>
            <w:szCs w:val="22"/>
          </w:rPr>
          <w:tab/>
          <w:t>3</w:t>
        </w:r>
      </w:hyperlink>
    </w:p>
    <w:p w14:paraId="7D5684B6" w14:textId="77777777" w:rsidR="003976E5" w:rsidRPr="003976E5" w:rsidRDefault="003976E5" w:rsidP="003976E5">
      <w:pPr>
        <w:spacing w:line="360" w:lineRule="auto"/>
        <w:rPr>
          <w:rFonts w:ascii="Arial" w:hAnsi="Arial" w:cs="Arial"/>
          <w:sz w:val="22"/>
          <w:szCs w:val="22"/>
        </w:rPr>
      </w:pPr>
      <w:hyperlink r:id="rId7" w:anchor="heading=h.gbjjrf97u56l" w:history="1">
        <w:r w:rsidRPr="003976E5">
          <w:rPr>
            <w:rStyle w:val="Hyperlink"/>
            <w:rFonts w:ascii="Arial" w:hAnsi="Arial" w:cs="Arial"/>
            <w:b/>
            <w:bCs/>
            <w:i/>
            <w:iCs/>
            <w:sz w:val="22"/>
            <w:szCs w:val="22"/>
          </w:rPr>
          <w:t>1.3 Evaluation of the skills needed for SEN Teaching Assistant Role in Healthcare</w:t>
        </w:r>
        <w:r w:rsidRPr="003976E5">
          <w:rPr>
            <w:rStyle w:val="Hyperlink"/>
            <w:rFonts w:ascii="Arial" w:hAnsi="Arial" w:cs="Arial"/>
            <w:b/>
            <w:bCs/>
            <w:i/>
            <w:iCs/>
            <w:sz w:val="22"/>
            <w:szCs w:val="22"/>
          </w:rPr>
          <w:tab/>
          <w:t>3</w:t>
        </w:r>
      </w:hyperlink>
    </w:p>
    <w:p w14:paraId="7B2E2F60" w14:textId="77777777" w:rsidR="003976E5" w:rsidRPr="003976E5" w:rsidRDefault="003976E5" w:rsidP="003976E5">
      <w:pPr>
        <w:spacing w:line="360" w:lineRule="auto"/>
        <w:rPr>
          <w:rFonts w:ascii="Arial" w:hAnsi="Arial" w:cs="Arial"/>
          <w:sz w:val="22"/>
          <w:szCs w:val="22"/>
        </w:rPr>
      </w:pPr>
      <w:hyperlink r:id="rId8" w:anchor="heading=h.nlqsmu7gf4z0" w:history="1">
        <w:r w:rsidRPr="003976E5">
          <w:rPr>
            <w:rStyle w:val="Hyperlink"/>
            <w:rFonts w:ascii="Arial" w:hAnsi="Arial" w:cs="Arial"/>
            <w:b/>
            <w:bCs/>
            <w:i/>
            <w:iCs/>
            <w:sz w:val="22"/>
            <w:szCs w:val="22"/>
          </w:rPr>
          <w:t>1.4 Strategies to improve the skills for the SEN Teaching Assistant Role</w:t>
        </w:r>
        <w:r w:rsidRPr="003976E5">
          <w:rPr>
            <w:rStyle w:val="Hyperlink"/>
            <w:rFonts w:ascii="Arial" w:hAnsi="Arial" w:cs="Arial"/>
            <w:b/>
            <w:bCs/>
            <w:i/>
            <w:iCs/>
            <w:sz w:val="22"/>
            <w:szCs w:val="22"/>
          </w:rPr>
          <w:tab/>
          <w:t>5</w:t>
        </w:r>
      </w:hyperlink>
    </w:p>
    <w:p w14:paraId="35DC806B" w14:textId="77777777" w:rsidR="003976E5" w:rsidRPr="003976E5" w:rsidRDefault="003976E5" w:rsidP="003976E5">
      <w:pPr>
        <w:spacing w:line="360" w:lineRule="auto"/>
        <w:rPr>
          <w:rFonts w:ascii="Arial" w:hAnsi="Arial" w:cs="Arial"/>
          <w:sz w:val="22"/>
          <w:szCs w:val="22"/>
        </w:rPr>
      </w:pPr>
      <w:hyperlink r:id="rId9" w:anchor="heading=h.dko7b64kydc" w:history="1">
        <w:r w:rsidRPr="003976E5">
          <w:rPr>
            <w:rStyle w:val="Hyperlink"/>
            <w:rFonts w:ascii="Arial" w:hAnsi="Arial" w:cs="Arial"/>
            <w:b/>
            <w:bCs/>
            <w:i/>
            <w:iCs/>
            <w:sz w:val="22"/>
            <w:szCs w:val="22"/>
          </w:rPr>
          <w:t>1.4 Conclusion</w:t>
        </w:r>
        <w:r w:rsidRPr="003976E5">
          <w:rPr>
            <w:rStyle w:val="Hyperlink"/>
            <w:rFonts w:ascii="Arial" w:hAnsi="Arial" w:cs="Arial"/>
            <w:b/>
            <w:bCs/>
            <w:i/>
            <w:iCs/>
            <w:sz w:val="22"/>
            <w:szCs w:val="22"/>
          </w:rPr>
          <w:tab/>
          <w:t>6</w:t>
        </w:r>
      </w:hyperlink>
    </w:p>
    <w:p w14:paraId="67375D2A" w14:textId="77777777" w:rsidR="003976E5" w:rsidRPr="003976E5" w:rsidRDefault="003976E5" w:rsidP="003976E5">
      <w:pPr>
        <w:spacing w:line="360" w:lineRule="auto"/>
        <w:rPr>
          <w:rFonts w:ascii="Arial" w:hAnsi="Arial" w:cs="Arial"/>
          <w:sz w:val="22"/>
          <w:szCs w:val="22"/>
        </w:rPr>
      </w:pPr>
      <w:hyperlink r:id="rId10" w:anchor="heading=h.vh4h4hio2bpi" w:history="1">
        <w:r w:rsidRPr="003976E5">
          <w:rPr>
            <w:rStyle w:val="Hyperlink"/>
            <w:rFonts w:ascii="Arial" w:hAnsi="Arial" w:cs="Arial"/>
            <w:b/>
            <w:bCs/>
            <w:i/>
            <w:iCs/>
            <w:sz w:val="22"/>
            <w:szCs w:val="22"/>
          </w:rPr>
          <w:t>1.5 Reference List</w:t>
        </w:r>
        <w:r w:rsidRPr="003976E5">
          <w:rPr>
            <w:rStyle w:val="Hyperlink"/>
            <w:rFonts w:ascii="Arial" w:hAnsi="Arial" w:cs="Arial"/>
            <w:b/>
            <w:bCs/>
            <w:i/>
            <w:iCs/>
            <w:sz w:val="22"/>
            <w:szCs w:val="22"/>
          </w:rPr>
          <w:tab/>
          <w:t>7</w:t>
        </w:r>
      </w:hyperlink>
    </w:p>
    <w:p w14:paraId="51FDFB5C" w14:textId="77777777" w:rsidR="003976E5" w:rsidRPr="003976E5" w:rsidRDefault="003976E5" w:rsidP="003976E5">
      <w:pPr>
        <w:spacing w:line="360" w:lineRule="auto"/>
        <w:rPr>
          <w:rFonts w:ascii="Arial" w:hAnsi="Arial" w:cs="Arial"/>
          <w:sz w:val="22"/>
          <w:szCs w:val="22"/>
        </w:rPr>
      </w:pPr>
    </w:p>
    <w:p w14:paraId="17A0CFDE" w14:textId="77777777" w:rsidR="003976E5" w:rsidRPr="003976E5" w:rsidRDefault="003976E5" w:rsidP="003976E5">
      <w:pPr>
        <w:spacing w:line="360" w:lineRule="auto"/>
        <w:rPr>
          <w:rFonts w:ascii="Arial" w:hAnsi="Arial" w:cs="Arial"/>
          <w:sz w:val="22"/>
          <w:szCs w:val="22"/>
        </w:rPr>
      </w:pPr>
      <w:r w:rsidRPr="003976E5">
        <w:rPr>
          <w:rFonts w:ascii="Arial" w:hAnsi="Arial" w:cs="Arial"/>
          <w:sz w:val="22"/>
          <w:szCs w:val="22"/>
        </w:rPr>
        <w:br/>
      </w:r>
      <w:r w:rsidRPr="003976E5">
        <w:rPr>
          <w:rFonts w:ascii="Arial" w:hAnsi="Arial" w:cs="Arial"/>
          <w:sz w:val="22"/>
          <w:szCs w:val="22"/>
        </w:rPr>
        <w:br/>
      </w:r>
      <w:r w:rsidRPr="003976E5">
        <w:rPr>
          <w:rFonts w:ascii="Arial" w:hAnsi="Arial" w:cs="Arial"/>
          <w:sz w:val="22"/>
          <w:szCs w:val="22"/>
        </w:rPr>
        <w:br/>
      </w:r>
      <w:r w:rsidRPr="003976E5">
        <w:rPr>
          <w:rFonts w:ascii="Arial" w:hAnsi="Arial" w:cs="Arial"/>
          <w:sz w:val="22"/>
          <w:szCs w:val="22"/>
        </w:rPr>
        <w:br/>
      </w:r>
      <w:r w:rsidRPr="003976E5">
        <w:rPr>
          <w:rFonts w:ascii="Arial" w:hAnsi="Arial" w:cs="Arial"/>
          <w:sz w:val="22"/>
          <w:szCs w:val="22"/>
        </w:rPr>
        <w:br/>
      </w:r>
      <w:r w:rsidRPr="003976E5">
        <w:rPr>
          <w:rFonts w:ascii="Arial" w:hAnsi="Arial" w:cs="Arial"/>
          <w:sz w:val="22"/>
          <w:szCs w:val="22"/>
        </w:rPr>
        <w:br/>
      </w:r>
      <w:r w:rsidRPr="003976E5">
        <w:rPr>
          <w:rFonts w:ascii="Arial" w:hAnsi="Arial" w:cs="Arial"/>
          <w:sz w:val="22"/>
          <w:szCs w:val="22"/>
        </w:rPr>
        <w:br/>
      </w:r>
    </w:p>
    <w:p w14:paraId="0F532A27" w14:textId="77777777" w:rsidR="003976E5" w:rsidRPr="003976E5" w:rsidRDefault="003976E5" w:rsidP="003976E5">
      <w:pPr>
        <w:spacing w:line="360" w:lineRule="auto"/>
        <w:rPr>
          <w:rFonts w:ascii="Arial" w:hAnsi="Arial" w:cs="Arial"/>
          <w:b/>
          <w:bCs/>
          <w:sz w:val="22"/>
          <w:szCs w:val="22"/>
        </w:rPr>
      </w:pPr>
      <w:r w:rsidRPr="003976E5">
        <w:rPr>
          <w:rFonts w:ascii="Arial" w:hAnsi="Arial" w:cs="Arial"/>
          <w:b/>
          <w:bCs/>
          <w:sz w:val="22"/>
          <w:szCs w:val="22"/>
        </w:rPr>
        <w:t> 1.1 Introduction</w:t>
      </w:r>
    </w:p>
    <w:p w14:paraId="0484DDFB" w14:textId="063DEE38" w:rsidR="003976E5" w:rsidRPr="003976E5" w:rsidRDefault="003976E5" w:rsidP="003976E5">
      <w:pPr>
        <w:spacing w:line="360" w:lineRule="auto"/>
        <w:rPr>
          <w:rFonts w:ascii="Arial" w:hAnsi="Arial" w:cs="Arial"/>
          <w:sz w:val="22"/>
          <w:szCs w:val="22"/>
        </w:rPr>
      </w:pPr>
      <w:r w:rsidRPr="003976E5">
        <w:rPr>
          <w:rFonts w:ascii="Arial" w:hAnsi="Arial" w:cs="Arial"/>
          <w:sz w:val="22"/>
          <w:szCs w:val="22"/>
        </w:rPr>
        <w:t xml:space="preserve">The chosen role is a Special Educational Needs (SEN) Teaching Assistant, who has the ability to assist children with learning, </w:t>
      </w:r>
      <w:proofErr w:type="spellStart"/>
      <w:r w:rsidRPr="003976E5">
        <w:rPr>
          <w:rFonts w:ascii="Arial" w:hAnsi="Arial" w:cs="Arial"/>
          <w:sz w:val="22"/>
          <w:szCs w:val="22"/>
        </w:rPr>
        <w:t>behavioural</w:t>
      </w:r>
      <w:proofErr w:type="spellEnd"/>
      <w:r w:rsidRPr="003976E5">
        <w:rPr>
          <w:rFonts w:ascii="Arial" w:hAnsi="Arial" w:cs="Arial"/>
          <w:sz w:val="22"/>
          <w:szCs w:val="22"/>
        </w:rPr>
        <w:t>, or communication challenges. The role is interested in assisting the pupils to gain education in a supportive and inclusive setting where their unique needs are acknowledged and accommodated. The SEN Teaching Assistants collaborate with teachers and other professionals in order to make sure that the students get the necessary assistance to engage in learning activities thoroughly and acquire the key skills to live a good life (National Careers Service, 2024). The role is related to health and social care environments as well, since the role contributes to the emotional wellbeing of the pupils, their development of communication skills, and socialization by cooperating with such professionals as a therapist or SENCO (Department for Education, 2015).This report will explain the role and responsibilities, the main necessary skills, and the strategies for enhancing such skills.</w:t>
      </w:r>
    </w:p>
    <w:p w14:paraId="7844A86B" w14:textId="77777777" w:rsidR="003976E5" w:rsidRPr="003976E5" w:rsidRDefault="003976E5" w:rsidP="003976E5">
      <w:pPr>
        <w:spacing w:line="360" w:lineRule="auto"/>
        <w:rPr>
          <w:rFonts w:ascii="Arial" w:hAnsi="Arial" w:cs="Arial"/>
          <w:b/>
          <w:bCs/>
          <w:sz w:val="22"/>
          <w:szCs w:val="22"/>
        </w:rPr>
      </w:pPr>
      <w:r w:rsidRPr="003976E5">
        <w:rPr>
          <w:rFonts w:ascii="Arial" w:hAnsi="Arial" w:cs="Arial"/>
          <w:b/>
          <w:bCs/>
          <w:sz w:val="22"/>
          <w:szCs w:val="22"/>
        </w:rPr>
        <w:t>1.2 Description of, and background to,SEN Teaching Assistant Role in Healthcare </w:t>
      </w:r>
    </w:p>
    <w:p w14:paraId="7CFE0096" w14:textId="77777777" w:rsidR="003976E5" w:rsidRPr="003976E5" w:rsidRDefault="003976E5" w:rsidP="003976E5">
      <w:pPr>
        <w:spacing w:line="360" w:lineRule="auto"/>
        <w:rPr>
          <w:rFonts w:ascii="Arial" w:hAnsi="Arial" w:cs="Arial"/>
          <w:sz w:val="22"/>
          <w:szCs w:val="22"/>
        </w:rPr>
      </w:pPr>
      <w:r w:rsidRPr="003976E5">
        <w:rPr>
          <w:rFonts w:ascii="Arial" w:hAnsi="Arial" w:cs="Arial"/>
          <w:sz w:val="22"/>
          <w:szCs w:val="22"/>
        </w:rPr>
        <w:t xml:space="preserve">Special Educational Needs (SEN) Teaching Assistant works with children with learning disabilities, developmental delays, </w:t>
      </w:r>
      <w:proofErr w:type="spellStart"/>
      <w:r w:rsidRPr="003976E5">
        <w:rPr>
          <w:rFonts w:ascii="Arial" w:hAnsi="Arial" w:cs="Arial"/>
          <w:sz w:val="22"/>
          <w:szCs w:val="22"/>
        </w:rPr>
        <w:t>behavioural</w:t>
      </w:r>
      <w:proofErr w:type="spellEnd"/>
      <w:r w:rsidRPr="003976E5">
        <w:rPr>
          <w:rFonts w:ascii="Arial" w:hAnsi="Arial" w:cs="Arial"/>
          <w:sz w:val="22"/>
          <w:szCs w:val="22"/>
        </w:rPr>
        <w:t xml:space="preserve"> issues and physical disabilities. The job description includes close collaboration with teachers, Special Educational Needs Coordinators (SENCOs), therapists, and other educational professionals to provide the pupils with the necessary assistance to help them with learning and development. The National Careers Service (2024) states that SEN Teaching Assistants usually collaborate with pupils either one-on-one or with small groups of pupils in order to help them comprehend lessons, complete assignments, and learn communication and social skills. </w:t>
      </w:r>
    </w:p>
    <w:p w14:paraId="3769741A" w14:textId="77777777" w:rsidR="003976E5" w:rsidRPr="003976E5" w:rsidRDefault="003976E5" w:rsidP="003976E5">
      <w:pPr>
        <w:spacing w:line="360" w:lineRule="auto"/>
        <w:rPr>
          <w:rFonts w:ascii="Arial" w:hAnsi="Arial" w:cs="Arial"/>
          <w:sz w:val="22"/>
          <w:szCs w:val="22"/>
        </w:rPr>
      </w:pPr>
      <w:r w:rsidRPr="003976E5">
        <w:rPr>
          <w:rFonts w:ascii="Arial" w:hAnsi="Arial" w:cs="Arial"/>
          <w:sz w:val="22"/>
          <w:szCs w:val="22"/>
        </w:rPr>
        <w:t xml:space="preserve">The normal duties comprise the preparation of teaching materials, supervision of the pupils in classroom sessions, communication, and assisting the children in handling emotional or </w:t>
      </w:r>
      <w:proofErr w:type="spellStart"/>
      <w:r w:rsidRPr="003976E5">
        <w:rPr>
          <w:rFonts w:ascii="Arial" w:hAnsi="Arial" w:cs="Arial"/>
          <w:sz w:val="22"/>
          <w:szCs w:val="22"/>
        </w:rPr>
        <w:t>behavioural</w:t>
      </w:r>
      <w:proofErr w:type="spellEnd"/>
      <w:r w:rsidRPr="003976E5">
        <w:rPr>
          <w:rFonts w:ascii="Arial" w:hAnsi="Arial" w:cs="Arial"/>
          <w:sz w:val="22"/>
          <w:szCs w:val="22"/>
        </w:rPr>
        <w:t xml:space="preserve"> problems. Teaching assistants monitor the progress of the pupils as well, and give feedback to teachers to ensure that the teaching strategies can be adjusted to the needs of specific learning (National Careers Service, 2024). This position is associated with health and social care since pupils with special educational needs might be afflicted by autism, ADHD, or speech and language disabilities and might need the assistance of such professionals as therapists and psychologists (Department for Education, 2015). In order to carry out such a role successfully, teaching assistants should have excellent communication, patience, empathy, and </w:t>
      </w:r>
      <w:proofErr w:type="spellStart"/>
      <w:r w:rsidRPr="003976E5">
        <w:rPr>
          <w:rFonts w:ascii="Arial" w:hAnsi="Arial" w:cs="Arial"/>
          <w:sz w:val="22"/>
          <w:szCs w:val="22"/>
        </w:rPr>
        <w:t>behaviour</w:t>
      </w:r>
      <w:proofErr w:type="spellEnd"/>
      <w:r w:rsidRPr="003976E5">
        <w:rPr>
          <w:rFonts w:ascii="Arial" w:hAnsi="Arial" w:cs="Arial"/>
          <w:sz w:val="22"/>
          <w:szCs w:val="22"/>
        </w:rPr>
        <w:t xml:space="preserve"> management skills.</w:t>
      </w:r>
    </w:p>
    <w:p w14:paraId="6397DBCA" w14:textId="77777777" w:rsidR="003976E5" w:rsidRPr="003976E5" w:rsidRDefault="003976E5" w:rsidP="003976E5">
      <w:pPr>
        <w:spacing w:line="360" w:lineRule="auto"/>
        <w:rPr>
          <w:rFonts w:ascii="Arial" w:hAnsi="Arial" w:cs="Arial"/>
          <w:sz w:val="22"/>
          <w:szCs w:val="22"/>
        </w:rPr>
      </w:pPr>
      <w:r w:rsidRPr="003976E5">
        <w:rPr>
          <w:rFonts w:ascii="Arial" w:hAnsi="Arial" w:cs="Arial"/>
          <w:sz w:val="22"/>
          <w:szCs w:val="22"/>
        </w:rPr>
        <w:t> </w:t>
      </w:r>
      <w:r w:rsidRPr="003976E5">
        <w:rPr>
          <w:rFonts w:ascii="Arial" w:hAnsi="Arial" w:cs="Arial"/>
          <w:b/>
          <w:bCs/>
          <w:sz w:val="22"/>
          <w:szCs w:val="22"/>
        </w:rPr>
        <w:t>1.3 Evaluation of the skills needed for SEN Teaching Assistant Role in Healthcare</w:t>
      </w:r>
    </w:p>
    <w:p w14:paraId="53D7C620" w14:textId="77777777" w:rsidR="003976E5" w:rsidRPr="003976E5" w:rsidRDefault="003976E5" w:rsidP="003976E5">
      <w:pPr>
        <w:spacing w:line="360" w:lineRule="auto"/>
        <w:rPr>
          <w:rFonts w:ascii="Arial" w:hAnsi="Arial" w:cs="Arial"/>
          <w:sz w:val="22"/>
          <w:szCs w:val="22"/>
        </w:rPr>
      </w:pPr>
      <w:r w:rsidRPr="003976E5">
        <w:rPr>
          <w:rFonts w:ascii="Arial" w:hAnsi="Arial" w:cs="Arial"/>
          <w:sz w:val="22"/>
          <w:szCs w:val="22"/>
        </w:rPr>
        <w:t xml:space="preserve">The SEN Teaching Assistant is a job that requires a number of skills in order to be useful with the pupils. These are communication, patience, empathy, and </w:t>
      </w:r>
      <w:proofErr w:type="spellStart"/>
      <w:r w:rsidRPr="003976E5">
        <w:rPr>
          <w:rFonts w:ascii="Arial" w:hAnsi="Arial" w:cs="Arial"/>
          <w:sz w:val="22"/>
          <w:szCs w:val="22"/>
        </w:rPr>
        <w:t>behaviour</w:t>
      </w:r>
      <w:proofErr w:type="spellEnd"/>
      <w:r w:rsidRPr="003976E5">
        <w:rPr>
          <w:rFonts w:ascii="Arial" w:hAnsi="Arial" w:cs="Arial"/>
          <w:sz w:val="22"/>
          <w:szCs w:val="22"/>
        </w:rPr>
        <w:t xml:space="preserve"> support, which are the most important. These competencies are necessary since students with special educational needs frequently need modified means of communication, emotional assistance, and systematic guidance to assist them in engaging effectively in the learning process.</w:t>
      </w:r>
    </w:p>
    <w:p w14:paraId="17D88920" w14:textId="77777777" w:rsidR="003976E5" w:rsidRPr="003976E5" w:rsidRDefault="003976E5" w:rsidP="003976E5">
      <w:pPr>
        <w:spacing w:line="360" w:lineRule="auto"/>
        <w:rPr>
          <w:rFonts w:ascii="Arial" w:hAnsi="Arial" w:cs="Arial"/>
          <w:sz w:val="22"/>
          <w:szCs w:val="22"/>
        </w:rPr>
      </w:pPr>
      <w:r w:rsidRPr="003976E5">
        <w:rPr>
          <w:rFonts w:ascii="Arial" w:hAnsi="Arial" w:cs="Arial"/>
          <w:sz w:val="22"/>
          <w:szCs w:val="22"/>
        </w:rPr>
        <w:t>The skill of communication is crucial to SEN Teaching Assistants since numerous pupils with SEN do not understand instructions properly or feel uncomfortable sharing their thoughts and emotions. Proper communication makes sure that the pupils are aware of what is happening in the classroom and are comfortable engaging in the learning. Teaching assistants tend to change their communication style by making language simple, providing visual representation, and employing non-verbal communication strategies. The study shows that supportive communication practices are capable of enhancing learning and confidence levels among SEN learners (Siahaan, 2022). </w:t>
      </w:r>
    </w:p>
    <w:p w14:paraId="69115FBF" w14:textId="77777777" w:rsidR="003976E5" w:rsidRPr="003976E5" w:rsidRDefault="003976E5" w:rsidP="003976E5">
      <w:pPr>
        <w:spacing w:line="360" w:lineRule="auto"/>
        <w:rPr>
          <w:rFonts w:ascii="Arial" w:hAnsi="Arial" w:cs="Arial"/>
          <w:sz w:val="22"/>
          <w:szCs w:val="22"/>
        </w:rPr>
      </w:pPr>
      <w:r w:rsidRPr="003976E5">
        <w:rPr>
          <w:rFonts w:ascii="Arial" w:hAnsi="Arial" w:cs="Arial"/>
          <w:sz w:val="22"/>
          <w:szCs w:val="22"/>
        </w:rPr>
        <w:t>A number of tools can be used to facilitate classroom communication. Picture cards are teaching materials that can be used to give students a visual way of knowing how to do things and what is required in the classroom. Indicatively, the time of reading can be depicted with a card that has an image of a book. Visual timetables are used to display the flow of activities on a daily basis through pictures or symbols and assist the pupils to anticipate schedules and eliminating anxiety due to unplanned variations. Moreover, the use of simple words and movements assists the pupils in processing information, as instructions are delivered in a better-understood and more visual way.</w:t>
      </w:r>
    </w:p>
    <w:p w14:paraId="5A931B65" w14:textId="77777777" w:rsidR="003976E5" w:rsidRPr="003976E5" w:rsidRDefault="003976E5" w:rsidP="003976E5">
      <w:pPr>
        <w:spacing w:line="360" w:lineRule="auto"/>
        <w:rPr>
          <w:rFonts w:ascii="Arial" w:hAnsi="Arial" w:cs="Arial"/>
          <w:sz w:val="22"/>
          <w:szCs w:val="22"/>
        </w:rPr>
      </w:pPr>
      <w:r w:rsidRPr="003976E5">
        <w:rPr>
          <w:rFonts w:ascii="Arial" w:hAnsi="Arial" w:cs="Arial"/>
          <w:sz w:val="22"/>
          <w:szCs w:val="22"/>
        </w:rPr>
        <w:t>It is necessary to be patient and empathetic when working with pupils with SEN, as many of them take more time to accomplish tasks, instructing them, or managing their emotions. The instructional aides have to stay composed and encouraging and leave the students to learn at their own pace. Empathy assists staff to recognize the emotional state of pupils, who might be anxious, frustrated or overwhelmed. A good rapport between personnel and students may enhance interaction and emotional health (Webster et al., 2021). Active listening, maintaining eye contact, and responding calmly are some of the strategies that make the pupils feel understood. A calm voice tone can help to decrease anxiety, and a calm-down space would enable the pupils to cope with their emotions in case of an overwhelming feeling. </w:t>
      </w:r>
    </w:p>
    <w:p w14:paraId="588ED8F1" w14:textId="77777777" w:rsidR="003976E5" w:rsidRPr="003976E5" w:rsidRDefault="003976E5" w:rsidP="003976E5">
      <w:pPr>
        <w:spacing w:line="360" w:lineRule="auto"/>
        <w:rPr>
          <w:rFonts w:ascii="Arial" w:hAnsi="Arial" w:cs="Arial"/>
          <w:sz w:val="22"/>
          <w:szCs w:val="22"/>
        </w:rPr>
      </w:pPr>
    </w:p>
    <w:p w14:paraId="7B257AED" w14:textId="77777777" w:rsidR="003976E5" w:rsidRPr="003976E5" w:rsidRDefault="003976E5" w:rsidP="003976E5">
      <w:pPr>
        <w:spacing w:line="360" w:lineRule="auto"/>
        <w:rPr>
          <w:rFonts w:ascii="Arial" w:hAnsi="Arial" w:cs="Arial"/>
          <w:sz w:val="22"/>
          <w:szCs w:val="22"/>
        </w:rPr>
      </w:pPr>
      <w:proofErr w:type="spellStart"/>
      <w:r w:rsidRPr="003976E5">
        <w:rPr>
          <w:rFonts w:ascii="Arial" w:hAnsi="Arial" w:cs="Arial"/>
          <w:sz w:val="22"/>
          <w:szCs w:val="22"/>
        </w:rPr>
        <w:t>Behaviour</w:t>
      </w:r>
      <w:proofErr w:type="spellEnd"/>
      <w:r w:rsidRPr="003976E5">
        <w:rPr>
          <w:rFonts w:ascii="Arial" w:hAnsi="Arial" w:cs="Arial"/>
          <w:sz w:val="22"/>
          <w:szCs w:val="22"/>
        </w:rPr>
        <w:t xml:space="preserve"> management is also essential because some pupils may display challenging </w:t>
      </w:r>
      <w:proofErr w:type="spellStart"/>
      <w:r w:rsidRPr="003976E5">
        <w:rPr>
          <w:rFonts w:ascii="Arial" w:hAnsi="Arial" w:cs="Arial"/>
          <w:sz w:val="22"/>
          <w:szCs w:val="22"/>
        </w:rPr>
        <w:t>behaviour</w:t>
      </w:r>
      <w:proofErr w:type="spellEnd"/>
      <w:r w:rsidRPr="003976E5">
        <w:rPr>
          <w:rFonts w:ascii="Arial" w:hAnsi="Arial" w:cs="Arial"/>
          <w:sz w:val="22"/>
          <w:szCs w:val="22"/>
        </w:rPr>
        <w:t xml:space="preserve"> due to communication barriers or frustration. The strategies to promote positive </w:t>
      </w:r>
      <w:proofErr w:type="spellStart"/>
      <w:r w:rsidRPr="003976E5">
        <w:rPr>
          <w:rFonts w:ascii="Arial" w:hAnsi="Arial" w:cs="Arial"/>
          <w:sz w:val="22"/>
          <w:szCs w:val="22"/>
        </w:rPr>
        <w:t>behaviour</w:t>
      </w:r>
      <w:proofErr w:type="spellEnd"/>
      <w:r w:rsidRPr="003976E5">
        <w:rPr>
          <w:rFonts w:ascii="Arial" w:hAnsi="Arial" w:cs="Arial"/>
          <w:sz w:val="22"/>
          <w:szCs w:val="22"/>
        </w:rPr>
        <w:t xml:space="preserve"> and ensure that the learning environment remains structured include the use of rewards charts or positive </w:t>
      </w:r>
      <w:proofErr w:type="spellStart"/>
      <w:r w:rsidRPr="003976E5">
        <w:rPr>
          <w:rFonts w:ascii="Arial" w:hAnsi="Arial" w:cs="Arial"/>
          <w:sz w:val="22"/>
          <w:szCs w:val="22"/>
        </w:rPr>
        <w:t>reinforcement,as</w:t>
      </w:r>
      <w:proofErr w:type="spellEnd"/>
      <w:r w:rsidRPr="003976E5">
        <w:rPr>
          <w:rFonts w:ascii="Arial" w:hAnsi="Arial" w:cs="Arial"/>
          <w:sz w:val="22"/>
          <w:szCs w:val="22"/>
        </w:rPr>
        <w:t xml:space="preserve"> well as </w:t>
      </w:r>
      <w:proofErr w:type="spellStart"/>
      <w:r w:rsidRPr="003976E5">
        <w:rPr>
          <w:rFonts w:ascii="Arial" w:hAnsi="Arial" w:cs="Arial"/>
          <w:sz w:val="22"/>
          <w:szCs w:val="22"/>
        </w:rPr>
        <w:t>behaviour</w:t>
      </w:r>
      <w:proofErr w:type="spellEnd"/>
      <w:r w:rsidRPr="003976E5">
        <w:rPr>
          <w:rFonts w:ascii="Arial" w:hAnsi="Arial" w:cs="Arial"/>
          <w:sz w:val="22"/>
          <w:szCs w:val="22"/>
        </w:rPr>
        <w:t xml:space="preserve"> monitoring charts, by the teaching assistants (Department for Education, 2015).</w:t>
      </w:r>
    </w:p>
    <w:p w14:paraId="67E9CD15" w14:textId="77777777" w:rsidR="003976E5" w:rsidRPr="003976E5" w:rsidRDefault="003976E5" w:rsidP="003976E5">
      <w:pPr>
        <w:spacing w:line="360" w:lineRule="auto"/>
        <w:rPr>
          <w:rFonts w:ascii="Arial" w:hAnsi="Arial" w:cs="Arial"/>
          <w:b/>
          <w:bCs/>
          <w:sz w:val="22"/>
          <w:szCs w:val="22"/>
        </w:rPr>
      </w:pPr>
      <w:r w:rsidRPr="003976E5">
        <w:rPr>
          <w:rFonts w:ascii="Arial" w:hAnsi="Arial" w:cs="Arial"/>
          <w:b/>
          <w:bCs/>
          <w:sz w:val="22"/>
          <w:szCs w:val="22"/>
        </w:rPr>
        <w:t>1.4 Strategies to improve the skills for the SEN Teaching Assistant Role</w:t>
      </w:r>
    </w:p>
    <w:p w14:paraId="0F6D898E" w14:textId="77777777" w:rsidR="003976E5" w:rsidRPr="003976E5" w:rsidRDefault="003976E5" w:rsidP="003976E5">
      <w:pPr>
        <w:spacing w:line="360" w:lineRule="auto"/>
        <w:rPr>
          <w:rFonts w:ascii="Arial" w:hAnsi="Arial" w:cs="Arial"/>
          <w:sz w:val="22"/>
          <w:szCs w:val="22"/>
        </w:rPr>
      </w:pPr>
      <w:r w:rsidRPr="003976E5">
        <w:rPr>
          <w:rFonts w:ascii="Arial" w:hAnsi="Arial" w:cs="Arial"/>
          <w:sz w:val="22"/>
          <w:szCs w:val="22"/>
        </w:rPr>
        <w:t xml:space="preserve">The professional competencies needed to work as a Special Educational Needs (SEN) Teaching Assistant should be developed to ensure successful assistance with pupils with special learning needs. The role of a teaching assistant should be to constantly improve their capacity to express, show patience and understanding, and assist the </w:t>
      </w:r>
      <w:proofErr w:type="spellStart"/>
      <w:r w:rsidRPr="003976E5">
        <w:rPr>
          <w:rFonts w:ascii="Arial" w:hAnsi="Arial" w:cs="Arial"/>
          <w:sz w:val="22"/>
          <w:szCs w:val="22"/>
        </w:rPr>
        <w:t>behaviour</w:t>
      </w:r>
      <w:proofErr w:type="spellEnd"/>
      <w:r w:rsidRPr="003976E5">
        <w:rPr>
          <w:rFonts w:ascii="Arial" w:hAnsi="Arial" w:cs="Arial"/>
          <w:sz w:val="22"/>
          <w:szCs w:val="22"/>
        </w:rPr>
        <w:t xml:space="preserve"> and emotional state of pupils. These abilities can be developed using several strategies, which include professional training and continuous professional development (CPD), observation and mentoring by more experienced staff and working with multidisciplinary professionals. Such strategies help teaching assistants not only to have a theoretical knowledge but also to have practical knowledge in working with pupils with special educational needs. </w:t>
      </w:r>
    </w:p>
    <w:p w14:paraId="7842C7C7" w14:textId="77777777" w:rsidR="003976E5" w:rsidRPr="003976E5" w:rsidRDefault="003976E5" w:rsidP="003976E5">
      <w:pPr>
        <w:spacing w:line="360" w:lineRule="auto"/>
        <w:rPr>
          <w:rFonts w:ascii="Arial" w:hAnsi="Arial" w:cs="Arial"/>
          <w:sz w:val="22"/>
          <w:szCs w:val="22"/>
        </w:rPr>
      </w:pPr>
      <w:r w:rsidRPr="003976E5">
        <w:rPr>
          <w:rFonts w:ascii="Arial" w:hAnsi="Arial" w:cs="Arial"/>
          <w:sz w:val="22"/>
          <w:szCs w:val="22"/>
        </w:rPr>
        <w:t xml:space="preserve">Professional training and constant professional development are one of the critical strategies. Training </w:t>
      </w:r>
      <w:proofErr w:type="spellStart"/>
      <w:r w:rsidRPr="003976E5">
        <w:rPr>
          <w:rFonts w:ascii="Arial" w:hAnsi="Arial" w:cs="Arial"/>
          <w:sz w:val="22"/>
          <w:szCs w:val="22"/>
        </w:rPr>
        <w:t>programmes</w:t>
      </w:r>
      <w:proofErr w:type="spellEnd"/>
      <w:r w:rsidRPr="003976E5">
        <w:rPr>
          <w:rFonts w:ascii="Arial" w:hAnsi="Arial" w:cs="Arial"/>
          <w:sz w:val="22"/>
          <w:szCs w:val="22"/>
        </w:rPr>
        <w:t xml:space="preserve"> will give a chance to learn </w:t>
      </w:r>
      <w:proofErr w:type="spellStart"/>
      <w:r w:rsidRPr="003976E5">
        <w:rPr>
          <w:rFonts w:ascii="Arial" w:hAnsi="Arial" w:cs="Arial"/>
          <w:sz w:val="22"/>
          <w:szCs w:val="22"/>
        </w:rPr>
        <w:t>specialised</w:t>
      </w:r>
      <w:proofErr w:type="spellEnd"/>
      <w:r w:rsidRPr="003976E5">
        <w:rPr>
          <w:rFonts w:ascii="Arial" w:hAnsi="Arial" w:cs="Arial"/>
          <w:sz w:val="22"/>
          <w:szCs w:val="22"/>
        </w:rPr>
        <w:t xml:space="preserve"> strategies of working with pupils with learning problems, communication difficulties and </w:t>
      </w:r>
      <w:proofErr w:type="spellStart"/>
      <w:r w:rsidRPr="003976E5">
        <w:rPr>
          <w:rFonts w:ascii="Arial" w:hAnsi="Arial" w:cs="Arial"/>
          <w:sz w:val="22"/>
          <w:szCs w:val="22"/>
        </w:rPr>
        <w:t>behavioural</w:t>
      </w:r>
      <w:proofErr w:type="spellEnd"/>
      <w:r w:rsidRPr="003976E5">
        <w:rPr>
          <w:rFonts w:ascii="Arial" w:hAnsi="Arial" w:cs="Arial"/>
          <w:sz w:val="22"/>
          <w:szCs w:val="22"/>
        </w:rPr>
        <w:t xml:space="preserve"> problems. The Special Educational Needs and Disability Code of Practice emphasizes the need for constant teacher training in working with pupils with additional needs since it enhances the capacity to respond to changes in teaching methods and teaching classroom conditions (Department for Education, 2015). As an illustration, the visual communication training, such as a visual timetable or picture cards, can assist pupils with language impairments or autism in comprehending instructions and routines better.</w:t>
      </w:r>
    </w:p>
    <w:p w14:paraId="34F70A2A" w14:textId="77777777" w:rsidR="003976E5" w:rsidRPr="003976E5" w:rsidRDefault="003976E5" w:rsidP="003976E5">
      <w:pPr>
        <w:spacing w:line="360" w:lineRule="auto"/>
        <w:rPr>
          <w:rFonts w:ascii="Arial" w:hAnsi="Arial" w:cs="Arial"/>
          <w:sz w:val="22"/>
          <w:szCs w:val="22"/>
        </w:rPr>
      </w:pPr>
      <w:r w:rsidRPr="003976E5">
        <w:rPr>
          <w:rFonts w:ascii="Arial" w:hAnsi="Arial" w:cs="Arial"/>
          <w:sz w:val="22"/>
          <w:szCs w:val="22"/>
        </w:rPr>
        <w:t xml:space="preserve">The second strategy is observation and mentorship by the more experienced professionals. The opportunities to observe the experienced teachers or SEN specialists can help the teaching assistant to understand how the communication problems and challenging </w:t>
      </w:r>
      <w:proofErr w:type="spellStart"/>
      <w:r w:rsidRPr="003976E5">
        <w:rPr>
          <w:rFonts w:ascii="Arial" w:hAnsi="Arial" w:cs="Arial"/>
          <w:sz w:val="22"/>
          <w:szCs w:val="22"/>
        </w:rPr>
        <w:t>behaviour</w:t>
      </w:r>
      <w:proofErr w:type="spellEnd"/>
      <w:r w:rsidRPr="003976E5">
        <w:rPr>
          <w:rFonts w:ascii="Arial" w:hAnsi="Arial" w:cs="Arial"/>
          <w:sz w:val="22"/>
          <w:szCs w:val="22"/>
        </w:rPr>
        <w:t xml:space="preserve"> are addressed in a real-life situation in the classroom. In the process, the assistants are able to acquire practical methods that may not necessarily be acquired in training. Guidance, feedback, and discussion of effective strategies are other opportunities for mentoring. Studies indicate that mentoring and professional assistance enhance the feeling of confidence and practice in class among teaching assistants (</w:t>
      </w:r>
      <w:proofErr w:type="spellStart"/>
      <w:r w:rsidRPr="003976E5">
        <w:rPr>
          <w:rFonts w:ascii="Arial" w:hAnsi="Arial" w:cs="Arial"/>
          <w:sz w:val="22"/>
          <w:szCs w:val="22"/>
        </w:rPr>
        <w:t>Sadera</w:t>
      </w:r>
      <w:proofErr w:type="spellEnd"/>
      <w:r w:rsidRPr="003976E5">
        <w:rPr>
          <w:rFonts w:ascii="Arial" w:hAnsi="Arial" w:cs="Arial"/>
          <w:sz w:val="22"/>
          <w:szCs w:val="22"/>
        </w:rPr>
        <w:t xml:space="preserve"> et al., 2024). In the case of a new teaching assistant, they could monitor how an experienced teacher is able to support a pupil with the problem of attention calmly during the lessons.</w:t>
      </w:r>
    </w:p>
    <w:p w14:paraId="044DC441" w14:textId="77777777" w:rsidR="003976E5" w:rsidRPr="003976E5" w:rsidRDefault="003976E5" w:rsidP="003976E5">
      <w:pPr>
        <w:spacing w:line="360" w:lineRule="auto"/>
        <w:rPr>
          <w:rFonts w:ascii="Arial" w:hAnsi="Arial" w:cs="Arial"/>
          <w:sz w:val="22"/>
          <w:szCs w:val="22"/>
        </w:rPr>
      </w:pPr>
      <w:r w:rsidRPr="003976E5">
        <w:rPr>
          <w:rFonts w:ascii="Arial" w:hAnsi="Arial" w:cs="Arial"/>
          <w:sz w:val="22"/>
          <w:szCs w:val="22"/>
        </w:rPr>
        <w:t> Another strategy that should be taken into consideration is cooperation between multidisciplinary professionals, including speech and language therapists, psychologists, and SEN coordinators. The collaboration with these experts will assist teaching assistants in learning about various developmental requirements and the ways to support these students. Education and healthcare practitioner collaboration was found to enhance the outcomes of pupils with special educational needs (Castro-Kemp and Samuels, 2022).</w:t>
      </w:r>
    </w:p>
    <w:p w14:paraId="366EA0AB" w14:textId="77777777" w:rsidR="003976E5" w:rsidRPr="003976E5" w:rsidRDefault="003976E5" w:rsidP="003976E5">
      <w:pPr>
        <w:spacing w:line="360" w:lineRule="auto"/>
        <w:rPr>
          <w:rFonts w:ascii="Arial" w:hAnsi="Arial" w:cs="Arial"/>
          <w:b/>
          <w:bCs/>
          <w:sz w:val="22"/>
          <w:szCs w:val="22"/>
        </w:rPr>
      </w:pPr>
      <w:r w:rsidRPr="003976E5">
        <w:rPr>
          <w:rFonts w:ascii="Arial" w:hAnsi="Arial" w:cs="Arial"/>
          <w:b/>
          <w:bCs/>
          <w:sz w:val="22"/>
          <w:szCs w:val="22"/>
        </w:rPr>
        <w:t>1.4 Conclusion</w:t>
      </w:r>
    </w:p>
    <w:p w14:paraId="4D169CA8" w14:textId="77777777" w:rsidR="003976E5" w:rsidRPr="003976E5" w:rsidRDefault="003976E5" w:rsidP="003976E5">
      <w:pPr>
        <w:spacing w:line="360" w:lineRule="auto"/>
        <w:rPr>
          <w:rFonts w:ascii="Arial" w:hAnsi="Arial" w:cs="Arial"/>
          <w:sz w:val="22"/>
          <w:szCs w:val="22"/>
        </w:rPr>
      </w:pPr>
      <w:r w:rsidRPr="003976E5">
        <w:rPr>
          <w:rFonts w:ascii="Arial" w:hAnsi="Arial" w:cs="Arial"/>
          <w:sz w:val="22"/>
          <w:szCs w:val="22"/>
        </w:rPr>
        <w:t xml:space="preserve">Special Educational Needs Teaching Assistant is a necessary role that facilitates the inclusion and fulfills the well-being of children with additional learning needs. The provision of effective assistance to pupils requires the presence of such key skills as communication, patience, and </w:t>
      </w:r>
      <w:proofErr w:type="spellStart"/>
      <w:r w:rsidRPr="003976E5">
        <w:rPr>
          <w:rFonts w:ascii="Arial" w:hAnsi="Arial" w:cs="Arial"/>
          <w:sz w:val="22"/>
          <w:szCs w:val="22"/>
        </w:rPr>
        <w:t>behaviour</w:t>
      </w:r>
      <w:proofErr w:type="spellEnd"/>
      <w:r w:rsidRPr="003976E5">
        <w:rPr>
          <w:rFonts w:ascii="Arial" w:hAnsi="Arial" w:cs="Arial"/>
          <w:sz w:val="22"/>
          <w:szCs w:val="22"/>
        </w:rPr>
        <w:t xml:space="preserve"> support. The development of these skills, as well as the enhancement of the professional practice, is facilitated by such strategies as professional training, mentoring, and collaboration with specialists. The development of these skills will help the children obtain safe, positive, and quality education.</w:t>
      </w:r>
    </w:p>
    <w:p w14:paraId="7784BF61" w14:textId="77777777" w:rsidR="003976E5" w:rsidRPr="003976E5" w:rsidRDefault="003976E5" w:rsidP="003976E5">
      <w:pPr>
        <w:spacing w:line="360" w:lineRule="auto"/>
        <w:rPr>
          <w:rFonts w:ascii="Arial" w:hAnsi="Arial" w:cs="Arial"/>
          <w:b/>
          <w:bCs/>
          <w:sz w:val="22"/>
          <w:szCs w:val="22"/>
        </w:rPr>
      </w:pPr>
      <w:r w:rsidRPr="003976E5">
        <w:rPr>
          <w:rFonts w:ascii="Arial" w:hAnsi="Arial" w:cs="Arial"/>
          <w:b/>
          <w:bCs/>
          <w:sz w:val="22"/>
          <w:szCs w:val="22"/>
        </w:rPr>
        <w:t>1.5 Reference List</w:t>
      </w:r>
    </w:p>
    <w:p w14:paraId="3AAEF116" w14:textId="77777777" w:rsidR="003976E5" w:rsidRPr="003976E5" w:rsidRDefault="003976E5" w:rsidP="003976E5">
      <w:pPr>
        <w:spacing w:line="360" w:lineRule="auto"/>
        <w:rPr>
          <w:rFonts w:ascii="Arial" w:hAnsi="Arial" w:cs="Arial"/>
          <w:sz w:val="22"/>
          <w:szCs w:val="22"/>
        </w:rPr>
      </w:pPr>
      <w:r w:rsidRPr="003976E5">
        <w:rPr>
          <w:rFonts w:ascii="Arial" w:hAnsi="Arial" w:cs="Arial"/>
          <w:sz w:val="22"/>
          <w:szCs w:val="22"/>
        </w:rPr>
        <w:t xml:space="preserve">Castro-Kemp, S. and Samuels, A. (2022) ‘Working together: a review of cross-sector collaborative practices in provision for children with special educational needs and disabilities’, </w:t>
      </w:r>
      <w:r w:rsidRPr="003976E5">
        <w:rPr>
          <w:rFonts w:ascii="Arial" w:hAnsi="Arial" w:cs="Arial"/>
          <w:i/>
          <w:iCs/>
          <w:sz w:val="22"/>
          <w:szCs w:val="22"/>
        </w:rPr>
        <w:t>Research in Developmental Disabilities</w:t>
      </w:r>
      <w:r w:rsidRPr="003976E5">
        <w:rPr>
          <w:rFonts w:ascii="Arial" w:hAnsi="Arial" w:cs="Arial"/>
          <w:sz w:val="22"/>
          <w:szCs w:val="22"/>
        </w:rPr>
        <w:t>, 120, p. 104127.</w:t>
      </w:r>
    </w:p>
    <w:p w14:paraId="6463B4C7" w14:textId="77777777" w:rsidR="003976E5" w:rsidRPr="003976E5" w:rsidRDefault="003976E5" w:rsidP="003976E5">
      <w:pPr>
        <w:spacing w:line="360" w:lineRule="auto"/>
        <w:rPr>
          <w:rFonts w:ascii="Arial" w:hAnsi="Arial" w:cs="Arial"/>
          <w:sz w:val="22"/>
          <w:szCs w:val="22"/>
        </w:rPr>
      </w:pPr>
      <w:r w:rsidRPr="003976E5">
        <w:rPr>
          <w:rFonts w:ascii="Arial" w:hAnsi="Arial" w:cs="Arial"/>
          <w:sz w:val="22"/>
          <w:szCs w:val="22"/>
        </w:rPr>
        <w:t xml:space="preserve">Department for Education (2015) </w:t>
      </w:r>
      <w:r w:rsidRPr="003976E5">
        <w:rPr>
          <w:rFonts w:ascii="Arial" w:hAnsi="Arial" w:cs="Arial"/>
          <w:i/>
          <w:iCs/>
          <w:sz w:val="22"/>
          <w:szCs w:val="22"/>
        </w:rPr>
        <w:t>Special educational needs and disability code of practice: 0 to 25 years</w:t>
      </w:r>
      <w:r w:rsidRPr="003976E5">
        <w:rPr>
          <w:rFonts w:ascii="Arial" w:hAnsi="Arial" w:cs="Arial"/>
          <w:sz w:val="22"/>
          <w:szCs w:val="22"/>
        </w:rPr>
        <w:t xml:space="preserve">. Available at: </w:t>
      </w:r>
      <w:hyperlink r:id="rId11" w:history="1">
        <w:r w:rsidRPr="003976E5">
          <w:rPr>
            <w:rStyle w:val="Hyperlink"/>
            <w:rFonts w:ascii="Arial" w:hAnsi="Arial" w:cs="Arial"/>
            <w:sz w:val="22"/>
            <w:szCs w:val="22"/>
          </w:rPr>
          <w:t>https://www.gov.uk/government/publications/send-code-of-practice-0-to-25</w:t>
        </w:r>
      </w:hyperlink>
      <w:r w:rsidRPr="003976E5">
        <w:rPr>
          <w:rFonts w:ascii="Arial" w:hAnsi="Arial" w:cs="Arial"/>
          <w:sz w:val="22"/>
          <w:szCs w:val="22"/>
        </w:rPr>
        <w:t xml:space="preserve"> (Accessed: 14 March 2026).</w:t>
      </w:r>
    </w:p>
    <w:p w14:paraId="601B23B0" w14:textId="77777777" w:rsidR="003976E5" w:rsidRPr="003976E5" w:rsidRDefault="003976E5" w:rsidP="003976E5">
      <w:pPr>
        <w:spacing w:line="360" w:lineRule="auto"/>
        <w:rPr>
          <w:rFonts w:ascii="Arial" w:hAnsi="Arial" w:cs="Arial"/>
          <w:sz w:val="22"/>
          <w:szCs w:val="22"/>
        </w:rPr>
      </w:pPr>
      <w:r w:rsidRPr="003976E5">
        <w:rPr>
          <w:rFonts w:ascii="Arial" w:hAnsi="Arial" w:cs="Arial"/>
          <w:sz w:val="22"/>
          <w:szCs w:val="22"/>
        </w:rPr>
        <w:t xml:space="preserve">National Careers Service (2024) </w:t>
      </w:r>
      <w:r w:rsidRPr="003976E5">
        <w:rPr>
          <w:rFonts w:ascii="Arial" w:hAnsi="Arial" w:cs="Arial"/>
          <w:i/>
          <w:iCs/>
          <w:sz w:val="22"/>
          <w:szCs w:val="22"/>
        </w:rPr>
        <w:t>Special educational needs (SEN) teaching assistant | Explore careers | National Careers Service</w:t>
      </w:r>
      <w:r w:rsidRPr="003976E5">
        <w:rPr>
          <w:rFonts w:ascii="Arial" w:hAnsi="Arial" w:cs="Arial"/>
          <w:sz w:val="22"/>
          <w:szCs w:val="22"/>
        </w:rPr>
        <w:t xml:space="preserve">. Available at: </w:t>
      </w:r>
      <w:hyperlink r:id="rId12" w:history="1">
        <w:r w:rsidRPr="003976E5">
          <w:rPr>
            <w:rStyle w:val="Hyperlink"/>
            <w:rFonts w:ascii="Arial" w:hAnsi="Arial" w:cs="Arial"/>
            <w:sz w:val="22"/>
            <w:szCs w:val="22"/>
          </w:rPr>
          <w:t>https://nationalcareers.service.gov.uk/job-profiles/special-educational-needs-sen-teaching-assistant</w:t>
        </w:r>
      </w:hyperlink>
      <w:r w:rsidRPr="003976E5">
        <w:rPr>
          <w:rFonts w:ascii="Arial" w:hAnsi="Arial" w:cs="Arial"/>
          <w:sz w:val="22"/>
          <w:szCs w:val="22"/>
        </w:rPr>
        <w:t xml:space="preserve"> (Accessed: 14 March 2026).</w:t>
      </w:r>
    </w:p>
    <w:p w14:paraId="0C34F846" w14:textId="77777777" w:rsidR="003976E5" w:rsidRPr="003976E5" w:rsidRDefault="003976E5" w:rsidP="003976E5">
      <w:pPr>
        <w:spacing w:line="360" w:lineRule="auto"/>
        <w:rPr>
          <w:rFonts w:ascii="Arial" w:hAnsi="Arial" w:cs="Arial"/>
          <w:sz w:val="22"/>
          <w:szCs w:val="22"/>
        </w:rPr>
      </w:pPr>
      <w:proofErr w:type="spellStart"/>
      <w:r w:rsidRPr="003976E5">
        <w:rPr>
          <w:rFonts w:ascii="Arial" w:hAnsi="Arial" w:cs="Arial"/>
          <w:sz w:val="22"/>
          <w:szCs w:val="22"/>
        </w:rPr>
        <w:t>Ronksley-Pavia</w:t>
      </w:r>
      <w:proofErr w:type="spellEnd"/>
      <w:r w:rsidRPr="003976E5">
        <w:rPr>
          <w:rFonts w:ascii="Arial" w:hAnsi="Arial" w:cs="Arial"/>
          <w:sz w:val="22"/>
          <w:szCs w:val="22"/>
        </w:rPr>
        <w:t xml:space="preserve">, M. (2023) ‘Curriculum in special school contexts: a collaged framework for </w:t>
      </w:r>
      <w:proofErr w:type="spellStart"/>
      <w:r w:rsidRPr="003976E5">
        <w:rPr>
          <w:rFonts w:ascii="Arial" w:hAnsi="Arial" w:cs="Arial"/>
          <w:sz w:val="22"/>
          <w:szCs w:val="22"/>
        </w:rPr>
        <w:t>personalised</w:t>
      </w:r>
      <w:proofErr w:type="spellEnd"/>
      <w:r w:rsidRPr="003976E5">
        <w:rPr>
          <w:rFonts w:ascii="Arial" w:hAnsi="Arial" w:cs="Arial"/>
          <w:sz w:val="22"/>
          <w:szCs w:val="22"/>
        </w:rPr>
        <w:t xml:space="preserve">, individual student learning’, </w:t>
      </w:r>
      <w:r w:rsidRPr="003976E5">
        <w:rPr>
          <w:rFonts w:ascii="Arial" w:hAnsi="Arial" w:cs="Arial"/>
          <w:i/>
          <w:iCs/>
          <w:sz w:val="22"/>
          <w:szCs w:val="22"/>
        </w:rPr>
        <w:t>The Curriculum Journal</w:t>
      </w:r>
      <w:r w:rsidRPr="003976E5">
        <w:rPr>
          <w:rFonts w:ascii="Arial" w:hAnsi="Arial" w:cs="Arial"/>
          <w:sz w:val="22"/>
          <w:szCs w:val="22"/>
        </w:rPr>
        <w:t xml:space="preserve">, 35(1), pp. 56-72. </w:t>
      </w:r>
      <w:proofErr w:type="spellStart"/>
      <w:r w:rsidRPr="003976E5">
        <w:rPr>
          <w:rFonts w:ascii="Arial" w:hAnsi="Arial" w:cs="Arial"/>
          <w:sz w:val="22"/>
          <w:szCs w:val="22"/>
        </w:rPr>
        <w:t>doi</w:t>
      </w:r>
      <w:proofErr w:type="spellEnd"/>
      <w:r w:rsidRPr="003976E5">
        <w:rPr>
          <w:rFonts w:ascii="Arial" w:hAnsi="Arial" w:cs="Arial"/>
          <w:sz w:val="22"/>
          <w:szCs w:val="22"/>
        </w:rPr>
        <w:t>: 10.1002/</w:t>
      </w:r>
      <w:proofErr w:type="spellStart"/>
      <w:r w:rsidRPr="003976E5">
        <w:rPr>
          <w:rFonts w:ascii="Arial" w:hAnsi="Arial" w:cs="Arial"/>
          <w:sz w:val="22"/>
          <w:szCs w:val="22"/>
        </w:rPr>
        <w:t>curj.235</w:t>
      </w:r>
      <w:proofErr w:type="spellEnd"/>
      <w:r w:rsidRPr="003976E5">
        <w:rPr>
          <w:rFonts w:ascii="Arial" w:hAnsi="Arial" w:cs="Arial"/>
          <w:sz w:val="22"/>
          <w:szCs w:val="22"/>
        </w:rPr>
        <w:t>.</w:t>
      </w:r>
    </w:p>
    <w:p w14:paraId="67254708" w14:textId="77777777" w:rsidR="003976E5" w:rsidRPr="003976E5" w:rsidRDefault="003976E5" w:rsidP="003976E5">
      <w:pPr>
        <w:spacing w:line="360" w:lineRule="auto"/>
        <w:rPr>
          <w:rFonts w:ascii="Arial" w:hAnsi="Arial" w:cs="Arial"/>
          <w:sz w:val="22"/>
          <w:szCs w:val="22"/>
        </w:rPr>
      </w:pPr>
      <w:proofErr w:type="spellStart"/>
      <w:r w:rsidRPr="003976E5">
        <w:rPr>
          <w:rFonts w:ascii="Arial" w:hAnsi="Arial" w:cs="Arial"/>
          <w:sz w:val="22"/>
          <w:szCs w:val="22"/>
        </w:rPr>
        <w:t>Sadera</w:t>
      </w:r>
      <w:proofErr w:type="spellEnd"/>
      <w:r w:rsidRPr="003976E5">
        <w:rPr>
          <w:rFonts w:ascii="Arial" w:hAnsi="Arial" w:cs="Arial"/>
          <w:sz w:val="22"/>
          <w:szCs w:val="22"/>
        </w:rPr>
        <w:t xml:space="preserve">, E., </w:t>
      </w:r>
      <w:proofErr w:type="spellStart"/>
      <w:r w:rsidRPr="003976E5">
        <w:rPr>
          <w:rFonts w:ascii="Arial" w:hAnsi="Arial" w:cs="Arial"/>
          <w:sz w:val="22"/>
          <w:szCs w:val="22"/>
        </w:rPr>
        <w:t>Suonio</w:t>
      </w:r>
      <w:proofErr w:type="spellEnd"/>
      <w:r w:rsidRPr="003976E5">
        <w:rPr>
          <w:rFonts w:ascii="Arial" w:hAnsi="Arial" w:cs="Arial"/>
          <w:sz w:val="22"/>
          <w:szCs w:val="22"/>
        </w:rPr>
        <w:t xml:space="preserve">, E.E., Chen, J.C.C., Herbert, R., Hsu, D., Bogdan, B. and Kool, B. (2024) ‘Strategies and approaches for delivering sustainable training and professional development of graduate teaching assistants, teaching assistants, and tutors: a scoping review’, </w:t>
      </w:r>
      <w:r w:rsidRPr="003976E5">
        <w:rPr>
          <w:rFonts w:ascii="Arial" w:hAnsi="Arial" w:cs="Arial"/>
          <w:i/>
          <w:iCs/>
          <w:sz w:val="22"/>
          <w:szCs w:val="22"/>
        </w:rPr>
        <w:t>Journal of Applied Research in Higher Education</w:t>
      </w:r>
      <w:r w:rsidRPr="003976E5">
        <w:rPr>
          <w:rFonts w:ascii="Arial" w:hAnsi="Arial" w:cs="Arial"/>
          <w:sz w:val="22"/>
          <w:szCs w:val="22"/>
        </w:rPr>
        <w:t>, 16(5), pp. 2199-2215.</w:t>
      </w:r>
    </w:p>
    <w:p w14:paraId="1C22E130" w14:textId="77777777" w:rsidR="003976E5" w:rsidRPr="003976E5" w:rsidRDefault="003976E5" w:rsidP="003976E5">
      <w:pPr>
        <w:spacing w:line="360" w:lineRule="auto"/>
        <w:rPr>
          <w:rFonts w:ascii="Arial" w:hAnsi="Arial" w:cs="Arial"/>
          <w:sz w:val="22"/>
          <w:szCs w:val="22"/>
        </w:rPr>
      </w:pPr>
      <w:r w:rsidRPr="003976E5">
        <w:rPr>
          <w:rFonts w:ascii="Arial" w:hAnsi="Arial" w:cs="Arial"/>
          <w:sz w:val="22"/>
          <w:szCs w:val="22"/>
        </w:rPr>
        <w:t xml:space="preserve">Siahaan, M.K. (2022) ‘Education for children with special needs’, </w:t>
      </w:r>
      <w:r w:rsidRPr="003976E5">
        <w:rPr>
          <w:rFonts w:ascii="Arial" w:hAnsi="Arial" w:cs="Arial"/>
          <w:i/>
          <w:iCs/>
          <w:sz w:val="22"/>
          <w:szCs w:val="22"/>
        </w:rPr>
        <w:t>The Explora</w:t>
      </w:r>
      <w:r w:rsidRPr="003976E5">
        <w:rPr>
          <w:rFonts w:ascii="Arial" w:hAnsi="Arial" w:cs="Arial"/>
          <w:sz w:val="22"/>
          <w:szCs w:val="22"/>
        </w:rPr>
        <w:t>, 8(2), pp. 14-27.</w:t>
      </w:r>
    </w:p>
    <w:p w14:paraId="0125BBC5" w14:textId="77777777" w:rsidR="003976E5" w:rsidRPr="003976E5" w:rsidRDefault="003976E5" w:rsidP="003976E5">
      <w:pPr>
        <w:spacing w:line="360" w:lineRule="auto"/>
        <w:rPr>
          <w:rFonts w:ascii="Arial" w:hAnsi="Arial" w:cs="Arial"/>
          <w:sz w:val="22"/>
          <w:szCs w:val="22"/>
        </w:rPr>
      </w:pPr>
      <w:r w:rsidRPr="003976E5">
        <w:rPr>
          <w:rFonts w:ascii="Arial" w:hAnsi="Arial" w:cs="Arial"/>
          <w:sz w:val="22"/>
          <w:szCs w:val="22"/>
        </w:rPr>
        <w:t xml:space="preserve">Webster, R., Bosanquet, P., Franklin, S. and Parker, M. (2021) </w:t>
      </w:r>
      <w:proofErr w:type="spellStart"/>
      <w:r w:rsidRPr="003976E5">
        <w:rPr>
          <w:rFonts w:ascii="Arial" w:hAnsi="Arial" w:cs="Arial"/>
          <w:i/>
          <w:iCs/>
          <w:sz w:val="22"/>
          <w:szCs w:val="22"/>
        </w:rPr>
        <w:t>Maximising</w:t>
      </w:r>
      <w:proofErr w:type="spellEnd"/>
      <w:r w:rsidRPr="003976E5">
        <w:rPr>
          <w:rFonts w:ascii="Arial" w:hAnsi="Arial" w:cs="Arial"/>
          <w:i/>
          <w:iCs/>
          <w:sz w:val="22"/>
          <w:szCs w:val="22"/>
        </w:rPr>
        <w:t xml:space="preserve"> the impact of teaching assistants in primary schools: a practical guide for school leaders</w:t>
      </w:r>
      <w:r w:rsidRPr="003976E5">
        <w:rPr>
          <w:rFonts w:ascii="Arial" w:hAnsi="Arial" w:cs="Arial"/>
          <w:sz w:val="22"/>
          <w:szCs w:val="22"/>
        </w:rPr>
        <w:t>. London: Routledge.</w:t>
      </w:r>
    </w:p>
    <w:p w14:paraId="6CF65DEC" w14:textId="77777777" w:rsidR="0045773F" w:rsidRPr="003976E5" w:rsidRDefault="0045773F" w:rsidP="003976E5">
      <w:pPr>
        <w:spacing w:line="360" w:lineRule="auto"/>
        <w:rPr>
          <w:rFonts w:ascii="Arial" w:hAnsi="Arial" w:cs="Arial"/>
          <w:sz w:val="22"/>
          <w:szCs w:val="22"/>
        </w:rPr>
      </w:pPr>
    </w:p>
    <w:sectPr w:rsidR="0045773F" w:rsidRPr="003976E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7ED"/>
    <w:rsid w:val="003976E5"/>
    <w:rsid w:val="0045773F"/>
    <w:rsid w:val="005A3A07"/>
    <w:rsid w:val="007D77ED"/>
    <w:rsid w:val="00AC112E"/>
    <w:rsid w:val="00B733A6"/>
    <w:rsid w:val="00BC3214"/>
    <w:rsid w:val="00C564A9"/>
    <w:rsid w:val="00D52EC8"/>
    <w:rsid w:val="00E978EB"/>
    <w:rsid w:val="00F65606"/>
    <w:rsid w:val="00FF2E1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70C54"/>
  <w15:chartTrackingRefBased/>
  <w15:docId w15:val="{A1EF0FE1-659A-45D2-A26B-3A0996F6E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77E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D77E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D77E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D77E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D77E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D77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77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77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77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77E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D77E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D77E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D77E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D77E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D77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77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77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77ED"/>
    <w:rPr>
      <w:rFonts w:eastAsiaTheme="majorEastAsia" w:cstheme="majorBidi"/>
      <w:color w:val="272727" w:themeColor="text1" w:themeTint="D8"/>
    </w:rPr>
  </w:style>
  <w:style w:type="paragraph" w:styleId="Title">
    <w:name w:val="Title"/>
    <w:basedOn w:val="Normal"/>
    <w:next w:val="Normal"/>
    <w:link w:val="TitleChar"/>
    <w:uiPriority w:val="10"/>
    <w:qFormat/>
    <w:rsid w:val="007D77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77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77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77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77ED"/>
    <w:pPr>
      <w:spacing w:before="160"/>
      <w:jc w:val="center"/>
    </w:pPr>
    <w:rPr>
      <w:i/>
      <w:iCs/>
      <w:color w:val="404040" w:themeColor="text1" w:themeTint="BF"/>
    </w:rPr>
  </w:style>
  <w:style w:type="character" w:customStyle="1" w:styleId="QuoteChar">
    <w:name w:val="Quote Char"/>
    <w:basedOn w:val="DefaultParagraphFont"/>
    <w:link w:val="Quote"/>
    <w:uiPriority w:val="29"/>
    <w:rsid w:val="007D77ED"/>
    <w:rPr>
      <w:i/>
      <w:iCs/>
      <w:color w:val="404040" w:themeColor="text1" w:themeTint="BF"/>
    </w:rPr>
  </w:style>
  <w:style w:type="paragraph" w:styleId="ListParagraph">
    <w:name w:val="List Paragraph"/>
    <w:basedOn w:val="Normal"/>
    <w:uiPriority w:val="34"/>
    <w:qFormat/>
    <w:rsid w:val="007D77ED"/>
    <w:pPr>
      <w:ind w:left="720"/>
      <w:contextualSpacing/>
    </w:pPr>
  </w:style>
  <w:style w:type="character" w:styleId="IntenseEmphasis">
    <w:name w:val="Intense Emphasis"/>
    <w:basedOn w:val="DefaultParagraphFont"/>
    <w:uiPriority w:val="21"/>
    <w:qFormat/>
    <w:rsid w:val="007D77ED"/>
    <w:rPr>
      <w:i/>
      <w:iCs/>
      <w:color w:val="2F5496" w:themeColor="accent1" w:themeShade="BF"/>
    </w:rPr>
  </w:style>
  <w:style w:type="paragraph" w:styleId="IntenseQuote">
    <w:name w:val="Intense Quote"/>
    <w:basedOn w:val="Normal"/>
    <w:next w:val="Normal"/>
    <w:link w:val="IntenseQuoteChar"/>
    <w:uiPriority w:val="30"/>
    <w:qFormat/>
    <w:rsid w:val="007D77E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D77ED"/>
    <w:rPr>
      <w:i/>
      <w:iCs/>
      <w:color w:val="2F5496" w:themeColor="accent1" w:themeShade="BF"/>
    </w:rPr>
  </w:style>
  <w:style w:type="character" w:styleId="IntenseReference">
    <w:name w:val="Intense Reference"/>
    <w:basedOn w:val="DefaultParagraphFont"/>
    <w:uiPriority w:val="32"/>
    <w:qFormat/>
    <w:rsid w:val="007D77ED"/>
    <w:rPr>
      <w:b/>
      <w:bCs/>
      <w:smallCaps/>
      <w:color w:val="2F5496" w:themeColor="accent1" w:themeShade="BF"/>
      <w:spacing w:val="5"/>
    </w:rPr>
  </w:style>
  <w:style w:type="character" w:styleId="Hyperlink">
    <w:name w:val="Hyperlink"/>
    <w:basedOn w:val="DefaultParagraphFont"/>
    <w:uiPriority w:val="99"/>
    <w:unhideWhenUsed/>
    <w:rsid w:val="00E978EB"/>
    <w:rPr>
      <w:color w:val="0563C1" w:themeColor="hyperlink"/>
      <w:u w:val="single"/>
    </w:rPr>
  </w:style>
  <w:style w:type="character" w:styleId="UnresolvedMention">
    <w:name w:val="Unresolved Mention"/>
    <w:basedOn w:val="DefaultParagraphFont"/>
    <w:uiPriority w:val="99"/>
    <w:semiHidden/>
    <w:unhideWhenUsed/>
    <w:rsid w:val="00E978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document/d/1swxTylTunaXOGEg8dYDH6qPmvmfEaOj3/edit"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cs.google.com/document/d/1swxTylTunaXOGEg8dYDH6qPmvmfEaOj3/edit" TargetMode="External"/><Relationship Id="rId12" Type="http://schemas.openxmlformats.org/officeDocument/2006/relationships/hyperlink" Target="https://nationalcareers.service.gov.uk/job-profiles/special-educational-needs-sen-teaching-assistant?utm_source=chatgpt.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cs.google.com/document/d/1swxTylTunaXOGEg8dYDH6qPmvmfEaOj3/edit" TargetMode="External"/><Relationship Id="rId11" Type="http://schemas.openxmlformats.org/officeDocument/2006/relationships/hyperlink" Target="https://www.gov.uk/government/publications/send-code-of-practice-0-to-25?utm_source=chatgpt.com" TargetMode="External"/><Relationship Id="rId5" Type="http://schemas.openxmlformats.org/officeDocument/2006/relationships/hyperlink" Target="https://docs.google.com/document/d/1swxTylTunaXOGEg8dYDH6qPmvmfEaOj3/edit" TargetMode="External"/><Relationship Id="rId10" Type="http://schemas.openxmlformats.org/officeDocument/2006/relationships/hyperlink" Target="https://docs.google.com/document/d/1swxTylTunaXOGEg8dYDH6qPmvmfEaOj3/edit" TargetMode="External"/><Relationship Id="rId4" Type="http://schemas.openxmlformats.org/officeDocument/2006/relationships/image" Target="media/image1.png"/><Relationship Id="rId9" Type="http://schemas.openxmlformats.org/officeDocument/2006/relationships/hyperlink" Target="https://docs.google.com/document/d/1swxTylTunaXOGEg8dYDH6qPmvmfEaOj3/edi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1873</Words>
  <Characters>10682</Characters>
  <Application>Microsoft Office Word</Application>
  <DocSecurity>0</DocSecurity>
  <Lines>89</Lines>
  <Paragraphs>25</Paragraphs>
  <ScaleCrop>false</ScaleCrop>
  <Company/>
  <LinksUpToDate>false</LinksUpToDate>
  <CharactersWithSpaces>12530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Zaki Rathore</dc:creator>
  <cp:keywords/>
  <dc:description/>
  <cp:lastModifiedBy>Mehvish Matloob (2525288)</cp:lastModifiedBy>
  <cp:revision>3</cp:revision>
  <dcterms:created xsi:type="dcterms:W3CDTF">2026-03-26T21:32:00Z</dcterms:created>
  <dcterms:modified xsi:type="dcterms:W3CDTF">2026-03-26T21:32:00Z</dcterms:modified>
</cp:coreProperties>
</file>