
<file path=[Content_Types].xml><?xml version="1.0" encoding="utf-8"?>
<Types xmlns="http://schemas.openxmlformats.org/package/2006/content-types">
  <Default Extension="png" ContentType="image/png"/>
  <Default Extension="jpeg" ContentType="image/jpeg"/>
  <Default Extension="jpg" ContentType="image/jpeg"/>
  <Default Extension="bmp" ContentType="image/bmp"/>
  <Default Extension="gif" ContentType="image/gif"/>
  <Default Extension="svg" ContentType="image/svg+xml"/>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docProps/app.xml" ContentType="application/vnd.openxmlformats-officedocument.extended-properti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footer1.xml" ContentType="application/vnd.openxmlformats-officedocument.wordprocessingml.footer+xml"/>
  <Override PartName="/word/header.xml" ContentType="application/vnd.openxmlformats-officedocument.wordprocessingml.header+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xmlns:wp14="http://schemas.microsoft.com/office/word/2010/wordml" w:rsidP="44643972" w14:paraId="672A6659" wp14:textId="77777777">
      <w:pPr>
        <w:pStyle w:val="Normal"/>
        <w:pageBreakBefore w:val="0"/>
        <w:spacing w:line="360" w:lineRule="auto"/>
      </w:pPr>
    </w:p>
    <w:p xmlns:wp14="http://schemas.microsoft.com/office/word/2010/wordml" w:rsidP="44643972" w14:paraId="0A37501D" wp14:textId="77777777">
      <w:pPr>
        <w:pStyle w:val="Normal"/>
        <w:pageBreakBefore w:val="0"/>
        <w:spacing w:line="360" w:lineRule="auto"/>
        <w:rPr>
          <w:sz w:val="32"/>
          <w:szCs w:val="32"/>
        </w:rPr>
      </w:pPr>
    </w:p>
    <w:p xmlns:wp14="http://schemas.microsoft.com/office/word/2010/wordml" w:rsidP="44643972" w14:paraId="5DAB6C7B" wp14:textId="77777777">
      <w:pPr>
        <w:pStyle w:val="Normal"/>
        <w:pageBreakBefore w:val="0"/>
        <w:spacing w:line="360" w:lineRule="auto"/>
        <w:rPr>
          <w:sz w:val="32"/>
          <w:szCs w:val="32"/>
        </w:rPr>
      </w:pPr>
    </w:p>
    <w:p xmlns:wp14="http://schemas.microsoft.com/office/word/2010/wordml" w:rsidP="44643972" w14:paraId="7D81984B" wp14:textId="77777777">
      <w:pPr>
        <w:pStyle w:val="Normal"/>
        <w:pageBreakBefore w:val="0"/>
        <w:spacing w:line="360" w:lineRule="auto"/>
        <w:jc w:val="center"/>
        <w:rPr>
          <w:rFonts w:ascii="Times New Roman" w:hAnsi="Times New Roman" w:eastAsia="Times New Roman" w:cs="Times New Roman"/>
          <w:b w:val="1"/>
          <w:bCs w:val="1"/>
          <w:sz w:val="32"/>
          <w:szCs w:val="32"/>
          <w:lang w:val="en-US"/>
        </w:rPr>
      </w:pPr>
      <w:r w:rsidRPr="44643972" w:rsidR="44643972">
        <w:rPr>
          <w:sz w:val="32"/>
          <w:szCs w:val="32"/>
          <w:lang w:val="en-US"/>
        </w:rPr>
        <w:t>Business Intelligence Report | RetailEdge Ltd</w:t>
      </w:r>
    </w:p>
    <w:p xmlns:wp14="http://schemas.microsoft.com/office/word/2010/wordml" w:rsidP="44643972" w14:paraId="40A4589E" wp14:textId="77777777">
      <w:pPr>
        <w:pStyle w:val="Normal"/>
        <w:pageBreakBefore w:val="0"/>
        <w:spacing w:line="360" w:lineRule="auto"/>
        <w:jc w:val="center"/>
        <w:rPr>
          <w:rFonts w:ascii="Times New Roman" w:hAnsi="Times New Roman" w:eastAsia="Times New Roman" w:cs="Times New Roman"/>
          <w:b w:val="1"/>
          <w:bCs w:val="1"/>
          <w:sz w:val="32"/>
          <w:szCs w:val="32"/>
        </w:rPr>
      </w:pPr>
      <w:r w:rsidRPr="44643972" w:rsidR="44643972">
        <w:rPr>
          <w:sz w:val="32"/>
          <w:szCs w:val="32"/>
        </w:rPr>
        <w:t>Business Intelligence, Data Warehousing and Predictive Analytics</w:t>
      </w:r>
    </w:p>
    <w:p xmlns:wp14="http://schemas.microsoft.com/office/word/2010/wordml" w:rsidP="44643972" w14:paraId="02EB378F" wp14:textId="77777777">
      <w:pPr>
        <w:pStyle w:val="Normal"/>
        <w:pageBreakBefore w:val="0"/>
        <w:spacing w:line="360" w:lineRule="auto"/>
        <w:jc w:val="center"/>
        <w:rPr>
          <w:sz w:val="32"/>
          <w:szCs w:val="32"/>
        </w:rPr>
      </w:pPr>
    </w:p>
    <w:p xmlns:wp14="http://schemas.microsoft.com/office/word/2010/wordml" w:rsidP="44643972" w14:paraId="43B1C698" wp14:textId="77777777">
      <w:pPr>
        <w:pStyle w:val="Normal"/>
        <w:pageBreakBefore w:val="0"/>
        <w:spacing w:line="360" w:lineRule="auto"/>
        <w:jc w:val="center"/>
        <w:rPr>
          <w:rFonts w:ascii="Times New Roman" w:hAnsi="Times New Roman" w:eastAsia="Times New Roman" w:cs="Times New Roman"/>
          <w:sz w:val="32"/>
          <w:szCs w:val="32"/>
          <w:lang w:val="en-US"/>
        </w:rPr>
      </w:pPr>
      <w:r w:rsidRPr="44643972" w:rsidR="44643972">
        <w:rPr>
          <w:sz w:val="32"/>
          <w:szCs w:val="32"/>
          <w:lang w:val="en-US"/>
        </w:rPr>
        <w:t>A Strategic Report for RetailEdge Ltd</w:t>
      </w:r>
    </w:p>
    <w:p xmlns:wp14="http://schemas.microsoft.com/office/word/2010/wordml" w:rsidP="44643972" w14:paraId="53EA93C8" wp14:textId="5DFEE900">
      <w:pPr>
        <w:pStyle w:val="Normal"/>
        <w:pageBreakBefore w:val="0"/>
        <w:spacing w:line="360" w:lineRule="auto"/>
        <w:jc w:val="center"/>
        <w:rPr>
          <w:rFonts w:ascii="Times New Roman" w:hAnsi="Times New Roman" w:eastAsia="Times New Roman" w:cs="Times New Roman"/>
          <w:sz w:val="32"/>
          <w:szCs w:val="32"/>
        </w:rPr>
      </w:pPr>
      <w:r w:rsidRPr="44643972" w:rsidR="44643972">
        <w:rPr>
          <w:sz w:val="32"/>
          <w:szCs w:val="32"/>
        </w:rPr>
        <w:t xml:space="preserve"> Business Intelligence and Data Analytics</w:t>
      </w:r>
    </w:p>
    <w:p xmlns:wp14="http://schemas.microsoft.com/office/word/2010/wordml" w:rsidP="44643972" w14:paraId="0E0C1E7F" wp14:textId="28307DFD">
      <w:pPr>
        <w:pStyle w:val="Normal"/>
        <w:pageBreakBefore w:val="0"/>
        <w:spacing w:line="360" w:lineRule="auto"/>
        <w:jc w:val="center"/>
        <w:rPr>
          <w:rFonts w:ascii="Times New Roman" w:hAnsi="Times New Roman" w:eastAsia="Times New Roman" w:cs="Times New Roman"/>
          <w:sz w:val="32"/>
          <w:szCs w:val="32"/>
        </w:rPr>
      </w:pPr>
      <w:r w:rsidRPr="44643972" w:rsidR="44643972">
        <w:rPr>
          <w:sz w:val="32"/>
          <w:szCs w:val="32"/>
        </w:rPr>
        <w:t xml:space="preserve">University of Wales Trinity Saint David </w:t>
      </w:r>
    </w:p>
    <w:p xmlns:wp14="http://schemas.microsoft.com/office/word/2010/wordml" w:rsidP="44643972" w14:paraId="6A05A809" wp14:textId="77777777">
      <w:pPr>
        <w:pStyle w:val="Normal"/>
        <w:pageBreakBefore w:val="0"/>
        <w:spacing w:line="360" w:lineRule="auto"/>
        <w:jc w:val="center"/>
        <w:rPr>
          <w:sz w:val="32"/>
          <w:szCs w:val="32"/>
        </w:rPr>
      </w:pPr>
      <w:r w:rsidRPr="44643972" w:rsidR="2D3BE09F">
        <w:rPr>
          <w:sz w:val="32"/>
          <w:szCs w:val="32"/>
        </w:rPr>
        <w:t>Angel David Udrea (2429380)</w:t>
      </w:r>
    </w:p>
    <w:p w:rsidR="2D3BE09F" w:rsidP="44643972" w:rsidRDefault="2D3BE09F" w14:paraId="6FC691B8" w14:textId="02C44BA9">
      <w:pPr>
        <w:pStyle w:val="Normal"/>
        <w:pageBreakBefore w:val="0"/>
        <w:spacing w:line="360" w:lineRule="auto"/>
        <w:jc w:val="center"/>
        <w:rPr>
          <w:sz w:val="32"/>
          <w:szCs w:val="32"/>
        </w:rPr>
      </w:pPr>
      <w:r w:rsidRPr="44643972" w:rsidR="2D3BE09F">
        <w:rPr>
          <w:sz w:val="32"/>
          <w:szCs w:val="32"/>
        </w:rPr>
        <w:t>LCBB 5014</w:t>
      </w:r>
    </w:p>
    <w:p xmlns:wp14="http://schemas.microsoft.com/office/word/2010/wordml" w:rsidP="44643972" w14:paraId="5A39BBE3" wp14:textId="77777777">
      <w:pPr>
        <w:pStyle w:val="Normal"/>
        <w:pageBreakBefore w:val="0"/>
        <w:spacing w:line="360" w:lineRule="auto"/>
        <w:rPr>
          <w:sz w:val="32"/>
          <w:szCs w:val="32"/>
        </w:rPr>
      </w:pPr>
    </w:p>
    <w:p xmlns:wp14="http://schemas.microsoft.com/office/word/2010/wordml" w:rsidP="44643972" w14:paraId="41C8F396" wp14:textId="77777777">
      <w:pPr>
        <w:pStyle w:val="Normal"/>
        <w:pageBreakBefore w:val="0"/>
        <w:spacing w:line="360" w:lineRule="auto"/>
      </w:pPr>
    </w:p>
    <w:p w:rsidR="44643972" w:rsidP="44643972" w:rsidRDefault="44643972" w14:paraId="73757A34" w14:textId="7ACAE68A">
      <w:pPr>
        <w:pStyle w:val="Normal"/>
        <w:pageBreakBefore w:val="0"/>
        <w:spacing w:line="360" w:lineRule="auto"/>
      </w:pPr>
    </w:p>
    <w:p w:rsidR="44643972" w:rsidP="44643972" w:rsidRDefault="44643972" w14:paraId="5C483DD8" w14:textId="7C20D84A">
      <w:pPr>
        <w:pStyle w:val="Normal"/>
        <w:pageBreakBefore w:val="0"/>
        <w:spacing w:line="360" w:lineRule="auto"/>
      </w:pPr>
    </w:p>
    <w:p w:rsidR="44643972" w:rsidP="44643972" w:rsidRDefault="44643972" w14:paraId="14DDE76F" w14:textId="710D056F">
      <w:pPr>
        <w:pStyle w:val="Normal"/>
        <w:pageBreakBefore w:val="0"/>
        <w:spacing w:line="360" w:lineRule="auto"/>
      </w:pPr>
    </w:p>
    <w:p w:rsidR="44643972" w:rsidP="44643972" w:rsidRDefault="44643972" w14:paraId="7DA7FD55" w14:textId="6E3A00AF">
      <w:pPr>
        <w:pStyle w:val="Normal"/>
        <w:pageBreakBefore w:val="0"/>
        <w:spacing w:line="360" w:lineRule="auto"/>
      </w:pPr>
    </w:p>
    <w:p w:rsidR="44643972" w:rsidP="44643972" w:rsidRDefault="44643972" w14:paraId="144F5C91" w14:textId="503C0902">
      <w:pPr>
        <w:pStyle w:val="Normal"/>
        <w:pageBreakBefore w:val="0"/>
        <w:spacing w:line="360" w:lineRule="auto"/>
      </w:pPr>
    </w:p>
    <w:p w:rsidR="44643972" w:rsidP="44643972" w:rsidRDefault="44643972" w14:paraId="7F1B8621" w14:textId="29F1A9CB">
      <w:pPr>
        <w:pStyle w:val="Normal"/>
        <w:pageBreakBefore w:val="0"/>
        <w:spacing w:line="360" w:lineRule="auto"/>
      </w:pPr>
    </w:p>
    <w:p w:rsidR="44643972" w:rsidP="44643972" w:rsidRDefault="44643972" w14:paraId="50D98B9B" w14:textId="0D004137">
      <w:pPr>
        <w:pStyle w:val="Normal"/>
        <w:pageBreakBefore w:val="0"/>
        <w:spacing w:line="360" w:lineRule="auto"/>
      </w:pPr>
    </w:p>
    <w:p w:rsidR="44643972" w:rsidP="44643972" w:rsidRDefault="44643972" w14:paraId="20F7D1F6" w14:textId="486243AF">
      <w:pPr>
        <w:pStyle w:val="Normal"/>
        <w:pageBreakBefore w:val="0"/>
        <w:spacing w:line="360" w:lineRule="auto"/>
      </w:pPr>
    </w:p>
    <w:p w:rsidR="44643972" w:rsidP="44643972" w:rsidRDefault="44643972" w14:paraId="29EB3C35" w14:textId="5B5E3511">
      <w:pPr>
        <w:pStyle w:val="Normal"/>
        <w:pageBreakBefore w:val="0"/>
        <w:spacing w:line="360" w:lineRule="auto"/>
      </w:pPr>
    </w:p>
    <w:p w:rsidR="44643972" w:rsidP="44643972" w:rsidRDefault="44643972" w14:paraId="66ABD00E" w14:textId="77B95AE1">
      <w:pPr>
        <w:pStyle w:val="Normal"/>
        <w:pageBreakBefore w:val="0"/>
        <w:spacing w:line="360" w:lineRule="auto"/>
      </w:pPr>
    </w:p>
    <w:p w:rsidR="44643972" w:rsidP="44643972" w:rsidRDefault="44643972" w14:paraId="445CA9F1" w14:textId="5E36F9D5">
      <w:pPr>
        <w:pStyle w:val="Normal"/>
        <w:pageBreakBefore w:val="0"/>
        <w:spacing w:line="360" w:lineRule="auto"/>
      </w:pPr>
    </w:p>
    <w:p w:rsidR="44643972" w:rsidP="44643972" w:rsidRDefault="44643972" w14:paraId="148F0738" w14:textId="2CC3ECD5">
      <w:pPr>
        <w:pStyle w:val="Normal"/>
        <w:pageBreakBefore w:val="0"/>
        <w:spacing w:line="360" w:lineRule="auto"/>
      </w:pPr>
    </w:p>
    <w:p w:rsidR="44643972" w:rsidP="44643972" w:rsidRDefault="44643972" w14:paraId="01F8B719" w14:textId="1044BE05">
      <w:pPr>
        <w:pStyle w:val="Normal"/>
        <w:pageBreakBefore w:val="0"/>
        <w:spacing w:line="360" w:lineRule="auto"/>
      </w:pPr>
    </w:p>
    <w:p w:rsidR="44643972" w:rsidP="44643972" w:rsidRDefault="44643972" w14:paraId="00DD8670" w14:textId="20810A29">
      <w:pPr>
        <w:pStyle w:val="Normal"/>
        <w:pageBreakBefore w:val="0"/>
        <w:spacing w:line="360" w:lineRule="auto"/>
      </w:pPr>
    </w:p>
    <w:p w:rsidR="44643972" w:rsidP="44643972" w:rsidRDefault="44643972" w14:paraId="0DBE1956" w14:textId="0EADFC34">
      <w:pPr>
        <w:pStyle w:val="Normal"/>
        <w:pageBreakBefore w:val="0"/>
        <w:spacing w:line="360" w:lineRule="auto"/>
      </w:pPr>
    </w:p>
    <w:p w:rsidR="44643972" w:rsidP="44643972" w:rsidRDefault="44643972" w14:paraId="51431A12" w14:textId="7E9F17B9">
      <w:pPr>
        <w:pStyle w:val="Normal"/>
        <w:pageBreakBefore w:val="0"/>
        <w:spacing w:line="360" w:lineRule="auto"/>
      </w:pPr>
    </w:p>
    <w:p w:rsidR="44643972" w:rsidP="44643972" w:rsidRDefault="44643972" w14:paraId="24A46E10" w14:textId="741A7B6E">
      <w:pPr>
        <w:pStyle w:val="Normal"/>
        <w:pageBreakBefore w:val="0"/>
        <w:spacing w:line="360" w:lineRule="auto"/>
      </w:pPr>
    </w:p>
    <w:p xmlns:wp14="http://schemas.microsoft.com/office/word/2010/wordml" w:rsidP="44643972" w14:paraId="2664F4B3" wp14:textId="77777777">
      <w:pPr>
        <w:pStyle w:val="Normal"/>
        <w:pageBreakBefore w:val="0"/>
        <w:spacing w:line="360" w:lineRule="auto"/>
        <w:rPr>
          <w:rFonts w:ascii="Times New Roman" w:hAnsi="Times New Roman" w:eastAsia="Times New Roman" w:cs="Times New Roman"/>
          <w:b w:val="1"/>
          <w:bCs w:val="1"/>
          <w:sz w:val="24"/>
          <w:szCs w:val="24"/>
        </w:rPr>
      </w:pPr>
      <w:r w:rsidR="44643972">
        <w:rPr/>
        <w:t>Executive Summary</w:t>
      </w:r>
    </w:p>
    <w:p xmlns:wp14="http://schemas.microsoft.com/office/word/2010/wordml" w:rsidP="44643972" w14:paraId="5AA88154" wp14:textId="77777777">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This report has been prepared from the perspective of a data analyst embedded within RetailEdge Ltd, a medium-sized UK retail organisation operating across both physical stores and an e-commerce platform. Its purpose is to examine how Business Intelligence (BI), Data Warehousing (DW), and Data Mining (DM) technologies can be deployed strategically to improve operational efficiency and support more informed executive decision-making.</w:t>
      </w:r>
    </w:p>
    <w:p xmlns:wp14="http://schemas.microsoft.com/office/word/2010/wordml" w:rsidP="44643972" w14:paraId="72A3D3EC" wp14:textId="77777777">
      <w:pPr>
        <w:pStyle w:val="Normal"/>
        <w:pageBreakBefore w:val="0"/>
        <w:spacing w:line="360" w:lineRule="auto"/>
      </w:pPr>
    </w:p>
    <w:p xmlns:wp14="http://schemas.microsoft.com/office/word/2010/wordml" w:rsidP="44643972" w14:paraId="45868CDF" wp14:textId="586CC143">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Three BI tools are evaluated in depth: Microsoft Power BI, IBM SPSS Statistics, and RapidMiner Studio. The report also engages critically with contemporary trends  including cloud-based data warehousing, real-time analytics, and the growing role of artificial intelligence within BI pipelines and draws on Kimball's dimensional modelling </w:t>
      </w:r>
      <w:r w:rsidRPr="44643972" w:rsidR="44643972">
        <w:rPr>
          <w:lang w:val="en-US"/>
        </w:rPr>
        <w:t>methodology</w:t>
      </w:r>
      <w:r w:rsidRPr="44643972" w:rsidR="44643972">
        <w:rPr>
          <w:lang w:val="en-US"/>
        </w:rPr>
        <w:t xml:space="preserve"> and the CRISP-DM framework as its principal academic anchors.</w:t>
      </w:r>
    </w:p>
    <w:p xmlns:wp14="http://schemas.microsoft.com/office/word/2010/wordml" w:rsidP="44643972" w14:paraId="0D0B940D" wp14:textId="77777777">
      <w:pPr>
        <w:pStyle w:val="Normal"/>
        <w:pageBreakBefore w:val="0"/>
        <w:spacing w:line="360" w:lineRule="auto"/>
      </w:pPr>
    </w:p>
    <w:p xmlns:wp14="http://schemas.microsoft.com/office/word/2010/wordml" w:rsidP="44643972" w14:paraId="0B07D668" wp14:textId="77777777">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The central finding is that adopting a cloud-hosted data warehouse, combined with clustering and association rule mining techniques, would allow RetailEdge Ltd to move meaningfully from reactive to proactive decision-making. Alongside this technical case, the report highlights the organisation's obligations under the UK General Data Protection Regulation (UK GDPR) and recommends a phased implementation programme culminating in real-time Power BI dashboards for day-to-day operational monitoring.</w:t>
      </w:r>
    </w:p>
    <w:p w:rsidR="44643972" w:rsidP="44643972" w:rsidRDefault="44643972" w14:paraId="774DAB75" w14:textId="539945ED">
      <w:pPr>
        <w:pStyle w:val="Normal"/>
        <w:pageBreakBefore w:val="0"/>
        <w:spacing w:line="360" w:lineRule="auto"/>
        <w:rPr>
          <w:lang w:val="en-US"/>
        </w:rPr>
      </w:pPr>
    </w:p>
    <w:p xmlns:wp14="http://schemas.microsoft.com/office/word/2010/wordml" w:rsidP="44643972" w14:paraId="32A36C38" wp14:textId="77777777">
      <w:pPr>
        <w:pStyle w:val="Normal"/>
        <w:pageBreakBefore w:val="0"/>
        <w:spacing w:line="360" w:lineRule="auto"/>
        <w:rPr>
          <w:rFonts w:ascii="Times New Roman" w:hAnsi="Times New Roman" w:eastAsia="Times New Roman" w:cs="Times New Roman"/>
          <w:b w:val="1"/>
          <w:bCs w:val="1"/>
          <w:sz w:val="24"/>
          <w:szCs w:val="24"/>
        </w:rPr>
      </w:pPr>
      <w:r w:rsidR="44643972">
        <w:rPr/>
        <w:t>1. Introduction</w:t>
      </w:r>
    </w:p>
    <w:p xmlns:wp14="http://schemas.microsoft.com/office/word/2010/wordml" w:rsidP="44643972" w14:paraId="6F2AA563" wp14:textId="31FAD796">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RetailEdge</w:t>
      </w:r>
      <w:r w:rsidRPr="44643972" w:rsidR="44643972">
        <w:rPr>
          <w:lang w:val="en-US"/>
        </w:rPr>
        <w:t xml:space="preserve"> Ltd employs approximately 850 staff across fourteen physical stores and a growing e-commerce operation, selling across clothing, homeware, and personal accessories. Every day, this activity generates substantial volumes of multi-channel transactional data. Despite that richness, strategic decisions have historically been guided by periodic manual reports  a practice that inherently limits the </w:t>
      </w:r>
      <w:r w:rsidRPr="44643972" w:rsidR="44643972">
        <w:rPr>
          <w:lang w:val="en-US"/>
        </w:rPr>
        <w:t>organisation's</w:t>
      </w:r>
      <w:r w:rsidRPr="44643972" w:rsidR="44643972">
        <w:rPr>
          <w:lang w:val="en-US"/>
        </w:rPr>
        <w:t xml:space="preserve"> ability to respond quickly to shifting market conditions.</w:t>
      </w:r>
    </w:p>
    <w:p xmlns:wp14="http://schemas.microsoft.com/office/word/2010/wordml" w:rsidP="44643972" w14:paraId="0E27B00A" wp14:textId="77777777">
      <w:pPr>
        <w:pStyle w:val="Normal"/>
        <w:pageBreakBefore w:val="0"/>
        <w:spacing w:line="360" w:lineRule="auto"/>
      </w:pPr>
    </w:p>
    <w:p xmlns:wp14="http://schemas.microsoft.com/office/word/2010/wordml" w:rsidP="44643972" w14:paraId="2A71F6BD" wp14:textId="77777777">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This report was commissioned by the Head of Operations to assess how BI, DW, and DM tools might underpin a more evidence-driven approach to strategy. More specifically, it seeks to identify appropriate technologies, examine data mining techniques relevant to the retail context, propose predictive analytics solutions, address the organisation's ethical and regulatory obligations, and outline suitable dashboard infrastructure. Six substantive sections follow, supported by a full reference list compiled in accordance with the UWTSD Harvard referencing guide.</w:t>
      </w:r>
    </w:p>
    <w:p w:rsidR="44643972" w:rsidP="44643972" w:rsidRDefault="44643972" w14:paraId="182DB965" w14:textId="44B3E5B4">
      <w:pPr>
        <w:pStyle w:val="Normal"/>
        <w:pageBreakBefore w:val="0"/>
        <w:spacing w:line="360" w:lineRule="auto"/>
      </w:pPr>
    </w:p>
    <w:p xmlns:wp14="http://schemas.microsoft.com/office/word/2010/wordml" w:rsidP="44643972" w14:paraId="7955ABF0" wp14:textId="77777777">
      <w:pPr>
        <w:pStyle w:val="Normal"/>
        <w:pageBreakBefore w:val="0"/>
        <w:spacing w:line="360" w:lineRule="auto"/>
        <w:rPr>
          <w:rFonts w:ascii="Times New Roman" w:hAnsi="Times New Roman" w:eastAsia="Times New Roman" w:cs="Times New Roman"/>
          <w:b w:val="1"/>
          <w:bCs w:val="1"/>
          <w:sz w:val="24"/>
          <w:szCs w:val="24"/>
        </w:rPr>
      </w:pPr>
      <w:r w:rsidR="44643972">
        <w:rPr/>
        <w:t>2. Trends in Business Intelligence, Data Warehousing, and Data Mining</w:t>
      </w:r>
    </w:p>
    <w:p xmlns:wp14="http://schemas.microsoft.com/office/word/2010/wordml" w:rsidP="44643972" w14:paraId="15580A7B" wp14:textId="2947EBFA">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Business Intelligence, </w:t>
      </w:r>
      <w:r w:rsidRPr="44643972" w:rsidR="44643972">
        <w:rPr>
          <w:lang w:val="en-US"/>
        </w:rPr>
        <w:t>broadly understood</w:t>
      </w:r>
      <w:r w:rsidRPr="44643972" w:rsidR="44643972">
        <w:rPr>
          <w:lang w:val="en-US"/>
        </w:rPr>
        <w:t xml:space="preserve">, refers to the strategies, technologies, and processes </w:t>
      </w:r>
      <w:r w:rsidRPr="44643972" w:rsidR="44643972">
        <w:rPr>
          <w:lang w:val="en-US"/>
        </w:rPr>
        <w:t>organisations</w:t>
      </w:r>
      <w:r w:rsidRPr="44643972" w:rsidR="44643972">
        <w:rPr>
          <w:lang w:val="en-US"/>
        </w:rPr>
        <w:t xml:space="preserve"> use to collect, integrate, </w:t>
      </w:r>
      <w:r w:rsidRPr="44643972" w:rsidR="44643972">
        <w:rPr>
          <w:lang w:val="en-US"/>
        </w:rPr>
        <w:t>analyse</w:t>
      </w:r>
      <w:r w:rsidRPr="44643972" w:rsidR="44643972">
        <w:rPr>
          <w:lang w:val="en-US"/>
        </w:rPr>
        <w:t xml:space="preserve">, and present business information in ways that support decision-making (Negash, 2004; Chaudhuri, Dayal and </w:t>
      </w:r>
      <w:r w:rsidRPr="44643972" w:rsidR="44643972">
        <w:rPr>
          <w:lang w:val="en-US"/>
        </w:rPr>
        <w:t>Narasayya</w:t>
      </w:r>
      <w:r w:rsidRPr="44643972" w:rsidR="44643972">
        <w:rPr>
          <w:lang w:val="en-US"/>
        </w:rPr>
        <w:t xml:space="preserve">, 2011). A data warehouse, in Inmon's (1992) foundational formulation, is a subject-oriented, integrated, non-volatile, and time-variant repository of data specifically designed to support management decisions a definition that has retained its currency across three decades of subsequent literature (Kimball and Ross, 2013). Data mining is a </w:t>
      </w:r>
      <w:r w:rsidRPr="44643972" w:rsidR="44643972">
        <w:rPr>
          <w:lang w:val="en-US"/>
        </w:rPr>
        <w:t>somewhat different</w:t>
      </w:r>
      <w:r w:rsidRPr="44643972" w:rsidR="44643972">
        <w:rPr>
          <w:lang w:val="en-US"/>
        </w:rPr>
        <w:t xml:space="preserve"> enterprise: it concerns the computational discovery of patterns and knowledge within large datasets, drawing on statistical, mathematical, and machine learning methods (Han, Kamber and Pei, 2011).</w:t>
      </w:r>
    </w:p>
    <w:p xmlns:wp14="http://schemas.microsoft.com/office/word/2010/wordml" w:rsidP="44643972" w14:paraId="60061E4C" wp14:textId="77777777">
      <w:pPr>
        <w:pStyle w:val="Normal"/>
        <w:pageBreakBefore w:val="0"/>
        <w:spacing w:line="360" w:lineRule="auto"/>
      </w:pPr>
    </w:p>
    <w:p xmlns:wp14="http://schemas.microsoft.com/office/word/2010/wordml" w:rsidP="44643972" w14:paraId="56197990" wp14:textId="26BE63FE">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Three trends are particularly salient for an </w:t>
      </w:r>
      <w:r w:rsidRPr="44643972" w:rsidR="44643972">
        <w:rPr>
          <w:lang w:val="en-US"/>
        </w:rPr>
        <w:t>organisation</w:t>
      </w:r>
      <w:r w:rsidRPr="44643972" w:rsidR="44643972">
        <w:rPr>
          <w:lang w:val="en-US"/>
        </w:rPr>
        <w:t xml:space="preserve"> like </w:t>
      </w:r>
      <w:r w:rsidRPr="44643972" w:rsidR="44643972">
        <w:rPr>
          <w:lang w:val="en-US"/>
        </w:rPr>
        <w:t>RetailEdge</w:t>
      </w:r>
      <w:r w:rsidRPr="44643972" w:rsidR="44643972">
        <w:rPr>
          <w:lang w:val="en-US"/>
        </w:rPr>
        <w:t xml:space="preserve"> Ltd. The first and </w:t>
      </w:r>
      <w:r w:rsidRPr="44643972" w:rsidR="44643972">
        <w:rPr>
          <w:lang w:val="en-US"/>
        </w:rPr>
        <w:t>arguably most</w:t>
      </w:r>
      <w:r w:rsidRPr="44643972" w:rsidR="44643972">
        <w:rPr>
          <w:lang w:val="en-US"/>
        </w:rPr>
        <w:t xml:space="preserve"> significant is the migration of data workloads to the cloud. Platforms such as Google </w:t>
      </w:r>
      <w:r w:rsidRPr="44643972" w:rsidR="44643972">
        <w:rPr>
          <w:lang w:val="en-US"/>
        </w:rPr>
        <w:t>BigQuery</w:t>
      </w:r>
      <w:r w:rsidRPr="44643972" w:rsidR="44643972">
        <w:rPr>
          <w:lang w:val="en-US"/>
        </w:rPr>
        <w:t xml:space="preserve">, Amazon Redshift, and Microsoft Azure Synapse Analytics now allow </w:t>
      </w:r>
      <w:r w:rsidRPr="44643972" w:rsidR="44643972">
        <w:rPr>
          <w:lang w:val="en-US"/>
        </w:rPr>
        <w:t>organisations</w:t>
      </w:r>
      <w:r w:rsidRPr="44643972" w:rsidR="44643972">
        <w:rPr>
          <w:lang w:val="en-US"/>
        </w:rPr>
        <w:t xml:space="preserve"> to scale storage and compute elastically, </w:t>
      </w:r>
      <w:r w:rsidRPr="44643972" w:rsidR="44643972">
        <w:rPr>
          <w:lang w:val="en-US"/>
        </w:rPr>
        <w:t>substantially reducing</w:t>
      </w:r>
      <w:r w:rsidRPr="44643972" w:rsidR="44643972">
        <w:rPr>
          <w:lang w:val="en-US"/>
        </w:rPr>
        <w:t xml:space="preserve"> capital infrastructure costs (Armbrust et al., 2010). Gartner (2023) reports that more than sixty per cent of enterprise data workloads now </w:t>
      </w:r>
      <w:r w:rsidRPr="44643972" w:rsidR="44643972">
        <w:rPr>
          <w:lang w:val="en-US"/>
        </w:rPr>
        <w:t>reside</w:t>
      </w:r>
      <w:r w:rsidRPr="44643972" w:rsidR="44643972">
        <w:rPr>
          <w:lang w:val="en-US"/>
        </w:rPr>
        <w:t xml:space="preserve"> in the cloud  a figure that reflects not simply a technological preference, but a genuine structural shift in how </w:t>
      </w:r>
      <w:r w:rsidRPr="44643972" w:rsidR="44643972">
        <w:rPr>
          <w:lang w:val="en-US"/>
        </w:rPr>
        <w:t>organisations</w:t>
      </w:r>
      <w:r w:rsidRPr="44643972" w:rsidR="44643972">
        <w:rPr>
          <w:lang w:val="en-US"/>
        </w:rPr>
        <w:t xml:space="preserve"> manage analytical capacity.</w:t>
      </w:r>
    </w:p>
    <w:p xmlns:wp14="http://schemas.microsoft.com/office/word/2010/wordml" w:rsidP="44643972" w14:paraId="44EAFD9C" wp14:textId="77777777">
      <w:pPr>
        <w:pStyle w:val="Normal"/>
        <w:pageBreakBefore w:val="0"/>
        <w:spacing w:line="360" w:lineRule="auto"/>
      </w:pPr>
    </w:p>
    <w:p xmlns:wp14="http://schemas.microsoft.com/office/word/2010/wordml" w:rsidP="44643972" w14:paraId="2D7EF8AB" wp14:textId="53264C19">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The second trend concerns the move towards real-time or near-real-time BI. Batch-processing architectures  in which data is extracted, transformed, and loaded overnight  are increasingly being supplemented by streaming analytics pipelines that process events as they occur (Stonebraker, 1986). For a retailer, this distinction matters considerably: it is the difference between knowing that a product line sold out yesterday and knowing it is selling out now.</w:t>
      </w:r>
    </w:p>
    <w:p xmlns:wp14="http://schemas.microsoft.com/office/word/2010/wordml" w:rsidP="44643972" w14:paraId="4B94D5A5" wp14:textId="77777777">
      <w:pPr>
        <w:pStyle w:val="Normal"/>
        <w:pageBreakBefore w:val="0"/>
        <w:spacing w:line="360" w:lineRule="auto"/>
      </w:pPr>
    </w:p>
    <w:p xmlns:wp14="http://schemas.microsoft.com/office/word/2010/wordml" w:rsidP="44643972" w14:paraId="7FEA1328" wp14:textId="77777777">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Third, the integration of artificial intelligence and machine learning into mainstream BI platforms is quietly reshaping what is achievable without specialist statistical expertise. Features such as Power BI's AI Insights and SPSS Modeler's automated modelling capabilities are extending predictive analytics to a much broader user base within organisations (Davenport and Harris, 2007). Whether this democratisation improves the quality of decisions or merely the confidence with which poor ones are made is a question worth keeping in mind.</w:t>
      </w:r>
    </w:p>
    <w:p xmlns:wp14="http://schemas.microsoft.com/office/word/2010/wordml" w:rsidP="44643972" w14:paraId="3DEEC669" wp14:textId="77777777">
      <w:pPr>
        <w:pStyle w:val="Normal"/>
        <w:pageBreakBefore w:val="0"/>
        <w:spacing w:line="360" w:lineRule="auto"/>
      </w:pPr>
    </w:p>
    <w:p xmlns:wp14="http://schemas.microsoft.com/office/word/2010/wordml" w:rsidP="44643972" w14:paraId="3ED276EC" wp14:textId="2C639E1E">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Two academic frameworks are particularly relevant to the recommendations in this report. Kimball and Ross (2013) advocate a dimensional modelling approach to warehouse design, </w:t>
      </w:r>
      <w:r w:rsidRPr="44643972" w:rsidR="44643972">
        <w:rPr>
          <w:lang w:val="en-US"/>
        </w:rPr>
        <w:t>centred</w:t>
      </w:r>
      <w:r w:rsidRPr="44643972" w:rsidR="44643972">
        <w:rPr>
          <w:lang w:val="en-US"/>
        </w:rPr>
        <w:t xml:space="preserve"> on fact tables surrounded by dimension tables in what is commonly called a star schema  an architecture that balances query performance with end-user comprehensibility. Complementing this, the CRISP-DM model (Wirth and Hipp, 2000) provides a structured, iterative process for data mining projects, spanning six phases: business understanding, data understanding, data preparation, modelling, evaluation, and deployment. Both frameworks will shape the practical recommendations developed in </w:t>
      </w:r>
      <w:r w:rsidRPr="44643972" w:rsidR="44643972">
        <w:rPr>
          <w:lang w:val="en-US"/>
        </w:rPr>
        <w:t>subsequent</w:t>
      </w:r>
      <w:r w:rsidRPr="44643972" w:rsidR="44643972">
        <w:rPr>
          <w:lang w:val="en-US"/>
        </w:rPr>
        <w:t xml:space="preserve"> sections.</w:t>
      </w:r>
    </w:p>
    <w:p w:rsidR="44643972" w:rsidP="44643972" w:rsidRDefault="44643972" w14:paraId="672ACD23" w14:textId="0B844AFB">
      <w:pPr>
        <w:pStyle w:val="Normal"/>
        <w:pageBreakBefore w:val="0"/>
        <w:spacing w:line="360" w:lineRule="auto"/>
        <w:rPr>
          <w:lang w:val="en-US"/>
        </w:rPr>
      </w:pPr>
    </w:p>
    <w:p xmlns:wp14="http://schemas.microsoft.com/office/word/2010/wordml" w:rsidP="44643972" w14:paraId="3EBBD7F8" wp14:textId="77777777">
      <w:pPr>
        <w:pStyle w:val="Normal"/>
        <w:pageBreakBefore w:val="0"/>
        <w:spacing w:line="360" w:lineRule="auto"/>
        <w:rPr>
          <w:rFonts w:ascii="Times New Roman" w:hAnsi="Times New Roman" w:eastAsia="Times New Roman" w:cs="Times New Roman"/>
          <w:b w:val="1"/>
          <w:bCs w:val="1"/>
          <w:sz w:val="24"/>
          <w:szCs w:val="24"/>
          <w:lang w:val="en-US"/>
        </w:rPr>
      </w:pPr>
      <w:r w:rsidRPr="44643972" w:rsidR="44643972">
        <w:rPr>
          <w:lang w:val="en-US"/>
        </w:rPr>
        <w:t>3. Data Warehousing Applications at RetailEdge Ltd</w:t>
      </w:r>
    </w:p>
    <w:p xmlns:wp14="http://schemas.microsoft.com/office/word/2010/wordml" w:rsidP="44643972" w14:paraId="75F10BBB" wp14:textId="4999F8AC">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A data warehouse aggregates data from multiple operational source systems  point-of-sale terminals, e-commerce platforms, inventory management systems, and CRM tools  into a single </w:t>
      </w:r>
      <w:r w:rsidRPr="44643972" w:rsidR="44643972">
        <w:rPr>
          <w:lang w:val="en-US"/>
        </w:rPr>
        <w:t>consolidated</w:t>
      </w:r>
      <w:r w:rsidRPr="44643972" w:rsidR="44643972">
        <w:rPr>
          <w:lang w:val="en-US"/>
        </w:rPr>
        <w:t xml:space="preserve"> repository </w:t>
      </w:r>
      <w:r w:rsidRPr="44643972" w:rsidR="44643972">
        <w:rPr>
          <w:lang w:val="en-US"/>
        </w:rPr>
        <w:t>optimised</w:t>
      </w:r>
      <w:r w:rsidRPr="44643972" w:rsidR="44643972">
        <w:rPr>
          <w:lang w:val="en-US"/>
        </w:rPr>
        <w:t xml:space="preserve"> for analysis rather than transaction processing (Kimball and Ross, 2013). This architectural separation matters because it prevents analytical workloads from degrading the performance of operational systems, and because it allows for historically enriched, consistently structured datasets to be </w:t>
      </w:r>
      <w:r w:rsidRPr="44643972" w:rsidR="44643972">
        <w:rPr>
          <w:lang w:val="en-US"/>
        </w:rPr>
        <w:t>built up</w:t>
      </w:r>
      <w:r w:rsidRPr="44643972" w:rsidR="44643972">
        <w:rPr>
          <w:lang w:val="en-US"/>
        </w:rPr>
        <w:t xml:space="preserve"> over time.</w:t>
      </w:r>
    </w:p>
    <w:p xmlns:wp14="http://schemas.microsoft.com/office/word/2010/wordml" w:rsidP="44643972" w14:paraId="3656B9AB" wp14:textId="77777777">
      <w:pPr>
        <w:pStyle w:val="Normal"/>
        <w:pageBreakBefore w:val="0"/>
        <w:spacing w:line="360" w:lineRule="auto"/>
      </w:pPr>
    </w:p>
    <w:p xmlns:wp14="http://schemas.microsoft.com/office/word/2010/wordml" w:rsidP="44643972" w14:paraId="50593836" wp14:textId="569462BB">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For </w:t>
      </w:r>
      <w:r w:rsidRPr="44643972" w:rsidR="44643972">
        <w:rPr>
          <w:lang w:val="en-US"/>
        </w:rPr>
        <w:t>RetailEdge</w:t>
      </w:r>
      <w:r w:rsidRPr="44643972" w:rsidR="44643972">
        <w:rPr>
          <w:lang w:val="en-US"/>
        </w:rPr>
        <w:t xml:space="preserve"> Ltd, implementing a dimensional warehouse based on Kimball and Ross's (2013) star schema would address one of the </w:t>
      </w:r>
      <w:r w:rsidRPr="44643972" w:rsidR="44643972">
        <w:rPr>
          <w:lang w:val="en-US"/>
        </w:rPr>
        <w:t>organisation's</w:t>
      </w:r>
      <w:r w:rsidRPr="44643972" w:rsidR="44643972">
        <w:rPr>
          <w:lang w:val="en-US"/>
        </w:rPr>
        <w:t xml:space="preserve"> most immediate analytical constraints: the fragmentation of its data across incompatible systems. A central Sales Fact Table </w:t>
      </w:r>
      <w:r w:rsidRPr="44643972" w:rsidR="44643972">
        <w:rPr>
          <w:lang w:val="en-US"/>
        </w:rPr>
        <w:t>would</w:t>
      </w:r>
      <w:r w:rsidRPr="44643972" w:rsidR="44643972">
        <w:rPr>
          <w:lang w:val="en-US"/>
        </w:rPr>
        <w:t xml:space="preserve"> capture transactional measures  units sold, revenue, discount applied, </w:t>
      </w:r>
      <w:r w:rsidRPr="44643972" w:rsidR="44643972">
        <w:rPr>
          <w:lang w:val="en-US"/>
        </w:rPr>
        <w:t>margin  linked</w:t>
      </w:r>
      <w:r w:rsidRPr="44643972" w:rsidR="44643972">
        <w:rPr>
          <w:lang w:val="en-US"/>
        </w:rPr>
        <w:t xml:space="preserve"> via foreign keys to dimension tables for Product, Customer, Store, Promotion, and Date. A query that currently requires manual aggregation across several </w:t>
      </w:r>
      <w:r w:rsidRPr="44643972" w:rsidR="44643972">
        <w:rPr>
          <w:lang w:val="en-US"/>
        </w:rPr>
        <w:t>systems  such</w:t>
      </w:r>
      <w:r w:rsidRPr="44643972" w:rsidR="44643972">
        <w:rPr>
          <w:lang w:val="en-US"/>
        </w:rPr>
        <w:t xml:space="preserve"> as </w:t>
      </w:r>
      <w:r w:rsidRPr="44643972" w:rsidR="44643972">
        <w:rPr>
          <w:lang w:val="en-US"/>
        </w:rPr>
        <w:t>identifying</w:t>
      </w:r>
      <w:r w:rsidRPr="44643972" w:rsidR="44643972">
        <w:rPr>
          <w:lang w:val="en-US"/>
        </w:rPr>
        <w:t xml:space="preserve"> which product categories generated the highest margin in the north-west region during the summer promotion  would, with this structure, become routine.</w:t>
      </w:r>
    </w:p>
    <w:p xmlns:wp14="http://schemas.microsoft.com/office/word/2010/wordml" w:rsidP="44643972" w14:paraId="45FB0818" wp14:textId="77777777">
      <w:pPr>
        <w:pStyle w:val="Normal"/>
        <w:pageBreakBefore w:val="0"/>
        <w:spacing w:line="360" w:lineRule="auto"/>
      </w:pPr>
    </w:p>
    <w:p xmlns:wp14="http://schemas.microsoft.com/office/word/2010/wordml" w:rsidP="44643972" w14:paraId="26C4CB45" wp14:textId="538961AD">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The efficiency case for dimensional modelling is well established. Kimball and Ross (2013) argue that this approach reduces the complexity of analytical SQL queries to a point where business users can generate their own reports without specialist database knowledge, freeing analytical resource for work of greater strategic value. Beyond operational efficiency, a data warehouse enables what Inmon (1992) calls 'subject-oriented' analysis the capacity to examine the business through the lens of its key performance dimensions rather than its operational processes. A Customer dimension enriched with loyalty </w:t>
      </w:r>
      <w:r w:rsidRPr="44643972" w:rsidR="44643972">
        <w:rPr>
          <w:lang w:val="en-US"/>
        </w:rPr>
        <w:t>programme</w:t>
      </w:r>
      <w:r w:rsidRPr="44643972" w:rsidR="44643972">
        <w:rPr>
          <w:lang w:val="en-US"/>
        </w:rPr>
        <w:t xml:space="preserve"> data, for example, could support segmentation by lifetime value and inform highly targeted promotional strategies that generic reporting simply cannot produce.</w:t>
      </w:r>
    </w:p>
    <w:p xmlns:wp14="http://schemas.microsoft.com/office/word/2010/wordml" w:rsidP="44643972" w14:paraId="049F31CB" wp14:textId="77777777">
      <w:pPr>
        <w:pStyle w:val="Normal"/>
        <w:pageBreakBefore w:val="0"/>
        <w:spacing w:line="360" w:lineRule="auto"/>
      </w:pPr>
    </w:p>
    <w:p xmlns:wp14="http://schemas.microsoft.com/office/word/2010/wordml" w:rsidP="44643972" w14:paraId="61EB842E" wp14:textId="75047E73">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The value of any warehouse, however, is only as good as the data flowing into it. Chaudhuri, </w:t>
      </w:r>
      <w:r w:rsidRPr="44643972" w:rsidR="44643972">
        <w:rPr>
          <w:lang w:val="en-US"/>
        </w:rPr>
        <w:t>Dayal</w:t>
      </w:r>
      <w:r w:rsidRPr="44643972" w:rsidR="44643972">
        <w:rPr>
          <w:lang w:val="en-US"/>
        </w:rPr>
        <w:t xml:space="preserve"> and </w:t>
      </w:r>
      <w:r w:rsidRPr="44643972" w:rsidR="44643972">
        <w:rPr>
          <w:lang w:val="en-US"/>
        </w:rPr>
        <w:t>Narasayya</w:t>
      </w:r>
      <w:r w:rsidRPr="44643972" w:rsidR="44643972">
        <w:rPr>
          <w:lang w:val="en-US"/>
        </w:rPr>
        <w:t xml:space="preserve"> (2011) are right to </w:t>
      </w:r>
      <w:r w:rsidRPr="44643972" w:rsidR="44643972">
        <w:rPr>
          <w:lang w:val="en-US"/>
        </w:rPr>
        <w:t>emphasise</w:t>
      </w:r>
      <w:r w:rsidRPr="44643972" w:rsidR="44643972">
        <w:rPr>
          <w:lang w:val="en-US"/>
        </w:rPr>
        <w:t xml:space="preserve"> that the quality of ETL processes is the critical variable. A formal data governance policy defining data ownership, lineage, and quality standards for each source system would need to be in place before implementation begins. Without it, the risk is precisely what Loshin (2011) terms 'garbage in, garbage out': analytical outputs that are confidently presented but factually misleading. A phased approach is therefore recommended, beginning with the consolidation of point-of-sale transaction data before extending to inventory and CRM systems.</w:t>
      </w:r>
    </w:p>
    <w:p xmlns:wp14="http://schemas.microsoft.com/office/word/2010/wordml" w:rsidP="44643972" w14:paraId="53128261" wp14:textId="77777777">
      <w:pPr>
        <w:pStyle w:val="Normal"/>
        <w:pageBreakBefore w:val="0"/>
        <w:spacing w:line="360" w:lineRule="auto"/>
      </w:pPr>
    </w:p>
    <w:p xmlns:wp14="http://schemas.microsoft.com/office/word/2010/wordml" w:rsidP="44643972" w14:paraId="582EAF1C" wp14:textId="74463D60">
      <w:pPr>
        <w:pStyle w:val="Normal"/>
        <w:pageBreakBefore w:val="0"/>
        <w:spacing w:line="360" w:lineRule="auto"/>
        <w:rPr>
          <w:rFonts w:ascii="Times New Roman" w:hAnsi="Times New Roman" w:eastAsia="Times New Roman" w:cs="Times New Roman"/>
          <w:sz w:val="24"/>
          <w:szCs w:val="24"/>
        </w:rPr>
      </w:pPr>
      <w:r w:rsidR="44643972">
        <w:rPr/>
        <w:t xml:space="preserve">Cloud deployment, specifically Microsoft Azure Synapse Analytics given </w:t>
      </w:r>
      <w:r w:rsidR="44643972">
        <w:rPr/>
        <w:t>RetailEdge</w:t>
      </w:r>
      <w:r w:rsidR="44643972">
        <w:rPr/>
        <w:t xml:space="preserve"> </w:t>
      </w:r>
      <w:r w:rsidR="44643972">
        <w:rPr/>
        <w:t>Ltd's</w:t>
      </w:r>
      <w:r w:rsidR="44643972">
        <w:rPr/>
        <w:t xml:space="preserve"> existing Microsoft ecosystem, would provide the scalable compute capacity needed to handle demand peaks during seasonal trading periods. Armbrust et al. (2010) note that cloud platforms also reduce capital expenditure on hardware while delivering enterprise-grade availability and disaster recovery both non-trivial operational requirements for a fourteen-store retailer.</w:t>
      </w:r>
    </w:p>
    <w:p w:rsidR="44643972" w:rsidP="44643972" w:rsidRDefault="44643972" w14:paraId="43439FDC" w14:textId="530F504C">
      <w:pPr>
        <w:pStyle w:val="Normal"/>
        <w:pageBreakBefore w:val="0"/>
        <w:spacing w:line="360" w:lineRule="auto"/>
      </w:pPr>
    </w:p>
    <w:p xmlns:wp14="http://schemas.microsoft.com/office/word/2010/wordml" w:rsidP="44643972" w14:paraId="1B0D9B31" wp14:textId="77777777">
      <w:pPr>
        <w:pStyle w:val="Normal"/>
        <w:pageBreakBefore w:val="0"/>
        <w:spacing w:line="360" w:lineRule="auto"/>
        <w:rPr>
          <w:rFonts w:ascii="Times New Roman" w:hAnsi="Times New Roman" w:eastAsia="Times New Roman" w:cs="Times New Roman"/>
          <w:b w:val="1"/>
          <w:bCs w:val="1"/>
          <w:sz w:val="24"/>
          <w:szCs w:val="24"/>
        </w:rPr>
      </w:pPr>
      <w:r w:rsidR="44643972">
        <w:rPr/>
        <w:t>4. Data Mining Techniques</w:t>
      </w:r>
    </w:p>
    <w:p xmlns:wp14="http://schemas.microsoft.com/office/word/2010/wordml" w:rsidP="44643972" w14:paraId="2C778781" wp14:textId="77777777">
      <w:pPr>
        <w:pStyle w:val="Normal"/>
        <w:pageBreakBefore w:val="0"/>
        <w:spacing w:line="360" w:lineRule="auto"/>
        <w:rPr>
          <w:rFonts w:ascii="Times New Roman" w:hAnsi="Times New Roman" w:eastAsia="Times New Roman" w:cs="Times New Roman"/>
          <w:sz w:val="24"/>
          <w:szCs w:val="24"/>
        </w:rPr>
      </w:pPr>
      <w:r w:rsidR="44643972">
        <w:rPr/>
        <w:t>Guided by the CRISP-DM framework (Wirth and Hipp, 2000), two data mining techniques emerge as particularly well-suited to RetailEdge Ltd's strategic context: association rule mining and k-means clustering. These are not the only options available, but they are arguably the most directly actionable given the organisation's data assets and analytical maturity.</w:t>
      </w:r>
    </w:p>
    <w:p w:rsidR="44643972" w:rsidP="44643972" w:rsidRDefault="44643972" w14:paraId="64B42E1A" w14:textId="23BED813">
      <w:pPr>
        <w:pStyle w:val="Normal"/>
        <w:pageBreakBefore w:val="0"/>
        <w:spacing w:line="360" w:lineRule="auto"/>
      </w:pPr>
    </w:p>
    <w:p xmlns:wp14="http://schemas.microsoft.com/office/word/2010/wordml" w:rsidP="44643972" w14:paraId="2EB118AF" wp14:textId="77777777">
      <w:pPr>
        <w:pStyle w:val="Normal"/>
        <w:pageBreakBefore w:val="0"/>
        <w:spacing w:line="360" w:lineRule="auto"/>
        <w:rPr>
          <w:rFonts w:ascii="Times New Roman" w:hAnsi="Times New Roman" w:eastAsia="Times New Roman" w:cs="Times New Roman"/>
          <w:b w:val="1"/>
          <w:bCs w:val="1"/>
          <w:sz w:val="24"/>
          <w:szCs w:val="24"/>
        </w:rPr>
      </w:pPr>
      <w:r w:rsidR="44643972">
        <w:rPr/>
        <w:t>4.1 Association Rule Mining</w:t>
      </w:r>
    </w:p>
    <w:p xmlns:wp14="http://schemas.microsoft.com/office/word/2010/wordml" w:rsidP="44643972" w14:paraId="67F14526" wp14:textId="403D87F2">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Association rule mining, introduced by Agrawal, </w:t>
      </w:r>
      <w:r w:rsidRPr="44643972" w:rsidR="44643972">
        <w:rPr>
          <w:lang w:val="en-US"/>
        </w:rPr>
        <w:t>Imielinski</w:t>
      </w:r>
      <w:r w:rsidRPr="44643972" w:rsidR="44643972">
        <w:rPr>
          <w:lang w:val="en-US"/>
        </w:rPr>
        <w:t xml:space="preserve"> and Swami (1993) through their work on the </w:t>
      </w:r>
      <w:r w:rsidRPr="44643972" w:rsidR="44643972">
        <w:rPr>
          <w:lang w:val="en-US"/>
        </w:rPr>
        <w:t>Apriori</w:t>
      </w:r>
      <w:r w:rsidRPr="44643972" w:rsidR="44643972">
        <w:rPr>
          <w:lang w:val="en-US"/>
        </w:rPr>
        <w:t xml:space="preserve"> algorithm, </w:t>
      </w:r>
      <w:r w:rsidRPr="44643972" w:rsidR="44643972">
        <w:rPr>
          <w:lang w:val="en-US"/>
        </w:rPr>
        <w:t>identifies</w:t>
      </w:r>
      <w:r w:rsidRPr="44643972" w:rsidR="44643972">
        <w:rPr>
          <w:lang w:val="en-US"/>
        </w:rPr>
        <w:t xml:space="preserve"> co-occurrence relationships between items in transactional datasets. In retail, this is the technique behind so-called market basket analysis: the discovery of which products customers tend to buy together. For </w:t>
      </w:r>
      <w:r w:rsidRPr="44643972" w:rsidR="44643972">
        <w:rPr>
          <w:lang w:val="en-US"/>
        </w:rPr>
        <w:t>RetailEdge</w:t>
      </w:r>
      <w:r w:rsidRPr="44643972" w:rsidR="44643972">
        <w:rPr>
          <w:lang w:val="en-US"/>
        </w:rPr>
        <w:t xml:space="preserve"> Ltd, applying this technique to point-of-sale data could surface genuinely useful commercial rules for instance, that customers </w:t>
      </w:r>
      <w:r w:rsidRPr="44643972" w:rsidR="44643972">
        <w:rPr>
          <w:lang w:val="en-US"/>
        </w:rPr>
        <w:t>purchasing</w:t>
      </w:r>
      <w:r w:rsidRPr="44643972" w:rsidR="44643972">
        <w:rPr>
          <w:lang w:val="en-US"/>
        </w:rPr>
        <w:t xml:space="preserve"> formal footwear have a 68 per cent likelihood of also </w:t>
      </w:r>
      <w:r w:rsidRPr="44643972" w:rsidR="44643972">
        <w:rPr>
          <w:lang w:val="en-US"/>
        </w:rPr>
        <w:t>purchasing</w:t>
      </w:r>
      <w:r w:rsidRPr="44643972" w:rsidR="44643972">
        <w:rPr>
          <w:lang w:val="en-US"/>
        </w:rPr>
        <w:t xml:space="preserve"> shoe-care accessories in the same visit. Insights of this kind translate directly into merchandising decisions: cross-selling displays, bundled promotional offers, and website recommendation logic.</w:t>
      </w:r>
    </w:p>
    <w:p xmlns:wp14="http://schemas.microsoft.com/office/word/2010/wordml" w:rsidP="44643972" w14:paraId="62486C05" wp14:textId="77777777">
      <w:pPr>
        <w:pStyle w:val="Normal"/>
        <w:pageBreakBefore w:val="0"/>
        <w:spacing w:line="360" w:lineRule="auto"/>
      </w:pPr>
    </w:p>
    <w:p xmlns:wp14="http://schemas.microsoft.com/office/word/2010/wordml" w:rsidP="44643972" w14:paraId="664D0206" wp14:textId="5821B044">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The technique is assessed through three metrics: support (the proportion of transactions </w:t>
      </w:r>
      <w:r w:rsidRPr="44643972" w:rsidR="44643972">
        <w:rPr>
          <w:lang w:val="en-US"/>
        </w:rPr>
        <w:t>containing</w:t>
      </w:r>
      <w:r w:rsidRPr="44643972" w:rsidR="44643972">
        <w:rPr>
          <w:lang w:val="en-US"/>
        </w:rPr>
        <w:t xml:space="preserve"> the itemset), confidence (the conditional probability that the consequent follows the antecedent), and lift (the ratio of </w:t>
      </w:r>
      <w:r w:rsidRPr="44643972" w:rsidR="44643972">
        <w:rPr>
          <w:lang w:val="en-US"/>
        </w:rPr>
        <w:t>observed</w:t>
      </w:r>
      <w:r w:rsidRPr="44643972" w:rsidR="44643972">
        <w:rPr>
          <w:lang w:val="en-US"/>
        </w:rPr>
        <w:t xml:space="preserve"> to expected co-occurrence). Han, Kamber and Pei (2011) recommend filtering rules by </w:t>
      </w:r>
      <w:r w:rsidRPr="44643972" w:rsidR="44643972">
        <w:rPr>
          <w:lang w:val="en-US"/>
        </w:rPr>
        <w:t>minimum</w:t>
      </w:r>
      <w:r w:rsidRPr="44643972" w:rsidR="44643972">
        <w:rPr>
          <w:lang w:val="en-US"/>
        </w:rPr>
        <w:t xml:space="preserve"> thresholds for all three to avoid spurious associations a precaution worth taking seriously, since low-lift rules can appear statistically meaningful while reflecting little more than chance. RapidMiner Studio's FP-Growth operator, a computationally more efficient successor to </w:t>
      </w:r>
      <w:r w:rsidRPr="44643972" w:rsidR="44643972">
        <w:rPr>
          <w:lang w:val="en-US"/>
        </w:rPr>
        <w:t>Apriori</w:t>
      </w:r>
      <w:r w:rsidRPr="44643972" w:rsidR="44643972">
        <w:rPr>
          <w:lang w:val="en-US"/>
        </w:rPr>
        <w:t xml:space="preserve">, is well-suited to processing transactional data at the scale </w:t>
      </w:r>
      <w:r w:rsidRPr="44643972" w:rsidR="44643972">
        <w:rPr>
          <w:lang w:val="en-US"/>
        </w:rPr>
        <w:t>RetailEdge</w:t>
      </w:r>
      <w:r w:rsidRPr="44643972" w:rsidR="44643972">
        <w:rPr>
          <w:lang w:val="en-US"/>
        </w:rPr>
        <w:t xml:space="preserve"> Ltd generates.</w:t>
      </w:r>
    </w:p>
    <w:p w:rsidR="44643972" w:rsidP="44643972" w:rsidRDefault="44643972" w14:paraId="7C27C0AD" w14:textId="7DFC30E1">
      <w:pPr>
        <w:pStyle w:val="Normal"/>
        <w:pageBreakBefore w:val="0"/>
        <w:spacing w:line="360" w:lineRule="auto"/>
        <w:rPr>
          <w:lang w:val="en-US"/>
        </w:rPr>
      </w:pPr>
    </w:p>
    <w:p xmlns:wp14="http://schemas.microsoft.com/office/word/2010/wordml" w:rsidP="44643972" w14:paraId="65B62400" wp14:textId="77777777">
      <w:pPr>
        <w:pStyle w:val="Normal"/>
        <w:pageBreakBefore w:val="0"/>
        <w:spacing w:line="360" w:lineRule="auto"/>
        <w:rPr>
          <w:rFonts w:ascii="Times New Roman" w:hAnsi="Times New Roman" w:eastAsia="Times New Roman" w:cs="Times New Roman"/>
          <w:b w:val="1"/>
          <w:bCs w:val="1"/>
          <w:sz w:val="24"/>
          <w:szCs w:val="24"/>
        </w:rPr>
      </w:pPr>
      <w:r w:rsidR="44643972">
        <w:rPr/>
        <w:t>4.2 K-Means Clustering</w:t>
      </w:r>
    </w:p>
    <w:p xmlns:wp14="http://schemas.microsoft.com/office/word/2010/wordml" w:rsidP="44643972" w14:paraId="09CA55AE" wp14:textId="0155D4B5">
      <w:pPr>
        <w:pStyle w:val="Normal"/>
        <w:pageBreakBefore w:val="0"/>
        <w:spacing w:line="360" w:lineRule="auto"/>
        <w:rPr>
          <w:rFonts w:ascii="Times New Roman" w:hAnsi="Times New Roman" w:eastAsia="Times New Roman" w:cs="Times New Roman"/>
          <w:sz w:val="24"/>
          <w:szCs w:val="24"/>
        </w:rPr>
      </w:pPr>
      <w:r w:rsidR="44643972">
        <w:rPr/>
        <w:t xml:space="preserve">K-means clustering is an unsupervised machine learning algorithm that partitions observations into k groups based on feature similarity, </w:t>
      </w:r>
      <w:r w:rsidR="44643972">
        <w:rPr/>
        <w:t>minimising</w:t>
      </w:r>
      <w:r w:rsidR="44643972">
        <w:rPr/>
        <w:t xml:space="preserve"> within-cluster variance (MacQueen, 1967; Han, Kamber and Pei, 2011). Applied to customer purchase history, visit frequency, and average basket value, it would yield actionable customer segments distinguishing, for example, high-frequency, low-basket-value convenience shoppers from low-frequency, high-basket-value occasion buyers. These are not just descriptive categories: they have direct implications for CRM strategy, email marketing cadence, and the structure of loyalty rewards.</w:t>
      </w:r>
    </w:p>
    <w:p xmlns:wp14="http://schemas.microsoft.com/office/word/2010/wordml" w:rsidP="44643972" w14:paraId="4101652C" wp14:textId="77777777">
      <w:pPr>
        <w:pStyle w:val="Normal"/>
        <w:pageBreakBefore w:val="0"/>
        <w:spacing w:line="360" w:lineRule="auto"/>
      </w:pPr>
    </w:p>
    <w:p xmlns:wp14="http://schemas.microsoft.com/office/word/2010/wordml" w:rsidP="44643972" w14:paraId="2818B1D4" wp14:textId="77777777">
      <w:pPr>
        <w:pStyle w:val="Normal"/>
        <w:pageBreakBefore w:val="0"/>
        <w:spacing w:line="360" w:lineRule="auto"/>
        <w:rPr>
          <w:rFonts w:ascii="Times New Roman" w:hAnsi="Times New Roman" w:eastAsia="Times New Roman" w:cs="Times New Roman"/>
          <w:sz w:val="24"/>
          <w:szCs w:val="24"/>
        </w:rPr>
      </w:pPr>
      <w:r w:rsidR="44643972">
        <w:rPr/>
        <w:t>Both IBM SPSS Statistics and RapidMiner Studio support k-means natively. SPSS produces interpretable cluster profile outputs that are well-suited to presentation to non-technical stakeholders, which matters given that the primary audience for these outputs would be RetailEdge Ltd's marketing leadership rather than its data team. The optimal number of clusters can be identified through the elbow method or silhouette coefficient, both of which are available within these platforms.</w:t>
      </w:r>
    </w:p>
    <w:p w:rsidR="44643972" w:rsidP="44643972" w:rsidRDefault="44643972" w14:paraId="012E7198" w14:textId="34538C88">
      <w:pPr>
        <w:pStyle w:val="Normal"/>
        <w:pageBreakBefore w:val="0"/>
        <w:spacing w:line="360" w:lineRule="auto"/>
      </w:pPr>
    </w:p>
    <w:p xmlns:wp14="http://schemas.microsoft.com/office/word/2010/wordml" w:rsidP="44643972" w14:paraId="72C8261E" wp14:textId="77777777">
      <w:pPr>
        <w:pStyle w:val="Normal"/>
        <w:pageBreakBefore w:val="0"/>
        <w:spacing w:line="360" w:lineRule="auto"/>
        <w:rPr>
          <w:rFonts w:ascii="Times New Roman" w:hAnsi="Times New Roman" w:eastAsia="Times New Roman" w:cs="Times New Roman"/>
          <w:b w:val="1"/>
          <w:bCs w:val="1"/>
          <w:sz w:val="24"/>
          <w:szCs w:val="24"/>
        </w:rPr>
      </w:pPr>
      <w:r w:rsidR="44643972">
        <w:rPr/>
        <w:t>5. Predictive Analytics Tools</w:t>
      </w:r>
    </w:p>
    <w:p xmlns:wp14="http://schemas.microsoft.com/office/word/2010/wordml" w:rsidP="44643972" w14:paraId="21E22AB0" wp14:textId="77777777">
      <w:pPr>
        <w:pStyle w:val="Normal"/>
        <w:pageBreakBefore w:val="0"/>
        <w:spacing w:line="360" w:lineRule="auto"/>
        <w:rPr>
          <w:rFonts w:ascii="Times New Roman" w:hAnsi="Times New Roman" w:eastAsia="Times New Roman" w:cs="Times New Roman"/>
          <w:sz w:val="24"/>
          <w:szCs w:val="24"/>
        </w:rPr>
      </w:pPr>
      <w:r w:rsidR="44643972">
        <w:rPr/>
        <w:t>Selecting predictive analytics tools requires balancing analytical capability against the realities of the organisation's existing infrastructure and the range of users who will actually work with the outputs. Three tools are evaluated here: Microsoft Excel with Power Query, IBM SPSS Statistics, and RapidMiner Studio.</w:t>
      </w:r>
    </w:p>
    <w:p xmlns:wp14="http://schemas.microsoft.com/office/word/2010/wordml" w:rsidP="44643972" w14:paraId="4B99056E" wp14:textId="77777777">
      <w:pPr>
        <w:pStyle w:val="Normal"/>
        <w:pageBreakBefore w:val="0"/>
        <w:spacing w:line="360" w:lineRule="auto"/>
      </w:pPr>
    </w:p>
    <w:p xmlns:wp14="http://schemas.microsoft.com/office/word/2010/wordml" w:rsidP="44643972" w14:paraId="33B9489E" wp14:textId="4D2F7F44">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Excel, extended by Power Query and the Forecast Sheet function, provides time-series forecasting via exponential smoothing (the Holt-Winters method). Its near-universal adoption within </w:t>
      </w:r>
      <w:r w:rsidRPr="44643972" w:rsidR="44643972">
        <w:rPr>
          <w:lang w:val="en-US"/>
        </w:rPr>
        <w:t>organisations</w:t>
      </w:r>
      <w:r w:rsidRPr="44643972" w:rsidR="44643972">
        <w:rPr>
          <w:lang w:val="en-US"/>
        </w:rPr>
        <w:t xml:space="preserve"> and low training overhead make it a sensible starting point for department-level operational forecasting weekly staffing schedules derived from footfall projections, for example. That said, its limitations are real. Large datasets expose its performance ceiling quickly, and its absence of machine learning functionality constrains its strategic </w:t>
      </w:r>
      <w:r w:rsidRPr="44643972" w:rsidR="44643972">
        <w:rPr>
          <w:lang w:val="en-US"/>
        </w:rPr>
        <w:t>value considerably</w:t>
      </w:r>
      <w:r w:rsidRPr="44643972" w:rsidR="44643972">
        <w:rPr>
          <w:lang w:val="en-US"/>
        </w:rPr>
        <w:t xml:space="preserve"> (Davenport and Harris, 2007).</w:t>
      </w:r>
    </w:p>
    <w:p xmlns:wp14="http://schemas.microsoft.com/office/word/2010/wordml" w:rsidP="44643972" w14:paraId="1299C43A" wp14:textId="77777777">
      <w:pPr>
        <w:pStyle w:val="Normal"/>
        <w:pageBreakBefore w:val="0"/>
        <w:spacing w:line="360" w:lineRule="auto"/>
      </w:pPr>
    </w:p>
    <w:p xmlns:wp14="http://schemas.microsoft.com/office/word/2010/wordml" w:rsidP="44643972" w14:paraId="419CA0C1" wp14:textId="794A0280">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IBM SPSS Statistics </w:t>
      </w:r>
      <w:r w:rsidRPr="44643972" w:rsidR="44643972">
        <w:rPr>
          <w:lang w:val="en-US"/>
        </w:rPr>
        <w:t>represents</w:t>
      </w:r>
      <w:r w:rsidRPr="44643972" w:rsidR="44643972">
        <w:rPr>
          <w:lang w:val="en-US"/>
        </w:rPr>
        <w:t xml:space="preserve"> a significant step up in analytical capability. It supports regression analysis, time-series modelling (ARIMA), decision trees, and neural networks within a graphical interface that reduces though does not eliminate the need for statistical </w:t>
      </w:r>
      <w:r w:rsidRPr="44643972" w:rsidR="44643972">
        <w:rPr>
          <w:lang w:val="en-US"/>
        </w:rPr>
        <w:t>expertise</w:t>
      </w:r>
      <w:r w:rsidRPr="44643972" w:rsidR="44643972">
        <w:rPr>
          <w:lang w:val="en-US"/>
        </w:rPr>
        <w:t xml:space="preserve">. Its output formats are structured for formal and regulatory audiences, making it particularly well-suited to customer churn modelling and seasonal demand forecasting where rigorous statistical validation is </w:t>
      </w:r>
      <w:r w:rsidRPr="44643972" w:rsidR="44643972">
        <w:rPr>
          <w:lang w:val="en-US"/>
        </w:rPr>
        <w:t>required</w:t>
      </w:r>
      <w:r w:rsidRPr="44643972" w:rsidR="44643972">
        <w:rPr>
          <w:lang w:val="en-US"/>
        </w:rPr>
        <w:t>.</w:t>
      </w:r>
    </w:p>
    <w:p xmlns:wp14="http://schemas.microsoft.com/office/word/2010/wordml" w:rsidP="44643972" w14:paraId="4DDBEF00" wp14:textId="77777777">
      <w:pPr>
        <w:pStyle w:val="Normal"/>
        <w:pageBreakBefore w:val="0"/>
        <w:spacing w:line="360" w:lineRule="auto"/>
      </w:pPr>
    </w:p>
    <w:p xmlns:wp14="http://schemas.microsoft.com/office/word/2010/wordml" w:rsidP="44643972" w14:paraId="3FFA95B9" wp14:textId="1CDACD92">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RapidMiner Studio </w:t>
      </w:r>
      <w:r w:rsidRPr="44643972" w:rsidR="44643972">
        <w:rPr>
          <w:lang w:val="en-US"/>
        </w:rPr>
        <w:t>operates</w:t>
      </w:r>
      <w:r w:rsidRPr="44643972" w:rsidR="44643972">
        <w:rPr>
          <w:lang w:val="en-US"/>
        </w:rPr>
        <w:t xml:space="preserve"> at a different </w:t>
      </w:r>
      <w:r w:rsidRPr="44643972" w:rsidR="44643972">
        <w:rPr>
          <w:lang w:val="en-US"/>
        </w:rPr>
        <w:t>register again</w:t>
      </w:r>
      <w:r w:rsidRPr="44643972" w:rsidR="44643972">
        <w:rPr>
          <w:lang w:val="en-US"/>
        </w:rPr>
        <w:t xml:space="preserve">: it is an end-to-end data science platform with a visual workflow designer that allows predictive pipelines to be built without code. Its native support for SQL database integration makes it compatible with a future Azure Synapse warehouse, and its AutoML functionality can benchmark multiple algorithm types simultaneously. Witten et al. (2016) </w:t>
      </w:r>
      <w:r w:rsidRPr="44643972" w:rsidR="44643972">
        <w:rPr>
          <w:lang w:val="en-US"/>
        </w:rPr>
        <w:t>observe</w:t>
      </w:r>
      <w:r w:rsidRPr="44643972" w:rsidR="44643972">
        <w:rPr>
          <w:lang w:val="en-US"/>
        </w:rPr>
        <w:t xml:space="preserve"> that such platforms meaningfully accelerate the cycle between model development and deployment a real advantage in a retail environment where trading conditions can shift within weeks.</w:t>
      </w:r>
    </w:p>
    <w:p xmlns:wp14="http://schemas.microsoft.com/office/word/2010/wordml" w:rsidP="44643972" w14:paraId="3461D779" wp14:textId="77777777">
      <w:pPr>
        <w:pStyle w:val="Normal"/>
        <w:pageBreakBefore w:val="0"/>
        <w:spacing w:line="360" w:lineRule="auto"/>
      </w:pPr>
    </w:p>
    <w:p xmlns:wp14="http://schemas.microsoft.com/office/word/2010/wordml" w:rsidP="44643972" w14:paraId="13DCFF95" wp14:textId="77777777">
      <w:pPr>
        <w:pStyle w:val="Normal"/>
        <w:pageBreakBefore w:val="0"/>
        <w:spacing w:line="360" w:lineRule="auto"/>
        <w:rPr>
          <w:rFonts w:ascii="Times New Roman" w:hAnsi="Times New Roman" w:eastAsia="Times New Roman" w:cs="Times New Roman"/>
          <w:sz w:val="24"/>
          <w:szCs w:val="24"/>
        </w:rPr>
      </w:pPr>
      <w:r w:rsidR="44643972">
        <w:rPr/>
        <w:t>The pragmatic recommendation for RetailEdge Ltd is a tiered implementation: Excel for short-term operational reporting, SPSS for strategic analytical projects requiring statistical rigour, and RapidMiner as the long-term platform for scalable, automated predictive workflows once the data warehouse is in place.</w:t>
      </w:r>
    </w:p>
    <w:p xmlns:wp14="http://schemas.microsoft.com/office/word/2010/wordml" w:rsidP="44643972" w14:paraId="4BA2550B" wp14:textId="77777777">
      <w:pPr>
        <w:pStyle w:val="Normal"/>
        <w:pageBreakBefore w:val="0"/>
        <w:spacing w:line="360" w:lineRule="auto"/>
        <w:rPr>
          <w:rFonts w:ascii="Times New Roman" w:hAnsi="Times New Roman" w:eastAsia="Times New Roman" w:cs="Times New Roman"/>
          <w:b w:val="1"/>
          <w:bCs w:val="1"/>
          <w:sz w:val="24"/>
          <w:szCs w:val="24"/>
        </w:rPr>
      </w:pPr>
      <w:r w:rsidR="44643972">
        <w:rPr/>
        <w:t>6. Ethical and Data Security Considerations</w:t>
      </w:r>
    </w:p>
    <w:p xmlns:wp14="http://schemas.microsoft.com/office/word/2010/wordml" w:rsidP="44643972" w14:paraId="3306D7C6" wp14:textId="77777777">
      <w:pPr>
        <w:pStyle w:val="Normal"/>
        <w:pageBreakBefore w:val="0"/>
        <w:spacing w:line="360" w:lineRule="auto"/>
        <w:rPr>
          <w:rFonts w:ascii="Times New Roman" w:hAnsi="Times New Roman" w:eastAsia="Times New Roman" w:cs="Times New Roman"/>
          <w:sz w:val="24"/>
          <w:szCs w:val="24"/>
        </w:rPr>
      </w:pPr>
      <w:r w:rsidR="44643972">
        <w:rPr/>
        <w:t>The deployment of BI and analytics systems is not ethically neutral. At RetailEdge Ltd, it generates concrete obligations under the UK General Data Protection Regulation (UK GDPR), enacted through the Data Protection Act 2018. The most directly relevant provisions concern the requirement for a lawful basis for processing personal data, data minimisation, purpose limitation, storage limitation, and the rights of data subjects to access, rectification, and erasure (Information Commissioner's Office, 2021).</w:t>
      </w:r>
    </w:p>
    <w:p xmlns:wp14="http://schemas.microsoft.com/office/word/2010/wordml" w:rsidP="44643972" w14:paraId="3CF2D8B6" wp14:textId="77777777">
      <w:pPr>
        <w:pStyle w:val="Normal"/>
        <w:pageBreakBefore w:val="0"/>
        <w:spacing w:line="360" w:lineRule="auto"/>
      </w:pPr>
    </w:p>
    <w:p xmlns:wp14="http://schemas.microsoft.com/office/word/2010/wordml" w:rsidP="44643972" w14:paraId="774B811D" wp14:textId="77DBADD4">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Customer data used in clustering and association rule analyses must rest on an established lawful basis typically legitimate interests or explicit consent in the context of a loyalty </w:t>
      </w:r>
      <w:r w:rsidRPr="44643972" w:rsidR="44643972">
        <w:rPr>
          <w:lang w:val="en-US"/>
        </w:rPr>
        <w:t>programme</w:t>
      </w:r>
      <w:r w:rsidRPr="44643972" w:rsidR="44643972">
        <w:rPr>
          <w:lang w:val="en-US"/>
        </w:rPr>
        <w:t xml:space="preserve">. Before any </w:t>
      </w:r>
      <w:r w:rsidRPr="44643972" w:rsidR="44643972">
        <w:rPr>
          <w:lang w:val="en-US"/>
        </w:rPr>
        <w:t>behavioural</w:t>
      </w:r>
      <w:r w:rsidRPr="44643972" w:rsidR="44643972">
        <w:rPr>
          <w:lang w:val="en-US"/>
        </w:rPr>
        <w:t xml:space="preserve"> data is processed for marketing segmentation, </w:t>
      </w:r>
      <w:r w:rsidRPr="44643972" w:rsidR="44643972">
        <w:rPr>
          <w:lang w:val="en-US"/>
        </w:rPr>
        <w:t>RetailEdge</w:t>
      </w:r>
      <w:r w:rsidRPr="44643972" w:rsidR="44643972">
        <w:rPr>
          <w:lang w:val="en-US"/>
        </w:rPr>
        <w:t xml:space="preserve"> Ltd would need to conduct a Legitimate Interests Assessment to ensure commercial </w:t>
      </w:r>
      <w:r w:rsidRPr="44643972" w:rsidR="44643972">
        <w:rPr>
          <w:lang w:val="en-US"/>
        </w:rPr>
        <w:t>objectives</w:t>
      </w:r>
      <w:r w:rsidRPr="44643972" w:rsidR="44643972">
        <w:rPr>
          <w:lang w:val="en-US"/>
        </w:rPr>
        <w:t xml:space="preserve"> do not override the reasonable privacy expectations of customers (ICO, 2021). The clustering approach </w:t>
      </w:r>
      <w:r w:rsidRPr="44643972" w:rsidR="44643972">
        <w:rPr>
          <w:lang w:val="en-US"/>
        </w:rPr>
        <w:t>in particular constitutes</w:t>
      </w:r>
      <w:r w:rsidRPr="44643972" w:rsidR="44643972">
        <w:rPr>
          <w:lang w:val="en-US"/>
        </w:rPr>
        <w:t xml:space="preserve"> profiling activity, which attracts specific obligations under Article 22 of the UK GDPR, especially where outputs feed into automated decisions with material consequences for individuals.</w:t>
      </w:r>
    </w:p>
    <w:p xmlns:wp14="http://schemas.microsoft.com/office/word/2010/wordml" w:rsidP="44643972" w14:paraId="0FB78278" wp14:textId="77777777">
      <w:pPr>
        <w:pStyle w:val="Normal"/>
        <w:pageBreakBefore w:val="0"/>
        <w:spacing w:line="360" w:lineRule="auto"/>
      </w:pPr>
    </w:p>
    <w:p xmlns:wp14="http://schemas.microsoft.com/office/word/2010/wordml" w:rsidP="44643972" w14:paraId="4E11971E" wp14:textId="0DE66CC2">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From a technical security standpoint, both internal and external threat vectors must be addressed. Internally, role-based access controls should restrict warehouse query access to </w:t>
      </w:r>
      <w:r w:rsidRPr="44643972" w:rsidR="44643972">
        <w:rPr>
          <w:lang w:val="en-US"/>
        </w:rPr>
        <w:t>authorised</w:t>
      </w:r>
      <w:r w:rsidRPr="44643972" w:rsidR="44643972">
        <w:rPr>
          <w:lang w:val="en-US"/>
        </w:rPr>
        <w:t xml:space="preserve"> personnel, with audit logs </w:t>
      </w:r>
      <w:r w:rsidRPr="44643972" w:rsidR="44643972">
        <w:rPr>
          <w:lang w:val="en-US"/>
        </w:rPr>
        <w:t>maintained</w:t>
      </w:r>
      <w:r w:rsidRPr="44643972" w:rsidR="44643972">
        <w:rPr>
          <w:lang w:val="en-US"/>
        </w:rPr>
        <w:t xml:space="preserve"> to detect anomalous patterns. The cloud-hosted warehouse must </w:t>
      </w:r>
      <w:r w:rsidRPr="44643972" w:rsidR="44643972">
        <w:rPr>
          <w:lang w:val="en-US"/>
        </w:rPr>
        <w:t>comply with</w:t>
      </w:r>
      <w:r w:rsidRPr="44643972" w:rsidR="44643972">
        <w:rPr>
          <w:lang w:val="en-US"/>
        </w:rPr>
        <w:t xml:space="preserve"> ISO/IEC 27001 standards, and data transmitted between source systems and the warehouse should be encrypted using TLS 1.3 or equivalent (</w:t>
      </w:r>
      <w:r w:rsidRPr="44643972" w:rsidR="44643972">
        <w:rPr>
          <w:lang w:val="en-US"/>
        </w:rPr>
        <w:t>Loshin</w:t>
      </w:r>
      <w:r w:rsidRPr="44643972" w:rsidR="44643972">
        <w:rPr>
          <w:lang w:val="en-US"/>
        </w:rPr>
        <w:t xml:space="preserve">, 2011). </w:t>
      </w:r>
      <w:r w:rsidRPr="44643972" w:rsidR="44643972">
        <w:rPr>
          <w:lang w:val="en-US"/>
        </w:rPr>
        <w:t>Pseudonymising</w:t>
      </w:r>
      <w:r w:rsidRPr="44643972" w:rsidR="44643972">
        <w:rPr>
          <w:lang w:val="en-US"/>
        </w:rPr>
        <w:t xml:space="preserve"> customer identifiers within the analytical environment replacing direct identifiers with tokens provides a further layer of protection against re-identification </w:t>
      </w:r>
      <w:r w:rsidRPr="44643972" w:rsidR="44643972">
        <w:rPr>
          <w:lang w:val="en-US"/>
        </w:rPr>
        <w:t>in the event of</w:t>
      </w:r>
      <w:r w:rsidRPr="44643972" w:rsidR="44643972">
        <w:rPr>
          <w:lang w:val="en-US"/>
        </w:rPr>
        <w:t xml:space="preserve"> a breach.</w:t>
      </w:r>
    </w:p>
    <w:p xmlns:wp14="http://schemas.microsoft.com/office/word/2010/wordml" w:rsidP="44643972" w14:paraId="1FC39945" wp14:textId="77777777">
      <w:pPr>
        <w:pStyle w:val="Normal"/>
        <w:pageBreakBefore w:val="0"/>
        <w:spacing w:line="360" w:lineRule="auto"/>
      </w:pPr>
    </w:p>
    <w:p xmlns:wp14="http://schemas.microsoft.com/office/word/2010/wordml" w:rsidP="44643972" w14:paraId="0DA75C84" wp14:textId="4F712A3B">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Ethical responsibility, however, extends beyond regulatory compliance. Davenport and Harris (2007) caution that algorithmic segmentation can inadvertently encode and perpetuate discriminatory patterns embedded in historical data a phenomenon commonly described as algorithmic bias. This is not a theoretical risk; in retail datasets, </w:t>
      </w:r>
      <w:r w:rsidRPr="44643972" w:rsidR="44643972">
        <w:rPr>
          <w:lang w:val="en-US"/>
        </w:rPr>
        <w:t>purchasing</w:t>
      </w:r>
      <w:r w:rsidRPr="44643972" w:rsidR="44643972">
        <w:rPr>
          <w:lang w:val="en-US"/>
        </w:rPr>
        <w:t xml:space="preserve"> patterns can act as proxies for protected characteristics in ways that are not </w:t>
      </w:r>
      <w:r w:rsidRPr="44643972" w:rsidR="44643972">
        <w:rPr>
          <w:lang w:val="en-US"/>
        </w:rPr>
        <w:t>immediately</w:t>
      </w:r>
      <w:r w:rsidRPr="44643972" w:rsidR="44643972">
        <w:rPr>
          <w:lang w:val="en-US"/>
        </w:rPr>
        <w:t xml:space="preserve"> obvious. </w:t>
      </w:r>
      <w:r w:rsidRPr="44643972" w:rsidR="44643972">
        <w:rPr>
          <w:lang w:val="en-US"/>
        </w:rPr>
        <w:t>RetailEdge</w:t>
      </w:r>
      <w:r w:rsidRPr="44643972" w:rsidR="44643972">
        <w:rPr>
          <w:lang w:val="en-US"/>
        </w:rPr>
        <w:t xml:space="preserve"> Ltd should </w:t>
      </w:r>
      <w:r w:rsidRPr="44643972" w:rsidR="44643972">
        <w:rPr>
          <w:lang w:val="en-US"/>
        </w:rPr>
        <w:t>establish</w:t>
      </w:r>
      <w:r w:rsidRPr="44643972" w:rsidR="44643972">
        <w:rPr>
          <w:lang w:val="en-US"/>
        </w:rPr>
        <w:t xml:space="preserve"> an internal data ethics review process for any model used to inform differential treatment of customer groups, with explicit reference to the protected characteristics defined under the Equality Act 2010.</w:t>
      </w:r>
    </w:p>
    <w:p w:rsidR="44643972" w:rsidP="44643972" w:rsidRDefault="44643972" w14:paraId="79FE2DF9" w14:textId="75D113F1">
      <w:pPr>
        <w:pStyle w:val="Normal"/>
        <w:pageBreakBefore w:val="0"/>
        <w:spacing w:line="360" w:lineRule="auto"/>
        <w:rPr>
          <w:lang w:val="en-US"/>
        </w:rPr>
      </w:pPr>
    </w:p>
    <w:p xmlns:wp14="http://schemas.microsoft.com/office/word/2010/wordml" w:rsidP="44643972" w14:paraId="7DA21886" wp14:textId="77777777">
      <w:pPr>
        <w:pStyle w:val="Normal"/>
        <w:pageBreakBefore w:val="0"/>
        <w:spacing w:line="360" w:lineRule="auto"/>
        <w:rPr>
          <w:rFonts w:ascii="Times New Roman" w:hAnsi="Times New Roman" w:eastAsia="Times New Roman" w:cs="Times New Roman"/>
          <w:b w:val="1"/>
          <w:bCs w:val="1"/>
          <w:sz w:val="24"/>
          <w:szCs w:val="24"/>
        </w:rPr>
      </w:pPr>
      <w:r w:rsidR="44643972">
        <w:rPr/>
        <w:t>7. Reporting and Dashboard Solutions</w:t>
      </w:r>
    </w:p>
    <w:p xmlns:wp14="http://schemas.microsoft.com/office/word/2010/wordml" w:rsidP="44643972" w14:paraId="115C81C9" wp14:textId="77777777">
      <w:pPr>
        <w:pStyle w:val="Normal"/>
        <w:pageBreakBefore w:val="0"/>
        <w:spacing w:line="360" w:lineRule="auto"/>
        <w:rPr>
          <w:rFonts w:ascii="Times New Roman" w:hAnsi="Times New Roman" w:eastAsia="Times New Roman" w:cs="Times New Roman"/>
          <w:sz w:val="24"/>
          <w:szCs w:val="24"/>
        </w:rPr>
      </w:pPr>
      <w:r w:rsidR="44643972">
        <w:rPr/>
        <w:t>Analytical capability is only valuable to the extent that its outputs reach decision-makers in a form they can act on. Microsoft Power BI is recommended as RetailEdge Ltd's primary dashboard platform, for three reasons that go beyond its obvious familiarity: its native integration with Azure Synapse Analytics, its Active Directory-based access governance, and its real-time streaming dataset capability (Microsoft, 2023). Using Power BI's DirectQuery connection mode, dashboards can reflect warehouse data with minimal latency, eliminating the manual report generation cycle that currently constrains operational responsiveness.</w:t>
      </w:r>
    </w:p>
    <w:p xmlns:wp14="http://schemas.microsoft.com/office/word/2010/wordml" w:rsidP="44643972" w14:paraId="0562CB0E" wp14:textId="77777777">
      <w:pPr>
        <w:pStyle w:val="Normal"/>
        <w:pageBreakBefore w:val="0"/>
        <w:spacing w:line="360" w:lineRule="auto"/>
      </w:pPr>
    </w:p>
    <w:p xmlns:wp14="http://schemas.microsoft.com/office/word/2010/wordml" w:rsidP="44643972" w14:paraId="315DB9CC" wp14:textId="77777777">
      <w:pPr>
        <w:pStyle w:val="Normal"/>
        <w:pageBreakBefore w:val="0"/>
        <w:spacing w:line="360" w:lineRule="auto"/>
        <w:rPr>
          <w:rFonts w:ascii="Times New Roman" w:hAnsi="Times New Roman" w:eastAsia="Times New Roman" w:cs="Times New Roman"/>
          <w:sz w:val="24"/>
          <w:szCs w:val="24"/>
        </w:rPr>
      </w:pPr>
      <w:r w:rsidR="44643972">
        <w:rPr/>
        <w:t>Four dashboards are proposed as priorities. A Sales Performance Dashboard would display daily revenue by store, channel, and product category against budget. A Stock Health Dashboard would flag stock-out risk by SKU and location before problems become lost sales. A Customer Analytics Dashboard would surface segmentation outputs, loyalty programme engagement rates, and churn risk scores. A Promotional Effectiveness Dashboard would measure the incremental sales lift attributable to live campaigns. Together, these align directly to the KPIs typically monitored by retail leadership and to the commercial priorities outlined in the organisation's strategy (Davenport and Harris, 2007).</w:t>
      </w:r>
    </w:p>
    <w:p xmlns:wp14="http://schemas.microsoft.com/office/word/2010/wordml" w:rsidP="44643972" w14:paraId="34CE0A41" wp14:textId="77777777">
      <w:pPr>
        <w:pStyle w:val="Normal"/>
        <w:pageBreakBefore w:val="0"/>
        <w:spacing w:line="360" w:lineRule="auto"/>
      </w:pPr>
    </w:p>
    <w:p xmlns:wp14="http://schemas.microsoft.com/office/word/2010/wordml" w:rsidP="44643972" w14:paraId="14082E5B" wp14:textId="77777777">
      <w:pPr>
        <w:pStyle w:val="Normal"/>
        <w:pageBreakBefore w:val="0"/>
        <w:spacing w:line="360" w:lineRule="auto"/>
        <w:rPr>
          <w:rFonts w:ascii="Times New Roman" w:hAnsi="Times New Roman" w:eastAsia="Times New Roman" w:cs="Times New Roman"/>
          <w:sz w:val="24"/>
          <w:szCs w:val="24"/>
        </w:rPr>
      </w:pPr>
      <w:r w:rsidR="44643972">
        <w:rPr/>
        <w:t>Tableau merits acknowledgement as a platform with greater visualisation flexibility and a broader connector library. The reason it is not the primary recommendation here is straightforward: its higher licensing cost and the training overhead of introducing a non-Microsoft tool into an existing Microsoft environment make Power BI the more practical near-term choice. That assessment may reasonably be revisited as the organisation's analytical maturity increases.</w:t>
      </w:r>
    </w:p>
    <w:p xmlns:wp14="http://schemas.microsoft.com/office/word/2010/wordml" w:rsidP="44643972" w14:paraId="62EBF3C5" wp14:textId="77777777">
      <w:pPr>
        <w:pStyle w:val="Normal"/>
        <w:pageBreakBefore w:val="0"/>
        <w:spacing w:line="360" w:lineRule="auto"/>
      </w:pPr>
    </w:p>
    <w:p xmlns:wp14="http://schemas.microsoft.com/office/word/2010/wordml" w:rsidP="44643972" w14:paraId="46963FD8" wp14:textId="77777777">
      <w:pPr>
        <w:pStyle w:val="Normal"/>
        <w:pageBreakBefore w:val="0"/>
        <w:spacing w:line="360" w:lineRule="auto"/>
        <w:rPr>
          <w:rFonts w:ascii="Times New Roman" w:hAnsi="Times New Roman" w:eastAsia="Times New Roman" w:cs="Times New Roman"/>
          <w:sz w:val="24"/>
          <w:szCs w:val="24"/>
        </w:rPr>
      </w:pPr>
      <w:r w:rsidR="44643972">
        <w:rPr/>
        <w:t>Row-level security within Power BI should be configured so that store managers see only data for their own locations, while regional directors access aggregated regional views. This enforces the principle of least privilege at the reporting layer, complementing the access controls applied at the warehouse level.</w:t>
      </w:r>
    </w:p>
    <w:p xmlns:wp14="http://schemas.microsoft.com/office/word/2010/wordml" w:rsidP="44643972" w14:paraId="2B2A7A39" wp14:textId="77777777">
      <w:pPr>
        <w:pStyle w:val="Normal"/>
        <w:pageBreakBefore w:val="0"/>
        <w:spacing w:line="360" w:lineRule="auto"/>
        <w:rPr>
          <w:rFonts w:ascii="Times New Roman" w:hAnsi="Times New Roman" w:eastAsia="Times New Roman" w:cs="Times New Roman"/>
          <w:b w:val="1"/>
          <w:bCs w:val="1"/>
          <w:sz w:val="24"/>
          <w:szCs w:val="24"/>
        </w:rPr>
      </w:pPr>
      <w:r w:rsidR="44643972">
        <w:rPr/>
        <w:t>Conclusion</w:t>
      </w:r>
    </w:p>
    <w:p xmlns:wp14="http://schemas.microsoft.com/office/word/2010/wordml" w:rsidP="44643972" w14:paraId="07E434BB" wp14:textId="4A0ED9D2">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Taken together, the analysis in this report suggests that </w:t>
      </w:r>
      <w:r w:rsidRPr="44643972" w:rsidR="44643972">
        <w:rPr>
          <w:lang w:val="en-US"/>
        </w:rPr>
        <w:t>RetailEdge</w:t>
      </w:r>
      <w:r w:rsidRPr="44643972" w:rsidR="44643972">
        <w:rPr>
          <w:lang w:val="en-US"/>
        </w:rPr>
        <w:t xml:space="preserve"> Ltd is well-positioned to make a significant shift from intuition-led to evidence-led decision-making  provided it approaches the technical, </w:t>
      </w:r>
      <w:r w:rsidRPr="44643972" w:rsidR="44643972">
        <w:rPr>
          <w:lang w:val="en-US"/>
        </w:rPr>
        <w:t>organisational</w:t>
      </w:r>
      <w:r w:rsidRPr="44643972" w:rsidR="44643972">
        <w:rPr>
          <w:lang w:val="en-US"/>
        </w:rPr>
        <w:t xml:space="preserve">, and ethical dimensions of that transition with </w:t>
      </w:r>
      <w:r w:rsidRPr="44643972" w:rsidR="44643972">
        <w:rPr>
          <w:lang w:val="en-US"/>
        </w:rPr>
        <w:t>appropriate care</w:t>
      </w:r>
      <w:r w:rsidRPr="44643972" w:rsidR="44643972">
        <w:rPr>
          <w:lang w:val="en-US"/>
        </w:rPr>
        <w:t xml:space="preserve">. The implementation of a dimensional data warehouse based on Kimball and Ross's (2013) star schema, hosted on Microsoft Azure Synapse Analytics, would resolve the </w:t>
      </w:r>
      <w:r w:rsidRPr="44643972" w:rsidR="44643972">
        <w:rPr>
          <w:lang w:val="en-US"/>
        </w:rPr>
        <w:t>organisation's</w:t>
      </w:r>
      <w:r w:rsidRPr="44643972" w:rsidR="44643972">
        <w:rPr>
          <w:lang w:val="en-US"/>
        </w:rPr>
        <w:t xml:space="preserve"> current data fragmentation and create a coherent analytical foundation from which everything else follows.</w:t>
      </w:r>
    </w:p>
    <w:p xmlns:wp14="http://schemas.microsoft.com/office/word/2010/wordml" w:rsidP="44643972" w14:paraId="6D98A12B" wp14:textId="77777777">
      <w:pPr>
        <w:pStyle w:val="Normal"/>
        <w:pageBreakBefore w:val="0"/>
        <w:spacing w:line="360" w:lineRule="auto"/>
      </w:pPr>
    </w:p>
    <w:p xmlns:wp14="http://schemas.microsoft.com/office/word/2010/wordml" w:rsidP="44643972" w14:paraId="7E65C144" wp14:textId="427DDC3E">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 xml:space="preserve">Association rule mining and k-means clustering have been identified as the most contextually </w:t>
      </w:r>
      <w:r w:rsidRPr="44643972" w:rsidR="44643972">
        <w:rPr>
          <w:lang w:val="en-US"/>
        </w:rPr>
        <w:t>appropriate data</w:t>
      </w:r>
      <w:r w:rsidRPr="44643972" w:rsidR="44643972">
        <w:rPr>
          <w:lang w:val="en-US"/>
        </w:rPr>
        <w:t xml:space="preserve"> mining techniques for </w:t>
      </w:r>
      <w:r w:rsidRPr="44643972" w:rsidR="44643972">
        <w:rPr>
          <w:lang w:val="en-US"/>
        </w:rPr>
        <w:t>RetailEdge</w:t>
      </w:r>
      <w:r w:rsidRPr="44643972" w:rsidR="44643972">
        <w:rPr>
          <w:lang w:val="en-US"/>
        </w:rPr>
        <w:t xml:space="preserve"> Ltd, with direct applications in merchandising and customer relationship </w:t>
      </w:r>
      <w:r w:rsidRPr="44643972" w:rsidR="44643972">
        <w:rPr>
          <w:lang w:val="en-US"/>
        </w:rPr>
        <w:t>management</w:t>
      </w:r>
      <w:r w:rsidRPr="44643972" w:rsidR="44643972">
        <w:rPr>
          <w:lang w:val="en-US"/>
        </w:rPr>
        <w:t xml:space="preserve"> respectively. A tiered approach to predictive analytics tooling moving from Excel through SPSS to RapidMiner allows the </w:t>
      </w:r>
      <w:r w:rsidRPr="44643972" w:rsidR="44643972">
        <w:rPr>
          <w:lang w:val="en-US"/>
        </w:rPr>
        <w:t>organisation</w:t>
      </w:r>
      <w:r w:rsidRPr="44643972" w:rsidR="44643972">
        <w:rPr>
          <w:lang w:val="en-US"/>
        </w:rPr>
        <w:t xml:space="preserve"> to build capability incrementally, without disrupting current operations or outpacing the data literacy of its existing teams.</w:t>
      </w:r>
    </w:p>
    <w:p xmlns:wp14="http://schemas.microsoft.com/office/word/2010/wordml" w:rsidP="44643972" w14:paraId="2946DB82" wp14:textId="77777777">
      <w:pPr>
        <w:pStyle w:val="Normal"/>
        <w:pageBreakBefore w:val="0"/>
        <w:spacing w:line="360" w:lineRule="auto"/>
      </w:pPr>
    </w:p>
    <w:p xmlns:wp14="http://schemas.microsoft.com/office/word/2010/wordml" w:rsidP="44643972" w14:paraId="563969C6" wp14:textId="77777777">
      <w:pPr>
        <w:pStyle w:val="Normal"/>
        <w:pageBreakBefore w:val="0"/>
        <w:spacing w:line="360" w:lineRule="auto"/>
        <w:rPr>
          <w:rFonts w:ascii="Times New Roman" w:hAnsi="Times New Roman" w:eastAsia="Times New Roman" w:cs="Times New Roman"/>
          <w:sz w:val="24"/>
          <w:szCs w:val="24"/>
        </w:rPr>
      </w:pPr>
      <w:r w:rsidR="44643972">
        <w:rPr/>
        <w:t>Ethical and regulatory obligations under the UK GDPR and the Equality Act 2010 should not be treated as constraints to be managed but as integral design parameters of the BI architecture. They shape what data can be collected, how it can be processed, and what kinds of automated outputs can be used to inform decisions about individuals. Microsoft Power BI, governed by row-level security and integrated directly with the Azure warehouse, is recommended as the reporting layer, providing real-time visibility of the KPIs most critical to the business.</w:t>
      </w:r>
    </w:p>
    <w:p xmlns:wp14="http://schemas.microsoft.com/office/word/2010/wordml" w:rsidP="44643972" w14:paraId="5997CC1D" wp14:textId="77777777">
      <w:pPr>
        <w:pStyle w:val="Normal"/>
        <w:pageBreakBefore w:val="0"/>
        <w:spacing w:line="360" w:lineRule="auto"/>
      </w:pPr>
    </w:p>
    <w:p xmlns:wp14="http://schemas.microsoft.com/office/word/2010/wordml" w:rsidP="44643972" w14:paraId="250228F8" wp14:textId="77777777">
      <w:pPr>
        <w:pStyle w:val="Normal"/>
        <w:pageBreakBefore w:val="0"/>
        <w:spacing w:line="360" w:lineRule="auto"/>
        <w:rPr>
          <w:rFonts w:ascii="Times New Roman" w:hAnsi="Times New Roman" w:eastAsia="Times New Roman" w:cs="Times New Roman"/>
          <w:sz w:val="24"/>
          <w:szCs w:val="24"/>
        </w:rPr>
      </w:pPr>
      <w:r w:rsidR="44643972">
        <w:rPr/>
        <w:t>If implemented with genuine attention to data governance and a phased approach to capability-building, the programme described in this report has the potential to deliver measurable improvements across commercial performance, operational efficiency, and customer experience. The technology is mature; the primary challenge for RetailEdge Ltd is organisational.</w:t>
      </w:r>
    </w:p>
    <w:p xmlns:wp14="http://schemas.microsoft.com/office/word/2010/wordml" w:rsidP="44643972" w14:paraId="071E4E01" wp14:textId="77777777">
      <w:pPr>
        <w:pStyle w:val="Normal"/>
        <w:pageBreakBefore w:val="0"/>
        <w:spacing w:line="360" w:lineRule="auto"/>
        <w:rPr>
          <w:rFonts w:ascii="Times New Roman" w:hAnsi="Times New Roman" w:eastAsia="Times New Roman" w:cs="Times New Roman"/>
          <w:b w:val="1"/>
          <w:bCs w:val="1"/>
          <w:sz w:val="24"/>
          <w:szCs w:val="24"/>
        </w:rPr>
      </w:pPr>
      <w:r w:rsidR="44643972">
        <w:rPr/>
        <w:t>References</w:t>
      </w:r>
    </w:p>
    <w:p xmlns:wp14="http://schemas.microsoft.com/office/word/2010/wordml" w:rsidP="44643972" w14:paraId="2C8893C6" wp14:textId="77777777">
      <w:pPr>
        <w:pStyle w:val="Normal"/>
        <w:pageBreakBefore w:val="0"/>
        <w:spacing w:line="360" w:lineRule="auto"/>
        <w:rPr>
          <w:rFonts w:ascii="Times New Roman" w:hAnsi="Times New Roman" w:eastAsia="Times New Roman" w:cs="Times New Roman"/>
          <w:sz w:val="24"/>
          <w:szCs w:val="24"/>
        </w:rPr>
      </w:pPr>
      <w:r w:rsidR="44643972">
        <w:rPr/>
        <w:t>Agrawal, R., Imielinski, T. and Swami, A. (1993) 'Mining association rules between sets of items in large databases', ACM SIGMOD Record, 22(2), pp. 207–216. doi:10.1145/170036.170072.</w:t>
      </w:r>
    </w:p>
    <w:p xmlns:wp14="http://schemas.microsoft.com/office/word/2010/wordml" w:rsidP="44643972" w14:paraId="110FFD37" wp14:textId="77777777">
      <w:pPr>
        <w:pStyle w:val="Normal"/>
        <w:pageBreakBefore w:val="0"/>
        <w:spacing w:line="360" w:lineRule="auto"/>
      </w:pPr>
    </w:p>
    <w:p xmlns:wp14="http://schemas.microsoft.com/office/word/2010/wordml" w:rsidP="44643972" w14:paraId="52F89CD1" wp14:textId="77777777">
      <w:pPr>
        <w:pStyle w:val="Normal"/>
        <w:pageBreakBefore w:val="0"/>
        <w:spacing w:line="360" w:lineRule="auto"/>
        <w:rPr>
          <w:rFonts w:ascii="Times New Roman" w:hAnsi="Times New Roman" w:eastAsia="Times New Roman" w:cs="Times New Roman"/>
          <w:sz w:val="24"/>
          <w:szCs w:val="24"/>
        </w:rPr>
      </w:pPr>
      <w:r w:rsidR="44643972">
        <w:rPr/>
        <w:t>Armbrust, M., Fox, A., Griffith, R., Joseph, A.D., Katz, R., Konwinski, A., Lee, G., Patterson, D., Rabkin, A., Stoica, I. and Zaharia, M. (2010) 'A view of cloud computing', Communications of the ACM, 53(4), pp. 50–58. doi:10.1145/1721654.1721672.</w:t>
      </w:r>
    </w:p>
    <w:p xmlns:wp14="http://schemas.microsoft.com/office/word/2010/wordml" w:rsidP="44643972" w14:paraId="6B699379" wp14:textId="77777777">
      <w:pPr>
        <w:pStyle w:val="Normal"/>
        <w:pageBreakBefore w:val="0"/>
        <w:spacing w:line="360" w:lineRule="auto"/>
      </w:pPr>
    </w:p>
    <w:p xmlns:wp14="http://schemas.microsoft.com/office/word/2010/wordml" w:rsidP="44643972" w14:paraId="3CFA2043" wp14:textId="77777777">
      <w:pPr>
        <w:pStyle w:val="Normal"/>
        <w:pageBreakBefore w:val="0"/>
        <w:spacing w:line="360" w:lineRule="auto"/>
        <w:rPr>
          <w:rFonts w:ascii="Times New Roman" w:hAnsi="Times New Roman" w:eastAsia="Times New Roman" w:cs="Times New Roman"/>
          <w:sz w:val="24"/>
          <w:szCs w:val="24"/>
        </w:rPr>
      </w:pPr>
      <w:r w:rsidR="44643972">
        <w:rPr/>
        <w:t>Chaudhuri, S., Dayal, U. and Narasayya, V. (2011) 'An overview of business intelligence technology', Communications of the ACM, 54(8), pp. 88–98. doi:10.1145/1978542.1978562.</w:t>
      </w:r>
    </w:p>
    <w:p xmlns:wp14="http://schemas.microsoft.com/office/word/2010/wordml" w:rsidP="44643972" w14:paraId="3FE9F23F" wp14:textId="77777777">
      <w:pPr>
        <w:pStyle w:val="Normal"/>
        <w:pageBreakBefore w:val="0"/>
        <w:spacing w:line="360" w:lineRule="auto"/>
      </w:pPr>
    </w:p>
    <w:p xmlns:wp14="http://schemas.microsoft.com/office/word/2010/wordml" w:rsidP="44643972" w14:paraId="5547A304" wp14:textId="77777777">
      <w:pPr>
        <w:pStyle w:val="Normal"/>
        <w:pageBreakBefore w:val="0"/>
        <w:spacing w:line="360" w:lineRule="auto"/>
        <w:rPr>
          <w:rFonts w:ascii="Times New Roman" w:hAnsi="Times New Roman" w:eastAsia="Times New Roman" w:cs="Times New Roman"/>
          <w:sz w:val="24"/>
          <w:szCs w:val="24"/>
          <w:lang w:val="en-US"/>
        </w:rPr>
      </w:pPr>
      <w:r w:rsidRPr="44643972" w:rsidR="44643972">
        <w:rPr>
          <w:lang w:val="en-US"/>
        </w:rPr>
        <w:t>Davenport, T.H. and Harris, J.G. (2007) Competing on analytics: The new science of winning. Boston, MA: Harvard Business School Press.</w:t>
      </w:r>
    </w:p>
    <w:p xmlns:wp14="http://schemas.microsoft.com/office/word/2010/wordml" w:rsidP="44643972" w14:paraId="1F72F646" wp14:textId="77777777">
      <w:pPr>
        <w:pStyle w:val="Normal"/>
        <w:pageBreakBefore w:val="0"/>
        <w:spacing w:line="360" w:lineRule="auto"/>
      </w:pPr>
    </w:p>
    <w:p xmlns:wp14="http://schemas.microsoft.com/office/word/2010/wordml" w:rsidP="44643972" w14:paraId="70184002" wp14:textId="77777777">
      <w:pPr>
        <w:pStyle w:val="Normal"/>
        <w:pageBreakBefore w:val="0"/>
        <w:spacing w:line="360" w:lineRule="auto"/>
        <w:rPr>
          <w:rFonts w:ascii="Times New Roman" w:hAnsi="Times New Roman" w:eastAsia="Times New Roman" w:cs="Times New Roman"/>
          <w:sz w:val="24"/>
          <w:szCs w:val="24"/>
        </w:rPr>
      </w:pPr>
      <w:r w:rsidR="44643972">
        <w:rPr/>
        <w:t>Gartner (2023) Gartner forecasts worldwide public cloud end-user spending to reach $597.3 billion in 2023. Available at: https://www.gartner.com/en/newsroom/press-releases/2023-04-19-gartner-forecasts-worldwide-public-cloud-end-user-spending-to-reach-nearly-600-billion-in-2023 (Accessed: 10 April 2025).</w:t>
      </w:r>
    </w:p>
    <w:p xmlns:wp14="http://schemas.microsoft.com/office/word/2010/wordml" w:rsidP="44643972" w14:paraId="08CE6F91" wp14:textId="77777777">
      <w:pPr>
        <w:pStyle w:val="Normal"/>
        <w:pageBreakBefore w:val="0"/>
        <w:spacing w:line="360" w:lineRule="auto"/>
      </w:pPr>
    </w:p>
    <w:p xmlns:wp14="http://schemas.microsoft.com/office/word/2010/wordml" w:rsidP="44643972" w14:paraId="1D57AD7D" wp14:textId="77777777">
      <w:pPr>
        <w:pStyle w:val="Normal"/>
        <w:pageBreakBefore w:val="0"/>
        <w:spacing w:line="360" w:lineRule="auto"/>
        <w:rPr>
          <w:rFonts w:ascii="Times New Roman" w:hAnsi="Times New Roman" w:eastAsia="Times New Roman" w:cs="Times New Roman"/>
          <w:sz w:val="24"/>
          <w:szCs w:val="24"/>
        </w:rPr>
      </w:pPr>
      <w:r w:rsidR="44643972">
        <w:rPr/>
        <w:t>Han, J., Kamber, M. and Pei, J. (2011) Data mining: Concepts and techniques. 3rd edn. Waltham, MA: Morgan Kaufmann.</w:t>
      </w:r>
    </w:p>
    <w:p xmlns:wp14="http://schemas.microsoft.com/office/word/2010/wordml" w:rsidP="44643972" w14:paraId="61CDCEAD" wp14:textId="77777777">
      <w:pPr>
        <w:pStyle w:val="Normal"/>
        <w:pageBreakBefore w:val="0"/>
        <w:spacing w:line="360" w:lineRule="auto"/>
      </w:pPr>
    </w:p>
    <w:p xmlns:wp14="http://schemas.microsoft.com/office/word/2010/wordml" w:rsidP="44643972" w14:paraId="15056B43" wp14:textId="77777777">
      <w:pPr>
        <w:pStyle w:val="Normal"/>
        <w:pageBreakBefore w:val="0"/>
        <w:spacing w:line="360" w:lineRule="auto"/>
        <w:rPr>
          <w:rFonts w:ascii="Times New Roman" w:hAnsi="Times New Roman" w:eastAsia="Times New Roman" w:cs="Times New Roman"/>
          <w:sz w:val="24"/>
          <w:szCs w:val="24"/>
        </w:rPr>
      </w:pPr>
      <w:r w:rsidR="44643972">
        <w:rPr/>
        <w:t>Information Commissioner's Office (ICO) (2021) Guide to the UK General Data Protection Regulation (UK GDPR). Available at: https://ico.org.uk/for-organisations/guide-to-data-protection/guide-to-the-general-data-protection-regulation-gdpr/ (Accessed: 10 April 2025).</w:t>
      </w:r>
    </w:p>
    <w:p xmlns:wp14="http://schemas.microsoft.com/office/word/2010/wordml" w:rsidP="44643972" w14:paraId="6BB9E253" wp14:textId="77777777">
      <w:pPr>
        <w:pStyle w:val="Normal"/>
        <w:pageBreakBefore w:val="0"/>
        <w:spacing w:line="360" w:lineRule="auto"/>
      </w:pPr>
    </w:p>
    <w:p xmlns:wp14="http://schemas.microsoft.com/office/word/2010/wordml" w:rsidP="44643972" w14:paraId="77860343" wp14:textId="77777777">
      <w:pPr>
        <w:pStyle w:val="Normal"/>
        <w:pageBreakBefore w:val="0"/>
        <w:spacing w:line="360" w:lineRule="auto"/>
        <w:rPr>
          <w:rFonts w:ascii="Times New Roman" w:hAnsi="Times New Roman" w:eastAsia="Times New Roman" w:cs="Times New Roman"/>
          <w:sz w:val="24"/>
          <w:szCs w:val="24"/>
        </w:rPr>
      </w:pPr>
      <w:r w:rsidR="44643972">
        <w:rPr/>
        <w:t>Inmon, W.H. (1992) Building the data warehouse. New York: John Wiley &amp; Sons.</w:t>
      </w:r>
    </w:p>
    <w:p xmlns:wp14="http://schemas.microsoft.com/office/word/2010/wordml" w:rsidP="44643972" w14:paraId="23DE523C" wp14:textId="77777777">
      <w:pPr>
        <w:pStyle w:val="Normal"/>
        <w:pageBreakBefore w:val="0"/>
        <w:spacing w:line="360" w:lineRule="auto"/>
      </w:pPr>
    </w:p>
    <w:p xmlns:wp14="http://schemas.microsoft.com/office/word/2010/wordml" w:rsidP="44643972" w14:paraId="20F2B11C" wp14:textId="77777777">
      <w:pPr>
        <w:pStyle w:val="Normal"/>
        <w:pageBreakBefore w:val="0"/>
        <w:spacing w:line="360" w:lineRule="auto"/>
        <w:rPr>
          <w:rFonts w:ascii="Times New Roman" w:hAnsi="Times New Roman" w:eastAsia="Times New Roman" w:cs="Times New Roman"/>
          <w:sz w:val="24"/>
          <w:szCs w:val="24"/>
        </w:rPr>
      </w:pPr>
      <w:r w:rsidR="44643972">
        <w:rPr/>
        <w:t>Kimball, R. and Ross, M. (2013) The data warehouse toolkit: The definitive guide to dimensional modeling. 3rd edn. Indianapolis, IN: John Wiley &amp; Sons.</w:t>
      </w:r>
    </w:p>
    <w:p xmlns:wp14="http://schemas.microsoft.com/office/word/2010/wordml" w:rsidP="44643972" w14:paraId="52E56223" wp14:textId="77777777">
      <w:pPr>
        <w:pStyle w:val="Normal"/>
        <w:pageBreakBefore w:val="0"/>
        <w:spacing w:line="360" w:lineRule="auto"/>
      </w:pPr>
    </w:p>
    <w:p xmlns:wp14="http://schemas.microsoft.com/office/word/2010/wordml" w:rsidP="44643972" w14:paraId="52D486D5" wp14:textId="77777777">
      <w:pPr>
        <w:pStyle w:val="Normal"/>
        <w:pageBreakBefore w:val="0"/>
        <w:spacing w:line="360" w:lineRule="auto"/>
        <w:rPr>
          <w:rFonts w:ascii="Times New Roman" w:hAnsi="Times New Roman" w:eastAsia="Times New Roman" w:cs="Times New Roman"/>
          <w:sz w:val="24"/>
          <w:szCs w:val="24"/>
        </w:rPr>
      </w:pPr>
      <w:r w:rsidR="44643972">
        <w:rPr/>
        <w:t>Loshin, D. (2011) Business intelligence: The savvy manager's guide. 2nd edn. Amsterdam: Morgan Kaufmann.</w:t>
      </w:r>
    </w:p>
    <w:p xmlns:wp14="http://schemas.microsoft.com/office/word/2010/wordml" w:rsidP="44643972" w14:paraId="07547A01" wp14:textId="77777777">
      <w:pPr>
        <w:pStyle w:val="Normal"/>
        <w:pageBreakBefore w:val="0"/>
        <w:spacing w:line="360" w:lineRule="auto"/>
      </w:pPr>
    </w:p>
    <w:p xmlns:wp14="http://schemas.microsoft.com/office/word/2010/wordml" w:rsidP="44643972" w14:paraId="2428067F" wp14:textId="77777777">
      <w:pPr>
        <w:pStyle w:val="Normal"/>
        <w:pageBreakBefore w:val="0"/>
        <w:spacing w:line="360" w:lineRule="auto"/>
        <w:rPr>
          <w:rFonts w:ascii="Times New Roman" w:hAnsi="Times New Roman" w:eastAsia="Times New Roman" w:cs="Times New Roman"/>
          <w:sz w:val="24"/>
          <w:szCs w:val="24"/>
        </w:rPr>
      </w:pPr>
      <w:r w:rsidR="44643972">
        <w:rPr/>
        <w:t>MacQueen, J. (1967) 'Some methods for classification and analysis of multivariate observations', in Proceedings of the Fifth Berkeley Symposium on Mathematical Statistics and Probability. Berkeley, CA: University of California Press, pp. 281–297.</w:t>
      </w:r>
    </w:p>
    <w:p xmlns:wp14="http://schemas.microsoft.com/office/word/2010/wordml" w:rsidP="44643972" w14:paraId="5043CB0F" wp14:textId="77777777">
      <w:pPr>
        <w:pStyle w:val="Normal"/>
        <w:pageBreakBefore w:val="0"/>
        <w:spacing w:line="360" w:lineRule="auto"/>
      </w:pPr>
    </w:p>
    <w:p xmlns:wp14="http://schemas.microsoft.com/office/word/2010/wordml" w:rsidP="44643972" w14:paraId="18A8B00A" wp14:textId="77777777">
      <w:pPr>
        <w:pStyle w:val="Normal"/>
        <w:pageBreakBefore w:val="0"/>
        <w:spacing w:line="360" w:lineRule="auto"/>
        <w:rPr>
          <w:rFonts w:ascii="Times New Roman" w:hAnsi="Times New Roman" w:eastAsia="Times New Roman" w:cs="Times New Roman"/>
          <w:sz w:val="24"/>
          <w:szCs w:val="24"/>
        </w:rPr>
      </w:pPr>
      <w:r w:rsidR="44643972">
        <w:rPr/>
        <w:t>Microsoft (2023) Power BI documentation. Available at: https://learn.microsoft.com/en-us/power-bi/ (Accessed: 10 April 2025).</w:t>
      </w:r>
    </w:p>
    <w:p xmlns:wp14="http://schemas.microsoft.com/office/word/2010/wordml" w:rsidP="44643972" w14:paraId="07459315" wp14:textId="77777777">
      <w:pPr>
        <w:pStyle w:val="Normal"/>
        <w:pageBreakBefore w:val="0"/>
        <w:spacing w:line="360" w:lineRule="auto"/>
      </w:pPr>
    </w:p>
    <w:p xmlns:wp14="http://schemas.microsoft.com/office/word/2010/wordml" w:rsidP="44643972" w14:paraId="5AAFDC7B" wp14:textId="77777777">
      <w:pPr>
        <w:pStyle w:val="Normal"/>
        <w:pageBreakBefore w:val="0"/>
        <w:spacing w:line="360" w:lineRule="auto"/>
        <w:rPr>
          <w:rFonts w:ascii="Times New Roman" w:hAnsi="Times New Roman" w:eastAsia="Times New Roman" w:cs="Times New Roman"/>
          <w:sz w:val="24"/>
          <w:szCs w:val="24"/>
        </w:rPr>
      </w:pPr>
      <w:r w:rsidR="44643972">
        <w:rPr/>
        <w:t>Negash, S. (2004) 'Business intelligence', Communications of the Association for Information Systems, 13(1), pp. 177–195. doi:10.17705/1CAIS.01315.</w:t>
      </w:r>
    </w:p>
    <w:p xmlns:wp14="http://schemas.microsoft.com/office/word/2010/wordml" w:rsidP="44643972" w14:paraId="6537F28F" wp14:textId="77777777">
      <w:pPr>
        <w:pStyle w:val="Normal"/>
        <w:pageBreakBefore w:val="0"/>
        <w:spacing w:line="360" w:lineRule="auto"/>
      </w:pPr>
    </w:p>
    <w:p xmlns:wp14="http://schemas.microsoft.com/office/word/2010/wordml" w:rsidP="44643972" w14:paraId="688223FE" wp14:textId="77777777">
      <w:pPr>
        <w:pStyle w:val="Normal"/>
        <w:pageBreakBefore w:val="0"/>
        <w:spacing w:line="360" w:lineRule="auto"/>
        <w:rPr>
          <w:rFonts w:ascii="Times New Roman" w:hAnsi="Times New Roman" w:eastAsia="Times New Roman" w:cs="Times New Roman"/>
          <w:sz w:val="24"/>
          <w:szCs w:val="24"/>
        </w:rPr>
      </w:pPr>
      <w:r w:rsidR="44643972">
        <w:rPr/>
        <w:t>Stonebraker, M. (1986) 'The case for shared nothing', IEEE Data Engineering Bulletin, 9(1), pp. 4–9.</w:t>
      </w:r>
    </w:p>
    <w:p xmlns:wp14="http://schemas.microsoft.com/office/word/2010/wordml" w:rsidP="44643972" w14:paraId="6DFB9E20" wp14:textId="77777777">
      <w:pPr>
        <w:pStyle w:val="Normal"/>
        <w:pageBreakBefore w:val="0"/>
        <w:spacing w:line="360" w:lineRule="auto"/>
      </w:pPr>
    </w:p>
    <w:p xmlns:wp14="http://schemas.microsoft.com/office/word/2010/wordml" w:rsidP="44643972" w14:paraId="0D6E1CBD" wp14:textId="77777777">
      <w:pPr>
        <w:pStyle w:val="Normal"/>
        <w:pageBreakBefore w:val="0"/>
        <w:spacing w:line="360" w:lineRule="auto"/>
        <w:rPr>
          <w:rFonts w:ascii="Times New Roman" w:hAnsi="Times New Roman" w:eastAsia="Times New Roman" w:cs="Times New Roman"/>
          <w:sz w:val="24"/>
          <w:szCs w:val="24"/>
        </w:rPr>
      </w:pPr>
      <w:r w:rsidR="44643972">
        <w:rPr/>
        <w:t>Wirth, R. and Hipp, J. (2000) 'CRISP-DM: Towards a standard process model for data mining', in Proceedings of the 4th International Conference on the Practical Applications of Knowledge Discovery and Data Mining. Manchester, pp. 29–39.</w:t>
      </w:r>
    </w:p>
    <w:p xmlns:wp14="http://schemas.microsoft.com/office/word/2010/wordml" w:rsidP="44643972" w14:paraId="70DF9E56" wp14:textId="77777777">
      <w:pPr>
        <w:pStyle w:val="Normal"/>
        <w:pageBreakBefore w:val="0"/>
        <w:spacing w:line="360" w:lineRule="auto"/>
      </w:pPr>
    </w:p>
    <w:p xmlns:wp14="http://schemas.microsoft.com/office/word/2010/wordml" w:rsidP="44643972" w14:paraId="1D2E98BA" wp14:textId="77777777">
      <w:pPr>
        <w:pStyle w:val="Normal"/>
        <w:pageBreakBefore w:val="0"/>
        <w:spacing w:line="360" w:lineRule="auto"/>
        <w:rPr>
          <w:rFonts w:ascii="Times New Roman" w:hAnsi="Times New Roman" w:eastAsia="Times New Roman" w:cs="Times New Roman"/>
          <w:sz w:val="24"/>
          <w:szCs w:val="24"/>
        </w:rPr>
      </w:pPr>
      <w:r w:rsidR="44643972">
        <w:rPr/>
        <w:t>Witten, I.H., Frank, E., Hall, M.A. and Pal, C.J. (2016) Data mining: Practical machine learning tools and techniques. 4th edn. Amsterdam: Morgan Kaufmann.</w:t>
      </w:r>
    </w:p>
    <w:sectPr>
      <w:footerReference w:type="default" r:id="rId7"/>
      <w:pgSz w:w="11906" w:h="16838" w:orient="portrait"/>
      <w:pgMar w:top="1440" w:right="1440" w:bottom="1440" w:left="1800" w:header="708" w:footer="708" w:gutter="0"/>
      <w:pgNumType/>
      <w:docGrid w:linePitch="360"/>
      <w:cols w:num="1"/>
      <w:headerReference w:type="default" r:id="Rcb4036868ca0411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xmlns:wp14="http://schemas.microsoft.com/office/word/2010/wordml" w:rsidP="44643972" w14:paraId="27A942FB" wp14:textId="2563956F">
    <w:pPr>
      <w:jc w:val="center"/>
      <w:rPr>
        <w:lang w:val="en-US"/>
      </w:rPr>
    </w:pPr>
    <w:r w:rsidRPr="44643972" w:rsidR="44643972">
      <w:rPr>
        <w:rFonts w:ascii="Times New Roman" w:hAnsi="Times New Roman" w:eastAsia="Times New Roman" w:cs="Times New Roman"/>
        <w:sz w:val="18"/>
        <w:szCs w:val="18"/>
        <w:lang w:val="en-US"/>
      </w:rPr>
      <w:t xml:space="preserve"> </w:t>
    </w:r>
    <w:r w:rsidRPr="44643972" w:rsidR="44643972">
      <w:rPr>
        <w:rFonts w:ascii="Times New Roman" w:hAnsi="Times New Roman" w:eastAsia="Times New Roman" w:cs="Times New Roman"/>
        <w:sz w:val="18"/>
        <w:szCs w:val="18"/>
        <w:lang w:val="en-US"/>
      </w:rPr>
      <w:t>RetailEdge</w:t>
    </w:r>
    <w:r w:rsidRPr="44643972" w:rsidR="44643972">
      <w:rPr>
        <w:rFonts w:ascii="Times New Roman" w:hAnsi="Times New Roman" w:eastAsia="Times New Roman" w:cs="Times New Roman"/>
        <w:sz w:val="18"/>
        <w:szCs w:val="18"/>
        <w:lang w:val="en-US"/>
      </w:rPr>
      <w:t xml:space="preserve"> Ltd | UWTSD 202</w:t>
    </w:r>
    <w:r w:rsidRPr="44643972" w:rsidR="44643972">
      <w:rPr>
        <w:rFonts w:ascii="Times New Roman" w:hAnsi="Times New Roman" w:eastAsia="Times New Roman" w:cs="Times New Roman"/>
        <w:sz w:val="18"/>
        <w:szCs w:val="18"/>
        <w:lang w:val="en-US"/>
      </w:rPr>
      <w:t>6</w:t>
    </w:r>
    <w:r w:rsidRPr="44643972" w:rsidR="44643972">
      <w:rPr>
        <w:rFonts w:ascii="Times New Roman" w:hAnsi="Times New Roman" w:eastAsia="Times New Roman" w:cs="Times New Roman"/>
        <w:sz w:val="18"/>
        <w:szCs w:val="18"/>
        <w:lang w:val="en-US"/>
      </w:rPr>
      <w:t xml:space="preserve">     Page </w:t>
    </w:r>
    <w:r w:rsidRPr="44643972">
      <w:rPr>
        <w:rFonts w:ascii="Times New Roman" w:hAnsi="Times New Roman" w:eastAsia="Times New Roman" w:cs="Times New Roman"/>
        <w:sz w:val="18"/>
        <w:szCs w:val="18"/>
        <w:lang w:val="en-US"/>
      </w:rPr>
      <w:fldChar w:fldCharType="begin"/>
    </w:r>
    <w:r w:rsidRPr="44643972">
      <w:rPr>
        <w:rFonts w:ascii="Times New Roman" w:hAnsi="Times New Roman" w:eastAsia="Times New Roman" w:cs="Times New Roman"/>
        <w:sz w:val="18"/>
        <w:szCs w:val="18"/>
      </w:rPr>
      <w:instrText xml:space="preserve">PAGE</w:instrText>
    </w:r>
    <w:r w:rsidRPr="44643972">
      <w:rPr>
        <w:rFonts w:ascii="Times New Roman" w:hAnsi="Times New Roman" w:eastAsia="Times New Roman" w:cs="Times New Roman"/>
        <w:sz w:val="18"/>
        <w:szCs w:val="18"/>
      </w:rPr>
      <w:fldChar w:fldCharType="separate"/>
    </w:r>
    <w:r w:rsidRPr="44643972">
      <w:rPr>
        <w:rFonts w:ascii="Times New Roman" w:hAnsi="Times New Roman" w:eastAsia="Times New Roman" w:cs="Times New Roman"/>
        <w:sz w:val="18"/>
        <w:szCs w:val="18"/>
        <w:lang w:val="en-US"/>
      </w:rPr>
      <w:fldChar w:fldCharType="end"/>
    </w: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2885"/>
      <w:gridCol w:w="2885"/>
      <w:gridCol w:w="2885"/>
    </w:tblGrid>
    <w:tr w:rsidR="44643972" w:rsidTr="44643972" w14:paraId="548F0A86">
      <w:trPr>
        <w:trHeight w:val="300"/>
      </w:trPr>
      <w:tc>
        <w:tcPr>
          <w:tcW w:w="2885" w:type="dxa"/>
          <w:tcMar/>
        </w:tcPr>
        <w:p w:rsidR="44643972" w:rsidP="44643972" w:rsidRDefault="44643972" w14:paraId="4B16BCF8" w14:textId="1532F9BE">
          <w:pPr>
            <w:pStyle w:val="Header"/>
            <w:bidi w:val="0"/>
            <w:ind w:left="-115"/>
            <w:jc w:val="left"/>
          </w:pPr>
        </w:p>
      </w:tc>
      <w:tc>
        <w:tcPr>
          <w:tcW w:w="2885" w:type="dxa"/>
          <w:tcMar/>
        </w:tcPr>
        <w:p w:rsidR="44643972" w:rsidP="44643972" w:rsidRDefault="44643972" w14:paraId="1180B45F" w14:textId="74E7978B">
          <w:pPr>
            <w:pStyle w:val="Header"/>
            <w:bidi w:val="0"/>
            <w:jc w:val="center"/>
          </w:pPr>
        </w:p>
      </w:tc>
      <w:tc>
        <w:tcPr>
          <w:tcW w:w="2885" w:type="dxa"/>
          <w:tcMar/>
        </w:tcPr>
        <w:p w:rsidR="44643972" w:rsidP="44643972" w:rsidRDefault="44643972" w14:paraId="0215A437" w14:textId="3AD8D9A3">
          <w:pPr>
            <w:pStyle w:val="Header"/>
            <w:bidi w:val="0"/>
            <w:ind w:right="-115"/>
            <w:jc w:val="right"/>
          </w:pPr>
        </w:p>
      </w:tc>
    </w:tr>
  </w:tbl>
  <w:p w:rsidR="44643972" w:rsidP="44643972" w:rsidRDefault="44643972" w14:paraId="2C3DA114" w14:textId="18F58B84">
    <w:pPr>
      <w:pStyle w:val="Header"/>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nsid w:val="9ad5a1"/>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proofState w:spelling="clean" w:grammar="dirty"/>
  <w:trackRevisions w:val="false"/>
  <w:defaultTabStop w:val="720"/>
  <w:evenAndOddHeaders w:val="false"/>
  <w:compat>
    <w:compatSetting w:val="15" w:name="compatibilityMode" w:uri="http://schemas.microsoft.com/office/word"/>
  </w:compat>
  <w14:docId w14:val="3A69EA37"/>
  <w15:docId w15:val="{20494C2C-7981-4F1C-AC76-93FA8FD4FA99}"/>
  <w:rsids>
    <w:rsidRoot w:val="01272044"/>
    <w:rsid w:val="01272044"/>
    <w:rsid w:val="0A9417BB"/>
    <w:rsid w:val="0A9417BB"/>
    <w:rsid w:val="12A7FFA2"/>
    <w:rsid w:val="1670AD0A"/>
    <w:rsid w:val="282350BD"/>
    <w:rsid w:val="2D3BE09F"/>
    <w:rsid w:val="2ED487A5"/>
    <w:rsid w:val="33A840FE"/>
    <w:rsid w:val="33A840FE"/>
    <w:rsid w:val="34443373"/>
    <w:rsid w:val="3DC3EEBE"/>
    <w:rsid w:val="3DC3EEBE"/>
    <w:rsid w:val="3EC49034"/>
    <w:rsid w:val="3FE85193"/>
    <w:rsid w:val="42734EBF"/>
    <w:rsid w:val="44643972"/>
    <w:rsid w:val="51E5FCD8"/>
    <w:rsid w:val="58FB24F6"/>
    <w:rsid w:val="5A3CCD8A"/>
    <w:rsid w:val="5FEF79FC"/>
    <w:rsid w:val="5FEF79FC"/>
    <w:rsid w:val="66F24A6D"/>
    <w:rsid w:val="6A27B4D4"/>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imes New Roman" w:hAnsi="Times New Roman" w:eastAsia="Times New Roman" w:cs="Times New Roman"/>
        <w:sz w:val="24"/>
        <w:szCs w:val="24"/>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Heading1">
    <w:name w:val="heading 10"/>
    <w:basedOn w:val="Normal"/>
    <w:next w:val="Normal"/>
    <w:qFormat/>
    <w:pPr>
      <w:spacing w:before="320" w:after="160"/>
      <w:outlineLvl w:val="0"/>
    </w:pPr>
    <w:rPr>
      <w:rFonts w:ascii="Times New Roman" w:hAnsi="Times New Roman" w:eastAsia="Times New Roman" w:cs="Times New Roman"/>
      <w:b/>
      <w:bCs/>
      <w:color w:val="000000"/>
      <w:sz w:val="28"/>
      <w:szCs w:val="28"/>
    </w:rPr>
  </w:style>
  <w:style w:type="paragraph" w:styleId="Heading2">
    <w:name w:val="heading 20"/>
    <w:basedOn w:val="Normal"/>
    <w:next w:val="Normal"/>
    <w:qFormat/>
    <w:pPr>
      <w:spacing w:before="240" w:after="120"/>
      <w:outlineLvl w:val="1"/>
    </w:pPr>
    <w:rPr>
      <w:rFonts w:ascii="Times New Roman" w:hAnsi="Times New Roman" w:eastAsia="Times New Roman" w:cs="Times New Roman"/>
      <w:b/>
      <w:bCs/>
      <w:color w:val="000000"/>
      <w:sz w:val="24"/>
      <w:szCs w:val="24"/>
    </w:rPr>
  </w:style>
  <w:style w:type="paragraph" w:styleId="Header">
    <w:uiPriority w:val="99"/>
    <w:name w:val="header"/>
    <w:basedOn w:val="Normal"/>
    <w:unhideWhenUsed/>
    <w:rsid w:val="44643972"/>
    <w:pPr>
      <w:tabs>
        <w:tab w:val="center" w:leader="none" w:pos="4680"/>
        <w:tab w:val="right" w:leader="none" w:pos="9360"/>
      </w:tabs>
      <w:spacing w:after="0" w:line="240" w:lineRule="auto"/>
    </w:pPr>
  </w:style>
  <w:style w:type="paragraph" w:styleId="NoSpacing">
    <w:uiPriority w:val="1"/>
    <w:name w:val="No Spacing"/>
    <w:qFormat/>
    <w:rsid w:val="44643972"/>
    <w:pPr>
      <w:spacing w:after="0" w:line="240" w:lineRule="auto"/>
    </w:pPr>
  </w:style>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 xmlns:w="http://schemas.openxmlformats.org/wordprocessingml/2006/main" w:type="table" w:styleId="TableNormal" w:default="1">
    <w:name xmlns:w="http://schemas.openxmlformats.org/wordprocessingml/2006/main" w:val="Normal Table"/>
    <w:uiPriority xmlns:w="http://schemas.openxmlformats.org/wordprocessingml/2006/main" w:val="99"/>
    <w:semiHidden xmlns:w="http://schemas.openxmlformats.org/wordprocessingml/2006/main"/>
    <w:unhideWhenUsed xmlns:w="http://schemas.openxmlformats.org/wordprocessingml/2006/main"/>
    <w:qFormat xmlns:w="http://schemas.openxmlformats.org/wordprocessingml/2006/main"/>
    <w:tblPr xmlns:w="http://schemas.openxmlformats.org/wordprocessingml/2006/main">
      <w:tblInd w:w="0" w:type="dxa"/>
      <w:tblCellMar>
        <w:top w:w="0" w:type="dxa"/>
        <w:left w:w="108" w:type="dxa"/>
        <w:bottom w:w="0" w:type="dxa"/>
        <w:right w:w="108"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styles.xml" Id="rId1" /><Relationship Type="http://schemas.openxmlformats.org/officeDocument/2006/relationships/numbering" Target="numbering.xml" Id="rId2" /><Relationship Type="http://schemas.openxmlformats.org/officeDocument/2006/relationships/settings" Target="settings.xml" Id="rId5" /><Relationship Type="http://schemas.openxmlformats.org/officeDocument/2006/relationships/footer" Target="footer1.xml" Id="rId7" /><Relationship Type="http://schemas.openxmlformats.org/officeDocument/2006/relationships/fontTable" Target="fontTable.xml" Id="rId8" /><Relationship Type="http://schemas.openxmlformats.org/officeDocument/2006/relationships/header" Target="/word/header.xml" Id="Rcb4036868ca0411b" /></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Un-named</dc:creator>
  <lastModifiedBy>Angel Udrea (2429380)</lastModifiedBy>
  <revision>2</revision>
  <dcterms:created xsi:type="dcterms:W3CDTF">2026-06-28T10:09:30.7480000Z</dcterms:created>
  <dcterms:modified xsi:type="dcterms:W3CDTF">2026-06-28T10:34:36.3043183Z</dcterms:modified>
</coreProperties>
</file>

<file path=docProps/custom.xml><?xml version="1.0" encoding="utf-8"?>
<Properties xmlns="http://schemas.openxmlformats.org/officeDocument/2006/custom-properties" xmlns:vt="http://schemas.openxmlformats.org/officeDocument/2006/docPropsVTypes"/>
</file>