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69E7A6" w14:textId="110BF4FD" w:rsidR="000B16BF" w:rsidRPr="003A3609" w:rsidRDefault="000B16BF" w:rsidP="000B16BF">
      <w:pPr>
        <w:pStyle w:val="NormalWeb"/>
        <w:rPr>
          <w:lang w:val="en-US"/>
        </w:rPr>
      </w:pPr>
      <w:r>
        <w:rPr>
          <w:noProof/>
        </w:rPr>
        <w:drawing>
          <wp:anchor distT="0" distB="0" distL="114300" distR="114300" simplePos="0" relativeHeight="251658240" behindDoc="1" locked="0" layoutInCell="1" allowOverlap="1" wp14:anchorId="701AC3B3" wp14:editId="1D958ED3">
            <wp:simplePos x="0" y="0"/>
            <wp:positionH relativeFrom="margin">
              <wp:align>left</wp:align>
            </wp:positionH>
            <wp:positionV relativeFrom="paragraph">
              <wp:posOffset>76200</wp:posOffset>
            </wp:positionV>
            <wp:extent cx="1562100" cy="869950"/>
            <wp:effectExtent l="0" t="0" r="0" b="6350"/>
            <wp:wrapNone/>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62100" cy="869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en-US"/>
        </w:rPr>
        <w:t xml:space="preserve">                                                            </w:t>
      </w:r>
    </w:p>
    <w:p w14:paraId="31A26E67" w14:textId="117BC4BC" w:rsidR="000B16BF" w:rsidRPr="003A3609" w:rsidRDefault="000B16BF" w:rsidP="000B16BF">
      <w:pPr>
        <w:pStyle w:val="NormalWeb"/>
        <w:rPr>
          <w:b/>
          <w:bCs/>
          <w:lang w:val="en-US"/>
        </w:rPr>
      </w:pPr>
      <w:r w:rsidRPr="003A3609">
        <w:rPr>
          <w:lang w:val="en-US"/>
        </w:rPr>
        <w:t xml:space="preserve">                                                                            </w:t>
      </w:r>
      <w:r w:rsidRPr="003A3609">
        <w:rPr>
          <w:b/>
          <w:bCs/>
          <w:lang w:val="en-US"/>
        </w:rPr>
        <w:t xml:space="preserve">BA BUSINESS MANAGEMENT </w:t>
      </w:r>
    </w:p>
    <w:p w14:paraId="75983DFB" w14:textId="1DAF984D" w:rsidR="000B16BF" w:rsidRPr="003A3609" w:rsidRDefault="000B16BF" w:rsidP="000B16BF">
      <w:pPr>
        <w:pStyle w:val="NormalWeb"/>
        <w:rPr>
          <w:b/>
          <w:bCs/>
        </w:rPr>
      </w:pPr>
      <w:r w:rsidRPr="003A3609">
        <w:rPr>
          <w:lang w:val="en-US"/>
        </w:rPr>
        <w:t xml:space="preserve">                                                             </w:t>
      </w:r>
      <w:r w:rsidRPr="003A3609">
        <w:rPr>
          <w:b/>
          <w:bCs/>
          <w:lang w:val="en-US"/>
        </w:rPr>
        <w:t xml:space="preserve">INTERNATIONAL FINANCIAL MANAGEMENT </w:t>
      </w:r>
    </w:p>
    <w:p w14:paraId="725BC793" w14:textId="38CB6CB2" w:rsidR="000B16BF" w:rsidRPr="003A3609" w:rsidRDefault="000B16BF">
      <w:pPr>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w:t>
      </w:r>
    </w:p>
    <w:p w14:paraId="3229B126" w14:textId="256A6C99" w:rsidR="000B16BF" w:rsidRPr="003A3609" w:rsidRDefault="000B16BF">
      <w:pPr>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MODULE CODE: LCBB6002</w:t>
      </w:r>
    </w:p>
    <w:p w14:paraId="7343B820" w14:textId="10269F66" w:rsidR="000B16BF" w:rsidRPr="003A3609" w:rsidRDefault="000B16BF">
      <w:pPr>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LECTURER: Dr. Andry </w:t>
      </w:r>
      <w:proofErr w:type="spellStart"/>
      <w:r w:rsidRPr="003A3609">
        <w:rPr>
          <w:rFonts w:ascii="Times New Roman" w:hAnsi="Times New Roman" w:cs="Times New Roman"/>
          <w:sz w:val="24"/>
          <w:szCs w:val="24"/>
          <w:lang w:val="en-US"/>
        </w:rPr>
        <w:t>Rakotovolo</w:t>
      </w:r>
      <w:r w:rsidR="003A3609" w:rsidRPr="003A3609">
        <w:rPr>
          <w:rFonts w:ascii="Times New Roman" w:hAnsi="Times New Roman" w:cs="Times New Roman"/>
          <w:sz w:val="24"/>
          <w:szCs w:val="24"/>
          <w:lang w:val="en-US"/>
        </w:rPr>
        <w:t>lo</w:t>
      </w:r>
      <w:r w:rsidRPr="003A3609">
        <w:rPr>
          <w:rFonts w:ascii="Times New Roman" w:hAnsi="Times New Roman" w:cs="Times New Roman"/>
          <w:sz w:val="24"/>
          <w:szCs w:val="24"/>
          <w:lang w:val="en-US"/>
        </w:rPr>
        <w:t>na</w:t>
      </w:r>
      <w:proofErr w:type="spellEnd"/>
    </w:p>
    <w:p w14:paraId="6DD13CEE" w14:textId="58E866C4" w:rsidR="003A3609" w:rsidRPr="003A3609" w:rsidRDefault="003A3609">
      <w:pPr>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STUDENT NAME: Desislava Nikolova </w:t>
      </w:r>
    </w:p>
    <w:p w14:paraId="3AE8F3ED" w14:textId="73CA8951" w:rsidR="003A3609" w:rsidRPr="003A3609" w:rsidRDefault="003A3609">
      <w:pPr>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STUDENT ID: 2120861</w:t>
      </w:r>
    </w:p>
    <w:p w14:paraId="2F495167" w14:textId="721E8DE7" w:rsidR="000B16BF" w:rsidRPr="003A3609" w:rsidRDefault="000B16BF">
      <w:pPr>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w:t>
      </w:r>
    </w:p>
    <w:p w14:paraId="538EA1D1" w14:textId="77777777" w:rsidR="000B16BF" w:rsidRPr="003A3609" w:rsidRDefault="000B16BF">
      <w:pPr>
        <w:rPr>
          <w:rFonts w:ascii="Times New Roman" w:hAnsi="Times New Roman" w:cs="Times New Roman"/>
          <w:sz w:val="24"/>
          <w:szCs w:val="24"/>
          <w:lang w:val="en-US"/>
        </w:rPr>
      </w:pPr>
    </w:p>
    <w:p w14:paraId="11628281" w14:textId="77777777" w:rsidR="000B16BF" w:rsidRPr="003A3609" w:rsidRDefault="000B16BF">
      <w:pPr>
        <w:rPr>
          <w:rFonts w:ascii="Times New Roman" w:hAnsi="Times New Roman" w:cs="Times New Roman"/>
          <w:sz w:val="24"/>
          <w:szCs w:val="24"/>
          <w:lang w:val="en-US"/>
        </w:rPr>
      </w:pPr>
    </w:p>
    <w:p w14:paraId="73748FDA" w14:textId="77777777" w:rsidR="000B16BF" w:rsidRPr="003A3609" w:rsidRDefault="000B16BF">
      <w:pPr>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w:t>
      </w:r>
    </w:p>
    <w:p w14:paraId="1283FB55" w14:textId="77777777" w:rsidR="000B16BF" w:rsidRPr="003A3609" w:rsidRDefault="000B16BF">
      <w:pPr>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w:t>
      </w:r>
    </w:p>
    <w:p w14:paraId="609CEA43" w14:textId="517ADC8D" w:rsidR="002D643B" w:rsidRPr="003A3609" w:rsidRDefault="000B16BF">
      <w:pPr>
        <w:rPr>
          <w:rFonts w:ascii="Times New Roman" w:hAnsi="Times New Roman" w:cs="Times New Roman"/>
          <w:b/>
          <w:bCs/>
          <w:sz w:val="24"/>
          <w:szCs w:val="24"/>
          <w:lang w:val="en-US"/>
        </w:rPr>
      </w:pPr>
      <w:r w:rsidRPr="003A3609">
        <w:rPr>
          <w:rFonts w:ascii="Times New Roman" w:hAnsi="Times New Roman" w:cs="Times New Roman"/>
          <w:sz w:val="24"/>
          <w:szCs w:val="24"/>
          <w:lang w:val="en-US"/>
        </w:rPr>
        <w:t xml:space="preserve">                       </w:t>
      </w:r>
      <w:r w:rsidR="00E32287" w:rsidRPr="003A3609">
        <w:rPr>
          <w:rFonts w:ascii="Times New Roman" w:hAnsi="Times New Roman" w:cs="Times New Roman"/>
          <w:sz w:val="24"/>
          <w:szCs w:val="24"/>
          <w:lang w:val="en-US"/>
        </w:rPr>
        <w:t xml:space="preserve">Title: </w:t>
      </w:r>
      <w:r w:rsidR="00E32287" w:rsidRPr="003A3609">
        <w:rPr>
          <w:rFonts w:ascii="Times New Roman" w:hAnsi="Times New Roman" w:cs="Times New Roman"/>
          <w:b/>
          <w:bCs/>
          <w:sz w:val="24"/>
          <w:szCs w:val="24"/>
          <w:lang w:val="en-US"/>
        </w:rPr>
        <w:t xml:space="preserve">Managing Foreign Exchanges Risk in Multinational Corporation </w:t>
      </w:r>
    </w:p>
    <w:p w14:paraId="00124276" w14:textId="77777777" w:rsidR="002D643B" w:rsidRPr="003A3609" w:rsidRDefault="002D643B">
      <w:pPr>
        <w:rPr>
          <w:rFonts w:ascii="Times New Roman" w:hAnsi="Times New Roman" w:cs="Times New Roman"/>
          <w:b/>
          <w:bCs/>
          <w:sz w:val="24"/>
          <w:szCs w:val="24"/>
          <w:lang w:val="en-US"/>
        </w:rPr>
      </w:pPr>
      <w:r w:rsidRPr="003A3609">
        <w:rPr>
          <w:rFonts w:ascii="Times New Roman" w:hAnsi="Times New Roman" w:cs="Times New Roman"/>
          <w:b/>
          <w:bCs/>
          <w:sz w:val="24"/>
          <w:szCs w:val="24"/>
          <w:lang w:val="en-US"/>
        </w:rPr>
        <w:br w:type="page"/>
      </w:r>
    </w:p>
    <w:sdt>
      <w:sdtPr>
        <w:rPr>
          <w:rFonts w:ascii="Times New Roman" w:eastAsiaTheme="minorHAnsi" w:hAnsi="Times New Roman" w:cs="Times New Roman"/>
          <w:color w:val="auto"/>
          <w:kern w:val="2"/>
          <w:sz w:val="24"/>
          <w:szCs w:val="24"/>
          <w:lang w:val="en-GB" w:eastAsia="en-US"/>
          <w14:ligatures w14:val="standardContextual"/>
        </w:rPr>
        <w:id w:val="-791975434"/>
        <w:docPartObj>
          <w:docPartGallery w:val="Table of Contents"/>
          <w:docPartUnique/>
        </w:docPartObj>
      </w:sdtPr>
      <w:sdtEndPr>
        <w:rPr>
          <w:b/>
          <w:bCs/>
        </w:rPr>
      </w:sdtEndPr>
      <w:sdtContent>
        <w:p w14:paraId="2DCEA17A" w14:textId="58058FB0" w:rsidR="002D643B" w:rsidRPr="003A3609" w:rsidRDefault="002D643B" w:rsidP="002D643B">
          <w:pPr>
            <w:pStyle w:val="TOCHeading"/>
            <w:jc w:val="center"/>
            <w:rPr>
              <w:rFonts w:ascii="Times New Roman" w:hAnsi="Times New Roman" w:cs="Times New Roman"/>
              <w:b/>
              <w:bCs/>
              <w:color w:val="auto"/>
              <w:sz w:val="24"/>
              <w:szCs w:val="24"/>
            </w:rPr>
          </w:pPr>
          <w:r w:rsidRPr="003A3609">
            <w:rPr>
              <w:rFonts w:ascii="Times New Roman" w:hAnsi="Times New Roman" w:cs="Times New Roman"/>
              <w:b/>
              <w:bCs/>
              <w:color w:val="auto"/>
              <w:sz w:val="24"/>
              <w:szCs w:val="24"/>
              <w:lang w:val="en-GB"/>
            </w:rPr>
            <w:t>Table of Contents</w:t>
          </w:r>
        </w:p>
        <w:p w14:paraId="19D5D23B" w14:textId="2D608F63" w:rsidR="002D643B" w:rsidRPr="003A3609" w:rsidRDefault="002D643B">
          <w:pPr>
            <w:pStyle w:val="TOC1"/>
            <w:tabs>
              <w:tab w:val="right" w:leader="dot" w:pos="9016"/>
            </w:tabs>
            <w:rPr>
              <w:rFonts w:ascii="Times New Roman" w:eastAsiaTheme="minorEastAsia" w:hAnsi="Times New Roman" w:cs="Times New Roman"/>
              <w:noProof/>
              <w:sz w:val="24"/>
              <w:szCs w:val="24"/>
              <w:lang w:eastAsia="bg-BG"/>
            </w:rPr>
          </w:pPr>
          <w:r w:rsidRPr="003A3609">
            <w:rPr>
              <w:rFonts w:ascii="Times New Roman" w:hAnsi="Times New Roman" w:cs="Times New Roman"/>
              <w:sz w:val="24"/>
              <w:szCs w:val="24"/>
            </w:rPr>
            <w:fldChar w:fldCharType="begin"/>
          </w:r>
          <w:r w:rsidRPr="003A3609">
            <w:rPr>
              <w:rFonts w:ascii="Times New Roman" w:hAnsi="Times New Roman" w:cs="Times New Roman"/>
              <w:sz w:val="24"/>
              <w:szCs w:val="24"/>
            </w:rPr>
            <w:instrText xml:space="preserve"> TOC \o "1-3" \h \z \u </w:instrText>
          </w:r>
          <w:r w:rsidRPr="003A3609">
            <w:rPr>
              <w:rFonts w:ascii="Times New Roman" w:hAnsi="Times New Roman" w:cs="Times New Roman"/>
              <w:sz w:val="24"/>
              <w:szCs w:val="24"/>
            </w:rPr>
            <w:fldChar w:fldCharType="separate"/>
          </w:r>
          <w:hyperlink w:anchor="_Toc174291061" w:history="1">
            <w:r w:rsidRPr="003A3609">
              <w:rPr>
                <w:rStyle w:val="Hyperlink"/>
                <w:rFonts w:ascii="Times New Roman" w:hAnsi="Times New Roman" w:cs="Times New Roman"/>
                <w:noProof/>
                <w:sz w:val="24"/>
                <w:szCs w:val="24"/>
                <w:lang w:val="en-US"/>
              </w:rPr>
              <w:t>Introduction</w:t>
            </w:r>
            <w:r w:rsidRPr="003A3609">
              <w:rPr>
                <w:rFonts w:ascii="Times New Roman" w:hAnsi="Times New Roman" w:cs="Times New Roman"/>
                <w:noProof/>
                <w:webHidden/>
                <w:sz w:val="24"/>
                <w:szCs w:val="24"/>
              </w:rPr>
              <w:tab/>
            </w:r>
            <w:r w:rsidRPr="003A3609">
              <w:rPr>
                <w:rFonts w:ascii="Times New Roman" w:hAnsi="Times New Roman" w:cs="Times New Roman"/>
                <w:noProof/>
                <w:webHidden/>
                <w:sz w:val="24"/>
                <w:szCs w:val="24"/>
              </w:rPr>
              <w:fldChar w:fldCharType="begin"/>
            </w:r>
            <w:r w:rsidRPr="003A3609">
              <w:rPr>
                <w:rFonts w:ascii="Times New Roman" w:hAnsi="Times New Roman" w:cs="Times New Roman"/>
                <w:noProof/>
                <w:webHidden/>
                <w:sz w:val="24"/>
                <w:szCs w:val="24"/>
              </w:rPr>
              <w:instrText xml:space="preserve"> PAGEREF _Toc174291061 \h </w:instrText>
            </w:r>
            <w:r w:rsidRPr="003A3609">
              <w:rPr>
                <w:rFonts w:ascii="Times New Roman" w:hAnsi="Times New Roman" w:cs="Times New Roman"/>
                <w:noProof/>
                <w:webHidden/>
                <w:sz w:val="24"/>
                <w:szCs w:val="24"/>
              </w:rPr>
            </w:r>
            <w:r w:rsidRPr="003A3609">
              <w:rPr>
                <w:rFonts w:ascii="Times New Roman" w:hAnsi="Times New Roman" w:cs="Times New Roman"/>
                <w:noProof/>
                <w:webHidden/>
                <w:sz w:val="24"/>
                <w:szCs w:val="24"/>
              </w:rPr>
              <w:fldChar w:fldCharType="separate"/>
            </w:r>
            <w:r w:rsidRPr="003A3609">
              <w:rPr>
                <w:rFonts w:ascii="Times New Roman" w:hAnsi="Times New Roman" w:cs="Times New Roman"/>
                <w:noProof/>
                <w:webHidden/>
                <w:sz w:val="24"/>
                <w:szCs w:val="24"/>
              </w:rPr>
              <w:t>3</w:t>
            </w:r>
            <w:r w:rsidRPr="003A3609">
              <w:rPr>
                <w:rFonts w:ascii="Times New Roman" w:hAnsi="Times New Roman" w:cs="Times New Roman"/>
                <w:noProof/>
                <w:webHidden/>
                <w:sz w:val="24"/>
                <w:szCs w:val="24"/>
              </w:rPr>
              <w:fldChar w:fldCharType="end"/>
            </w:r>
          </w:hyperlink>
        </w:p>
        <w:p w14:paraId="3AEEE8EA" w14:textId="01C06433" w:rsidR="002D643B" w:rsidRPr="003A3609" w:rsidRDefault="003214D4">
          <w:pPr>
            <w:pStyle w:val="TOC1"/>
            <w:tabs>
              <w:tab w:val="right" w:leader="dot" w:pos="9016"/>
            </w:tabs>
            <w:rPr>
              <w:rFonts w:ascii="Times New Roman" w:eastAsiaTheme="minorEastAsia" w:hAnsi="Times New Roman" w:cs="Times New Roman"/>
              <w:noProof/>
              <w:sz w:val="24"/>
              <w:szCs w:val="24"/>
              <w:lang w:eastAsia="bg-BG"/>
            </w:rPr>
          </w:pPr>
          <w:hyperlink w:anchor="_Toc174291062" w:history="1">
            <w:r w:rsidR="002D643B" w:rsidRPr="003A3609">
              <w:rPr>
                <w:rStyle w:val="Hyperlink"/>
                <w:rFonts w:ascii="Times New Roman" w:hAnsi="Times New Roman" w:cs="Times New Roman"/>
                <w:noProof/>
                <w:sz w:val="24"/>
                <w:szCs w:val="24"/>
                <w:lang w:val="en-US"/>
              </w:rPr>
              <w:t>Multinational Companies – concept and examples</w:t>
            </w:r>
            <w:r w:rsidR="002D643B" w:rsidRPr="003A3609">
              <w:rPr>
                <w:rFonts w:ascii="Times New Roman" w:hAnsi="Times New Roman" w:cs="Times New Roman"/>
                <w:noProof/>
                <w:webHidden/>
                <w:sz w:val="24"/>
                <w:szCs w:val="24"/>
              </w:rPr>
              <w:tab/>
            </w:r>
            <w:r w:rsidR="002D643B" w:rsidRPr="003A3609">
              <w:rPr>
                <w:rFonts w:ascii="Times New Roman" w:hAnsi="Times New Roman" w:cs="Times New Roman"/>
                <w:noProof/>
                <w:webHidden/>
                <w:sz w:val="24"/>
                <w:szCs w:val="24"/>
              </w:rPr>
              <w:fldChar w:fldCharType="begin"/>
            </w:r>
            <w:r w:rsidR="002D643B" w:rsidRPr="003A3609">
              <w:rPr>
                <w:rFonts w:ascii="Times New Roman" w:hAnsi="Times New Roman" w:cs="Times New Roman"/>
                <w:noProof/>
                <w:webHidden/>
                <w:sz w:val="24"/>
                <w:szCs w:val="24"/>
              </w:rPr>
              <w:instrText xml:space="preserve"> PAGEREF _Toc174291062 \h </w:instrText>
            </w:r>
            <w:r w:rsidR="002D643B" w:rsidRPr="003A3609">
              <w:rPr>
                <w:rFonts w:ascii="Times New Roman" w:hAnsi="Times New Roman" w:cs="Times New Roman"/>
                <w:noProof/>
                <w:webHidden/>
                <w:sz w:val="24"/>
                <w:szCs w:val="24"/>
              </w:rPr>
            </w:r>
            <w:r w:rsidR="002D643B" w:rsidRPr="003A3609">
              <w:rPr>
                <w:rFonts w:ascii="Times New Roman" w:hAnsi="Times New Roman" w:cs="Times New Roman"/>
                <w:noProof/>
                <w:webHidden/>
                <w:sz w:val="24"/>
                <w:szCs w:val="24"/>
              </w:rPr>
              <w:fldChar w:fldCharType="separate"/>
            </w:r>
            <w:r w:rsidR="002D643B" w:rsidRPr="003A3609">
              <w:rPr>
                <w:rFonts w:ascii="Times New Roman" w:hAnsi="Times New Roman" w:cs="Times New Roman"/>
                <w:noProof/>
                <w:webHidden/>
                <w:sz w:val="24"/>
                <w:szCs w:val="24"/>
              </w:rPr>
              <w:t>3</w:t>
            </w:r>
            <w:r w:rsidR="002D643B" w:rsidRPr="003A3609">
              <w:rPr>
                <w:rFonts w:ascii="Times New Roman" w:hAnsi="Times New Roman" w:cs="Times New Roman"/>
                <w:noProof/>
                <w:webHidden/>
                <w:sz w:val="24"/>
                <w:szCs w:val="24"/>
              </w:rPr>
              <w:fldChar w:fldCharType="end"/>
            </w:r>
          </w:hyperlink>
        </w:p>
        <w:p w14:paraId="7A6A3DC8" w14:textId="5D087376" w:rsidR="002D643B" w:rsidRPr="003A3609" w:rsidRDefault="003214D4">
          <w:pPr>
            <w:pStyle w:val="TOC1"/>
            <w:tabs>
              <w:tab w:val="right" w:leader="dot" w:pos="9016"/>
            </w:tabs>
            <w:rPr>
              <w:rFonts w:ascii="Times New Roman" w:eastAsiaTheme="minorEastAsia" w:hAnsi="Times New Roman" w:cs="Times New Roman"/>
              <w:noProof/>
              <w:sz w:val="24"/>
              <w:szCs w:val="24"/>
              <w:lang w:eastAsia="bg-BG"/>
            </w:rPr>
          </w:pPr>
          <w:hyperlink w:anchor="_Toc174291063" w:history="1">
            <w:r w:rsidR="002D643B" w:rsidRPr="003A3609">
              <w:rPr>
                <w:rStyle w:val="Hyperlink"/>
                <w:rFonts w:ascii="Times New Roman" w:hAnsi="Times New Roman" w:cs="Times New Roman"/>
                <w:noProof/>
                <w:sz w:val="24"/>
                <w:szCs w:val="24"/>
                <w:lang w:val="en-US"/>
              </w:rPr>
              <w:t>Understanding Foreign Exchange Risks</w:t>
            </w:r>
            <w:r w:rsidR="002D643B" w:rsidRPr="003A3609">
              <w:rPr>
                <w:rFonts w:ascii="Times New Roman" w:hAnsi="Times New Roman" w:cs="Times New Roman"/>
                <w:noProof/>
                <w:webHidden/>
                <w:sz w:val="24"/>
                <w:szCs w:val="24"/>
              </w:rPr>
              <w:tab/>
            </w:r>
            <w:r w:rsidR="002D643B" w:rsidRPr="003A3609">
              <w:rPr>
                <w:rFonts w:ascii="Times New Roman" w:hAnsi="Times New Roman" w:cs="Times New Roman"/>
                <w:noProof/>
                <w:webHidden/>
                <w:sz w:val="24"/>
                <w:szCs w:val="24"/>
              </w:rPr>
              <w:fldChar w:fldCharType="begin"/>
            </w:r>
            <w:r w:rsidR="002D643B" w:rsidRPr="003A3609">
              <w:rPr>
                <w:rFonts w:ascii="Times New Roman" w:hAnsi="Times New Roman" w:cs="Times New Roman"/>
                <w:noProof/>
                <w:webHidden/>
                <w:sz w:val="24"/>
                <w:szCs w:val="24"/>
              </w:rPr>
              <w:instrText xml:space="preserve"> PAGEREF _Toc174291063 \h </w:instrText>
            </w:r>
            <w:r w:rsidR="002D643B" w:rsidRPr="003A3609">
              <w:rPr>
                <w:rFonts w:ascii="Times New Roman" w:hAnsi="Times New Roman" w:cs="Times New Roman"/>
                <w:noProof/>
                <w:webHidden/>
                <w:sz w:val="24"/>
                <w:szCs w:val="24"/>
              </w:rPr>
            </w:r>
            <w:r w:rsidR="002D643B" w:rsidRPr="003A3609">
              <w:rPr>
                <w:rFonts w:ascii="Times New Roman" w:hAnsi="Times New Roman" w:cs="Times New Roman"/>
                <w:noProof/>
                <w:webHidden/>
                <w:sz w:val="24"/>
                <w:szCs w:val="24"/>
              </w:rPr>
              <w:fldChar w:fldCharType="separate"/>
            </w:r>
            <w:r w:rsidR="002D643B" w:rsidRPr="003A3609">
              <w:rPr>
                <w:rFonts w:ascii="Times New Roman" w:hAnsi="Times New Roman" w:cs="Times New Roman"/>
                <w:noProof/>
                <w:webHidden/>
                <w:sz w:val="24"/>
                <w:szCs w:val="24"/>
              </w:rPr>
              <w:t>3</w:t>
            </w:r>
            <w:r w:rsidR="002D643B" w:rsidRPr="003A3609">
              <w:rPr>
                <w:rFonts w:ascii="Times New Roman" w:hAnsi="Times New Roman" w:cs="Times New Roman"/>
                <w:noProof/>
                <w:webHidden/>
                <w:sz w:val="24"/>
                <w:szCs w:val="24"/>
              </w:rPr>
              <w:fldChar w:fldCharType="end"/>
            </w:r>
          </w:hyperlink>
        </w:p>
        <w:p w14:paraId="58D12D9F" w14:textId="7B4A200D" w:rsidR="002D643B" w:rsidRPr="003A3609" w:rsidRDefault="003214D4">
          <w:pPr>
            <w:pStyle w:val="TOC1"/>
            <w:tabs>
              <w:tab w:val="right" w:leader="dot" w:pos="9016"/>
            </w:tabs>
            <w:rPr>
              <w:rFonts w:ascii="Times New Roman" w:eastAsiaTheme="minorEastAsia" w:hAnsi="Times New Roman" w:cs="Times New Roman"/>
              <w:noProof/>
              <w:sz w:val="24"/>
              <w:szCs w:val="24"/>
              <w:lang w:eastAsia="bg-BG"/>
            </w:rPr>
          </w:pPr>
          <w:hyperlink w:anchor="_Toc174291064" w:history="1">
            <w:r w:rsidR="002D643B" w:rsidRPr="003A3609">
              <w:rPr>
                <w:rStyle w:val="Hyperlink"/>
                <w:rFonts w:ascii="Times New Roman" w:hAnsi="Times New Roman" w:cs="Times New Roman"/>
                <w:noProof/>
                <w:sz w:val="24"/>
                <w:szCs w:val="24"/>
                <w:lang w:val="en-US"/>
              </w:rPr>
              <w:t>Strategies for Managing</w:t>
            </w:r>
            <w:r w:rsidR="002D643B" w:rsidRPr="003A3609">
              <w:rPr>
                <w:rFonts w:ascii="Times New Roman" w:hAnsi="Times New Roman" w:cs="Times New Roman"/>
                <w:noProof/>
                <w:webHidden/>
                <w:sz w:val="24"/>
                <w:szCs w:val="24"/>
              </w:rPr>
              <w:tab/>
            </w:r>
            <w:r w:rsidR="002D643B" w:rsidRPr="003A3609">
              <w:rPr>
                <w:rFonts w:ascii="Times New Roman" w:hAnsi="Times New Roman" w:cs="Times New Roman"/>
                <w:noProof/>
                <w:webHidden/>
                <w:sz w:val="24"/>
                <w:szCs w:val="24"/>
              </w:rPr>
              <w:fldChar w:fldCharType="begin"/>
            </w:r>
            <w:r w:rsidR="002D643B" w:rsidRPr="003A3609">
              <w:rPr>
                <w:rFonts w:ascii="Times New Roman" w:hAnsi="Times New Roman" w:cs="Times New Roman"/>
                <w:noProof/>
                <w:webHidden/>
                <w:sz w:val="24"/>
                <w:szCs w:val="24"/>
              </w:rPr>
              <w:instrText xml:space="preserve"> PAGEREF _Toc174291064 \h </w:instrText>
            </w:r>
            <w:r w:rsidR="002D643B" w:rsidRPr="003A3609">
              <w:rPr>
                <w:rFonts w:ascii="Times New Roman" w:hAnsi="Times New Roman" w:cs="Times New Roman"/>
                <w:noProof/>
                <w:webHidden/>
                <w:sz w:val="24"/>
                <w:szCs w:val="24"/>
              </w:rPr>
            </w:r>
            <w:r w:rsidR="002D643B" w:rsidRPr="003A3609">
              <w:rPr>
                <w:rFonts w:ascii="Times New Roman" w:hAnsi="Times New Roman" w:cs="Times New Roman"/>
                <w:noProof/>
                <w:webHidden/>
                <w:sz w:val="24"/>
                <w:szCs w:val="24"/>
              </w:rPr>
              <w:fldChar w:fldCharType="separate"/>
            </w:r>
            <w:r w:rsidR="002D643B" w:rsidRPr="003A3609">
              <w:rPr>
                <w:rFonts w:ascii="Times New Roman" w:hAnsi="Times New Roman" w:cs="Times New Roman"/>
                <w:noProof/>
                <w:webHidden/>
                <w:sz w:val="24"/>
                <w:szCs w:val="24"/>
              </w:rPr>
              <w:t>5</w:t>
            </w:r>
            <w:r w:rsidR="002D643B" w:rsidRPr="003A3609">
              <w:rPr>
                <w:rFonts w:ascii="Times New Roman" w:hAnsi="Times New Roman" w:cs="Times New Roman"/>
                <w:noProof/>
                <w:webHidden/>
                <w:sz w:val="24"/>
                <w:szCs w:val="24"/>
              </w:rPr>
              <w:fldChar w:fldCharType="end"/>
            </w:r>
          </w:hyperlink>
        </w:p>
        <w:p w14:paraId="6BD0124A" w14:textId="3F40CE37" w:rsidR="002D643B" w:rsidRPr="003A3609" w:rsidRDefault="003214D4">
          <w:pPr>
            <w:pStyle w:val="TOC1"/>
            <w:tabs>
              <w:tab w:val="right" w:leader="dot" w:pos="9016"/>
            </w:tabs>
            <w:rPr>
              <w:rFonts w:ascii="Times New Roman" w:eastAsiaTheme="minorEastAsia" w:hAnsi="Times New Roman" w:cs="Times New Roman"/>
              <w:noProof/>
              <w:sz w:val="24"/>
              <w:szCs w:val="24"/>
              <w:lang w:eastAsia="bg-BG"/>
            </w:rPr>
          </w:pPr>
          <w:hyperlink w:anchor="_Toc174291065" w:history="1">
            <w:r w:rsidR="002D643B" w:rsidRPr="003A3609">
              <w:rPr>
                <w:rStyle w:val="Hyperlink"/>
                <w:rFonts w:ascii="Times New Roman" w:hAnsi="Times New Roman" w:cs="Times New Roman"/>
                <w:noProof/>
                <w:sz w:val="24"/>
                <w:szCs w:val="24"/>
                <w:lang w:val="en-US"/>
              </w:rPr>
              <w:t>Conclusion</w:t>
            </w:r>
            <w:r w:rsidR="002D643B" w:rsidRPr="003A3609">
              <w:rPr>
                <w:rFonts w:ascii="Times New Roman" w:hAnsi="Times New Roman" w:cs="Times New Roman"/>
                <w:noProof/>
                <w:webHidden/>
                <w:sz w:val="24"/>
                <w:szCs w:val="24"/>
              </w:rPr>
              <w:tab/>
            </w:r>
            <w:r w:rsidR="002D643B" w:rsidRPr="003A3609">
              <w:rPr>
                <w:rFonts w:ascii="Times New Roman" w:hAnsi="Times New Roman" w:cs="Times New Roman"/>
                <w:noProof/>
                <w:webHidden/>
                <w:sz w:val="24"/>
                <w:szCs w:val="24"/>
              </w:rPr>
              <w:fldChar w:fldCharType="begin"/>
            </w:r>
            <w:r w:rsidR="002D643B" w:rsidRPr="003A3609">
              <w:rPr>
                <w:rFonts w:ascii="Times New Roman" w:hAnsi="Times New Roman" w:cs="Times New Roman"/>
                <w:noProof/>
                <w:webHidden/>
                <w:sz w:val="24"/>
                <w:szCs w:val="24"/>
              </w:rPr>
              <w:instrText xml:space="preserve"> PAGEREF _Toc174291065 \h </w:instrText>
            </w:r>
            <w:r w:rsidR="002D643B" w:rsidRPr="003A3609">
              <w:rPr>
                <w:rFonts w:ascii="Times New Roman" w:hAnsi="Times New Roman" w:cs="Times New Roman"/>
                <w:noProof/>
                <w:webHidden/>
                <w:sz w:val="24"/>
                <w:szCs w:val="24"/>
              </w:rPr>
            </w:r>
            <w:r w:rsidR="002D643B" w:rsidRPr="003A3609">
              <w:rPr>
                <w:rFonts w:ascii="Times New Roman" w:hAnsi="Times New Roman" w:cs="Times New Roman"/>
                <w:noProof/>
                <w:webHidden/>
                <w:sz w:val="24"/>
                <w:szCs w:val="24"/>
              </w:rPr>
              <w:fldChar w:fldCharType="separate"/>
            </w:r>
            <w:r w:rsidR="002D643B" w:rsidRPr="003A3609">
              <w:rPr>
                <w:rFonts w:ascii="Times New Roman" w:hAnsi="Times New Roman" w:cs="Times New Roman"/>
                <w:noProof/>
                <w:webHidden/>
                <w:sz w:val="24"/>
                <w:szCs w:val="24"/>
              </w:rPr>
              <w:t>7</w:t>
            </w:r>
            <w:r w:rsidR="002D643B" w:rsidRPr="003A3609">
              <w:rPr>
                <w:rFonts w:ascii="Times New Roman" w:hAnsi="Times New Roman" w:cs="Times New Roman"/>
                <w:noProof/>
                <w:webHidden/>
                <w:sz w:val="24"/>
                <w:szCs w:val="24"/>
              </w:rPr>
              <w:fldChar w:fldCharType="end"/>
            </w:r>
          </w:hyperlink>
        </w:p>
        <w:p w14:paraId="285A7F72" w14:textId="5836610A" w:rsidR="002D643B" w:rsidRPr="003A3609" w:rsidRDefault="003214D4">
          <w:pPr>
            <w:pStyle w:val="TOC1"/>
            <w:tabs>
              <w:tab w:val="right" w:leader="dot" w:pos="9016"/>
            </w:tabs>
            <w:rPr>
              <w:rFonts w:ascii="Times New Roman" w:eastAsiaTheme="minorEastAsia" w:hAnsi="Times New Roman" w:cs="Times New Roman"/>
              <w:noProof/>
              <w:sz w:val="24"/>
              <w:szCs w:val="24"/>
              <w:lang w:eastAsia="bg-BG"/>
            </w:rPr>
          </w:pPr>
          <w:hyperlink w:anchor="_Toc174291066" w:history="1">
            <w:r w:rsidR="002D643B" w:rsidRPr="003A3609">
              <w:rPr>
                <w:rStyle w:val="Hyperlink"/>
                <w:rFonts w:ascii="Times New Roman" w:hAnsi="Times New Roman" w:cs="Times New Roman"/>
                <w:noProof/>
                <w:sz w:val="24"/>
                <w:szCs w:val="24"/>
                <w:lang w:val="en-US"/>
              </w:rPr>
              <w:t>References</w:t>
            </w:r>
            <w:r w:rsidR="002D643B" w:rsidRPr="003A3609">
              <w:rPr>
                <w:rFonts w:ascii="Times New Roman" w:hAnsi="Times New Roman" w:cs="Times New Roman"/>
                <w:noProof/>
                <w:webHidden/>
                <w:sz w:val="24"/>
                <w:szCs w:val="24"/>
              </w:rPr>
              <w:tab/>
            </w:r>
            <w:r w:rsidR="002D643B" w:rsidRPr="003A3609">
              <w:rPr>
                <w:rFonts w:ascii="Times New Roman" w:hAnsi="Times New Roman" w:cs="Times New Roman"/>
                <w:noProof/>
                <w:webHidden/>
                <w:sz w:val="24"/>
                <w:szCs w:val="24"/>
              </w:rPr>
              <w:fldChar w:fldCharType="begin"/>
            </w:r>
            <w:r w:rsidR="002D643B" w:rsidRPr="003A3609">
              <w:rPr>
                <w:rFonts w:ascii="Times New Roman" w:hAnsi="Times New Roman" w:cs="Times New Roman"/>
                <w:noProof/>
                <w:webHidden/>
                <w:sz w:val="24"/>
                <w:szCs w:val="24"/>
              </w:rPr>
              <w:instrText xml:space="preserve"> PAGEREF _Toc174291066 \h </w:instrText>
            </w:r>
            <w:r w:rsidR="002D643B" w:rsidRPr="003A3609">
              <w:rPr>
                <w:rFonts w:ascii="Times New Roman" w:hAnsi="Times New Roman" w:cs="Times New Roman"/>
                <w:noProof/>
                <w:webHidden/>
                <w:sz w:val="24"/>
                <w:szCs w:val="24"/>
              </w:rPr>
            </w:r>
            <w:r w:rsidR="002D643B" w:rsidRPr="003A3609">
              <w:rPr>
                <w:rFonts w:ascii="Times New Roman" w:hAnsi="Times New Roman" w:cs="Times New Roman"/>
                <w:noProof/>
                <w:webHidden/>
                <w:sz w:val="24"/>
                <w:szCs w:val="24"/>
              </w:rPr>
              <w:fldChar w:fldCharType="separate"/>
            </w:r>
            <w:r w:rsidR="002D643B" w:rsidRPr="003A3609">
              <w:rPr>
                <w:rFonts w:ascii="Times New Roman" w:hAnsi="Times New Roman" w:cs="Times New Roman"/>
                <w:noProof/>
                <w:webHidden/>
                <w:sz w:val="24"/>
                <w:szCs w:val="24"/>
              </w:rPr>
              <w:t>7</w:t>
            </w:r>
            <w:r w:rsidR="002D643B" w:rsidRPr="003A3609">
              <w:rPr>
                <w:rFonts w:ascii="Times New Roman" w:hAnsi="Times New Roman" w:cs="Times New Roman"/>
                <w:noProof/>
                <w:webHidden/>
                <w:sz w:val="24"/>
                <w:szCs w:val="24"/>
              </w:rPr>
              <w:fldChar w:fldCharType="end"/>
            </w:r>
          </w:hyperlink>
        </w:p>
        <w:p w14:paraId="6B1586CE" w14:textId="39359799" w:rsidR="002D643B" w:rsidRPr="003A3609" w:rsidRDefault="002D643B">
          <w:pPr>
            <w:rPr>
              <w:rFonts w:ascii="Times New Roman" w:hAnsi="Times New Roman" w:cs="Times New Roman"/>
              <w:sz w:val="24"/>
              <w:szCs w:val="24"/>
            </w:rPr>
          </w:pPr>
          <w:r w:rsidRPr="003A3609">
            <w:rPr>
              <w:rFonts w:ascii="Times New Roman" w:hAnsi="Times New Roman" w:cs="Times New Roman"/>
              <w:b/>
              <w:bCs/>
              <w:sz w:val="24"/>
              <w:szCs w:val="24"/>
              <w:lang w:val="en-GB"/>
            </w:rPr>
            <w:fldChar w:fldCharType="end"/>
          </w:r>
        </w:p>
      </w:sdtContent>
    </w:sdt>
    <w:p w14:paraId="1569FBEE" w14:textId="77777777" w:rsidR="00E32287" w:rsidRPr="003A3609" w:rsidRDefault="00E32287">
      <w:pPr>
        <w:rPr>
          <w:rFonts w:ascii="Times New Roman" w:hAnsi="Times New Roman" w:cs="Times New Roman"/>
          <w:sz w:val="24"/>
          <w:szCs w:val="24"/>
          <w:lang w:val="en-US"/>
        </w:rPr>
      </w:pPr>
    </w:p>
    <w:p w14:paraId="3BB72EA8" w14:textId="7D85C004" w:rsidR="00C63C86" w:rsidRPr="003A3609" w:rsidRDefault="00C63C86">
      <w:pPr>
        <w:rPr>
          <w:rFonts w:ascii="Times New Roman" w:hAnsi="Times New Roman" w:cs="Times New Roman"/>
          <w:sz w:val="24"/>
          <w:szCs w:val="24"/>
          <w:lang w:val="en-US"/>
        </w:rPr>
      </w:pPr>
      <w:r w:rsidRPr="003A3609">
        <w:rPr>
          <w:rFonts w:ascii="Times New Roman" w:hAnsi="Times New Roman" w:cs="Times New Roman"/>
          <w:sz w:val="24"/>
          <w:szCs w:val="24"/>
          <w:lang w:val="en-US"/>
        </w:rPr>
        <w:br w:type="page"/>
      </w:r>
    </w:p>
    <w:p w14:paraId="2598C2F2" w14:textId="77777777" w:rsidR="00E32287" w:rsidRPr="003A3609" w:rsidRDefault="00C63C86" w:rsidP="002D643B">
      <w:pPr>
        <w:pStyle w:val="Heading1"/>
        <w:spacing w:line="360" w:lineRule="auto"/>
        <w:jc w:val="center"/>
        <w:rPr>
          <w:rFonts w:ascii="Times New Roman" w:hAnsi="Times New Roman" w:cs="Times New Roman"/>
          <w:color w:val="auto"/>
          <w:sz w:val="24"/>
          <w:szCs w:val="24"/>
          <w:lang w:val="en-US"/>
        </w:rPr>
      </w:pPr>
      <w:bookmarkStart w:id="0" w:name="_Toc174291061"/>
      <w:r w:rsidRPr="003A3609">
        <w:rPr>
          <w:rFonts w:ascii="Times New Roman" w:hAnsi="Times New Roman" w:cs="Times New Roman"/>
          <w:color w:val="auto"/>
          <w:sz w:val="24"/>
          <w:szCs w:val="24"/>
          <w:lang w:val="en-US"/>
        </w:rPr>
        <w:lastRenderedPageBreak/>
        <w:t>Introduction</w:t>
      </w:r>
      <w:bookmarkEnd w:id="0"/>
    </w:p>
    <w:p w14:paraId="3C7AED03" w14:textId="4A3C5DAC" w:rsidR="00AF28F1" w:rsidRPr="003A3609" w:rsidRDefault="00AF28F1" w:rsidP="00FE00FB">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Global companies incur several kinds of </w:t>
      </w:r>
      <w:r w:rsidR="003A3609">
        <w:rPr>
          <w:rFonts w:ascii="Times New Roman" w:hAnsi="Times New Roman" w:cs="Times New Roman"/>
          <w:sz w:val="24"/>
          <w:szCs w:val="24"/>
          <w:lang w:val="en-US"/>
        </w:rPr>
        <w:t>threats</w:t>
      </w:r>
      <w:r w:rsidRPr="003A3609">
        <w:rPr>
          <w:rFonts w:ascii="Times New Roman" w:hAnsi="Times New Roman" w:cs="Times New Roman"/>
          <w:sz w:val="24"/>
          <w:szCs w:val="24"/>
          <w:lang w:val="en-US"/>
        </w:rPr>
        <w:t xml:space="preserve"> and risks in </w:t>
      </w:r>
      <w:r w:rsidR="003A3609" w:rsidRPr="003A3609">
        <w:rPr>
          <w:rFonts w:ascii="Times New Roman" w:hAnsi="Times New Roman" w:cs="Times New Roman"/>
          <w:sz w:val="24"/>
          <w:szCs w:val="24"/>
          <w:lang w:val="en-US"/>
        </w:rPr>
        <w:t>the global</w:t>
      </w:r>
      <w:r w:rsidRPr="003A3609">
        <w:rPr>
          <w:rFonts w:ascii="Times New Roman" w:hAnsi="Times New Roman" w:cs="Times New Roman"/>
          <w:sz w:val="24"/>
          <w:szCs w:val="24"/>
          <w:lang w:val="en-US"/>
        </w:rPr>
        <w:t xml:space="preserve"> market. One of them is risk connected to foreign currencies. This kind of risk is one of the most highly affecting the financial state of a business.  MNCs crossing numerous currencies and countries </w:t>
      </w:r>
      <w:r w:rsidR="003A3609" w:rsidRPr="003A3609">
        <w:rPr>
          <w:rFonts w:ascii="Times New Roman" w:hAnsi="Times New Roman" w:cs="Times New Roman"/>
          <w:sz w:val="24"/>
          <w:szCs w:val="24"/>
          <w:lang w:val="en-US"/>
        </w:rPr>
        <w:t>minimizing</w:t>
      </w:r>
      <w:r w:rsidRPr="003A3609">
        <w:rPr>
          <w:rFonts w:ascii="Times New Roman" w:hAnsi="Times New Roman" w:cs="Times New Roman"/>
          <w:sz w:val="24"/>
          <w:szCs w:val="24"/>
          <w:lang w:val="en-US"/>
        </w:rPr>
        <w:t xml:space="preserve"> FX risk will assist </w:t>
      </w:r>
      <w:r w:rsidR="003A3609">
        <w:rPr>
          <w:rFonts w:ascii="Times New Roman" w:hAnsi="Times New Roman" w:cs="Times New Roman"/>
          <w:sz w:val="24"/>
          <w:szCs w:val="24"/>
          <w:lang w:val="en-US"/>
        </w:rPr>
        <w:t>in preserving</w:t>
      </w:r>
      <w:r w:rsidRPr="003A3609">
        <w:rPr>
          <w:rFonts w:ascii="Times New Roman" w:hAnsi="Times New Roman" w:cs="Times New Roman"/>
          <w:sz w:val="24"/>
          <w:szCs w:val="24"/>
          <w:lang w:val="en-US"/>
        </w:rPr>
        <w:t xml:space="preserve"> financial health and competitive edge.</w:t>
      </w:r>
    </w:p>
    <w:p w14:paraId="5B6CDF71" w14:textId="2B72FFA2" w:rsidR="00AF28F1" w:rsidRPr="003A3609" w:rsidRDefault="00AF28F1" w:rsidP="00FE00FB">
      <w:pPr>
        <w:spacing w:line="360" w:lineRule="auto"/>
        <w:ind w:firstLine="708"/>
        <w:jc w:val="both"/>
        <w:rPr>
          <w:rFonts w:ascii="Times New Roman" w:hAnsi="Times New Roman" w:cs="Times New Roman"/>
          <w:sz w:val="24"/>
          <w:szCs w:val="24"/>
        </w:rPr>
      </w:pPr>
      <w:r w:rsidRPr="003A3609">
        <w:rPr>
          <w:rFonts w:ascii="Times New Roman" w:hAnsi="Times New Roman" w:cs="Times New Roman"/>
          <w:sz w:val="24"/>
          <w:szCs w:val="24"/>
          <w:lang w:val="en-US"/>
        </w:rPr>
        <w:t xml:space="preserve">MNCs employ several approaches targeted </w:t>
      </w:r>
      <w:r w:rsidR="003A3609" w:rsidRPr="003A3609">
        <w:rPr>
          <w:rFonts w:ascii="Times New Roman" w:hAnsi="Times New Roman" w:cs="Times New Roman"/>
          <w:sz w:val="24"/>
          <w:szCs w:val="24"/>
          <w:lang w:val="en-US"/>
        </w:rPr>
        <w:t>at limiting</w:t>
      </w:r>
      <w:r w:rsidRPr="003A3609">
        <w:rPr>
          <w:rFonts w:ascii="Times New Roman" w:hAnsi="Times New Roman" w:cs="Times New Roman"/>
          <w:sz w:val="24"/>
          <w:szCs w:val="24"/>
          <w:lang w:val="en-US"/>
        </w:rPr>
        <w:t xml:space="preserve"> the impact of currency fluctuations </w:t>
      </w:r>
      <w:proofErr w:type="gramStart"/>
      <w:r w:rsidRPr="003A3609">
        <w:rPr>
          <w:rFonts w:ascii="Times New Roman" w:hAnsi="Times New Roman" w:cs="Times New Roman"/>
          <w:sz w:val="24"/>
          <w:szCs w:val="24"/>
          <w:lang w:val="en-US"/>
        </w:rPr>
        <w:t>in order to</w:t>
      </w:r>
      <w:proofErr w:type="gramEnd"/>
      <w:r w:rsidRPr="003A3609">
        <w:rPr>
          <w:rFonts w:ascii="Times New Roman" w:hAnsi="Times New Roman" w:cs="Times New Roman"/>
          <w:sz w:val="24"/>
          <w:szCs w:val="24"/>
          <w:lang w:val="en-US"/>
        </w:rPr>
        <w:t xml:space="preserve"> negotiate this challenging terrain. Based on concepts from International Financial Management (IFM), these techniques handle operational changes, financial hedging tools, </w:t>
      </w:r>
      <w:r w:rsidR="003A3609">
        <w:rPr>
          <w:rFonts w:ascii="Times New Roman" w:hAnsi="Times New Roman" w:cs="Times New Roman"/>
          <w:sz w:val="24"/>
          <w:szCs w:val="24"/>
          <w:lang w:val="en-US"/>
        </w:rPr>
        <w:t xml:space="preserve">and </w:t>
      </w:r>
      <w:r w:rsidRPr="003A3609">
        <w:rPr>
          <w:rFonts w:ascii="Times New Roman" w:hAnsi="Times New Roman" w:cs="Times New Roman"/>
          <w:sz w:val="24"/>
          <w:szCs w:val="24"/>
          <w:lang w:val="en-US"/>
        </w:rPr>
        <w:t xml:space="preserve">strategic business policies, </w:t>
      </w:r>
      <w:r w:rsidR="003A3609">
        <w:rPr>
          <w:rFonts w:ascii="Times New Roman" w:hAnsi="Times New Roman" w:cs="Times New Roman"/>
          <w:sz w:val="24"/>
          <w:szCs w:val="24"/>
          <w:lang w:val="en-US"/>
        </w:rPr>
        <w:t xml:space="preserve">in </w:t>
      </w:r>
      <w:r w:rsidRPr="003A3609">
        <w:rPr>
          <w:rFonts w:ascii="Times New Roman" w:hAnsi="Times New Roman" w:cs="Times New Roman"/>
          <w:sz w:val="24"/>
          <w:szCs w:val="24"/>
          <w:lang w:val="en-US"/>
        </w:rPr>
        <w:t xml:space="preserve">both conventional and innovative ways This paper rigorously evaluates their performance using real-world data and explores these approaches in great depth. MNCs can avoid other threats in addition to </w:t>
      </w:r>
      <w:r w:rsidR="003A3609">
        <w:rPr>
          <w:rFonts w:ascii="Times New Roman" w:hAnsi="Times New Roman" w:cs="Times New Roman"/>
          <w:sz w:val="24"/>
          <w:szCs w:val="24"/>
          <w:lang w:val="en-US"/>
        </w:rPr>
        <w:t>halting</w:t>
      </w:r>
      <w:r w:rsidRPr="003A3609">
        <w:rPr>
          <w:rFonts w:ascii="Times New Roman" w:hAnsi="Times New Roman" w:cs="Times New Roman"/>
          <w:sz w:val="24"/>
          <w:szCs w:val="24"/>
          <w:lang w:val="en-US"/>
        </w:rPr>
        <w:t xml:space="preserve"> negative currency swings. Positive developments in the currency rates also help them. This report aims to provide MNCs with a whole view of their available tools.</w:t>
      </w:r>
    </w:p>
    <w:p w14:paraId="3212534B" w14:textId="27CC34EF" w:rsidR="00AF28F1" w:rsidRPr="003A3609" w:rsidRDefault="00AF28F1" w:rsidP="00E32287">
      <w:pPr>
        <w:pStyle w:val="Heading1"/>
        <w:spacing w:line="360" w:lineRule="auto"/>
        <w:jc w:val="both"/>
        <w:rPr>
          <w:rFonts w:ascii="Times New Roman" w:hAnsi="Times New Roman" w:cs="Times New Roman"/>
          <w:color w:val="auto"/>
          <w:sz w:val="24"/>
          <w:szCs w:val="24"/>
          <w:lang w:val="en-US"/>
        </w:rPr>
      </w:pPr>
      <w:bookmarkStart w:id="1" w:name="_Toc174291062"/>
      <w:r w:rsidRPr="003A3609">
        <w:rPr>
          <w:rFonts w:ascii="Times New Roman" w:hAnsi="Times New Roman" w:cs="Times New Roman"/>
          <w:color w:val="auto"/>
          <w:sz w:val="24"/>
          <w:szCs w:val="24"/>
          <w:lang w:val="en-US"/>
        </w:rPr>
        <w:t>Multi</w:t>
      </w:r>
      <w:r w:rsidR="000C12D9" w:rsidRPr="003A3609">
        <w:rPr>
          <w:rFonts w:ascii="Times New Roman" w:hAnsi="Times New Roman" w:cs="Times New Roman"/>
          <w:color w:val="auto"/>
          <w:sz w:val="24"/>
          <w:szCs w:val="24"/>
          <w:lang w:val="en-US"/>
        </w:rPr>
        <w:t>national Companies – concept and examples</w:t>
      </w:r>
      <w:bookmarkEnd w:id="1"/>
      <w:r w:rsidR="000C12D9" w:rsidRPr="003A3609">
        <w:rPr>
          <w:rFonts w:ascii="Times New Roman" w:hAnsi="Times New Roman" w:cs="Times New Roman"/>
          <w:color w:val="auto"/>
          <w:sz w:val="24"/>
          <w:szCs w:val="24"/>
          <w:lang w:val="en-US"/>
        </w:rPr>
        <w:t xml:space="preserve"> </w:t>
      </w:r>
    </w:p>
    <w:p w14:paraId="4B99EFE9" w14:textId="37B11E64" w:rsidR="00FE00FB" w:rsidRPr="003A3609" w:rsidRDefault="00FE00FB" w:rsidP="00FE00FB">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An international corporation (MNC) is a large firm operating in numerous countries.  Usually from their own country. From their </w:t>
      </w:r>
      <w:r w:rsidR="003A3609" w:rsidRPr="003A3609">
        <w:rPr>
          <w:rFonts w:ascii="Times New Roman" w:hAnsi="Times New Roman" w:cs="Times New Roman"/>
          <w:sz w:val="24"/>
          <w:szCs w:val="24"/>
          <w:lang w:val="en-US"/>
        </w:rPr>
        <w:t>centralized</w:t>
      </w:r>
      <w:r w:rsidRPr="003A3609">
        <w:rPr>
          <w:rFonts w:ascii="Times New Roman" w:hAnsi="Times New Roman" w:cs="Times New Roman"/>
          <w:sz w:val="24"/>
          <w:szCs w:val="24"/>
          <w:lang w:val="en-US"/>
        </w:rPr>
        <w:t xml:space="preserve"> headquarters, these corporations supervise and manage their global operations (Bartlett &amp; Ghoshal, 1989). Usually motivated by the necessity to control the supply chain and maintain a competitive edge in different markets.  </w:t>
      </w:r>
    </w:p>
    <w:p w14:paraId="0283E48A" w14:textId="20E7A624" w:rsidR="000C12D9" w:rsidRPr="003A3609" w:rsidRDefault="00FE00FB" w:rsidP="00FE00FB">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Given Apple's outstanding global market integration, a sizable portion of firm revenue originates from outside of the United States (Bartlett &amp; Ghoshal, 1989). Still another first-rate example is Nestlé S.A., with Vevey, Switzerland, </w:t>
      </w:r>
      <w:r w:rsidR="003A3609">
        <w:rPr>
          <w:rFonts w:ascii="Times New Roman" w:hAnsi="Times New Roman" w:cs="Times New Roman"/>
          <w:sz w:val="24"/>
          <w:szCs w:val="24"/>
          <w:lang w:val="en-US"/>
        </w:rPr>
        <w:t xml:space="preserve">as </w:t>
      </w:r>
      <w:r w:rsidRPr="003A3609">
        <w:rPr>
          <w:rFonts w:ascii="Times New Roman" w:hAnsi="Times New Roman" w:cs="Times New Roman"/>
          <w:sz w:val="24"/>
          <w:szCs w:val="24"/>
          <w:lang w:val="en-US"/>
        </w:rPr>
        <w:t>its headquarters. Leading in the global food and beverage market, Nestlé has around 450 factories spread across 187 countries (Dunning, 2000). These examples illustrate the strategic relevance and complexity of MNCs in the global economy.</w:t>
      </w:r>
    </w:p>
    <w:p w14:paraId="485C3533" w14:textId="35A78F20" w:rsidR="00F97211" w:rsidRPr="003A3609" w:rsidRDefault="00F97211" w:rsidP="002D643B">
      <w:pPr>
        <w:pStyle w:val="Heading1"/>
        <w:spacing w:line="360" w:lineRule="auto"/>
        <w:jc w:val="center"/>
        <w:rPr>
          <w:rFonts w:ascii="Times New Roman" w:hAnsi="Times New Roman" w:cs="Times New Roman"/>
          <w:color w:val="auto"/>
          <w:sz w:val="24"/>
          <w:szCs w:val="24"/>
          <w:lang w:val="en-US"/>
        </w:rPr>
      </w:pPr>
      <w:bookmarkStart w:id="2" w:name="_Toc174291063"/>
      <w:r w:rsidRPr="003A3609">
        <w:rPr>
          <w:rFonts w:ascii="Times New Roman" w:hAnsi="Times New Roman" w:cs="Times New Roman"/>
          <w:color w:val="auto"/>
          <w:sz w:val="24"/>
          <w:szCs w:val="24"/>
          <w:lang w:val="en-US"/>
        </w:rPr>
        <w:t>Understanding Foreign Exchange Risks</w:t>
      </w:r>
      <w:bookmarkEnd w:id="2"/>
    </w:p>
    <w:p w14:paraId="0343B102" w14:textId="1D6E1751" w:rsidR="00DF0B20" w:rsidRPr="003A3609" w:rsidRDefault="00DF0B20" w:rsidP="00DF0B20">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Globally active in markets, multinational companies (MNCs) face risk related to foreign exchange (FX). It also falls under the label currency risk. It is rather highly valued. The variations in the exchange rates of currencies create FX risk. This can considerably affect the financial situation of companies involved in global operations.  MNCs </w:t>
      </w:r>
      <w:proofErr w:type="gramStart"/>
      <w:r w:rsidRPr="003A3609">
        <w:rPr>
          <w:rFonts w:ascii="Times New Roman" w:hAnsi="Times New Roman" w:cs="Times New Roman"/>
          <w:sz w:val="24"/>
          <w:szCs w:val="24"/>
          <w:lang w:val="en-US"/>
        </w:rPr>
        <w:t>have to</w:t>
      </w:r>
      <w:proofErr w:type="gramEnd"/>
      <w:r w:rsidRPr="003A3609">
        <w:rPr>
          <w:rFonts w:ascii="Times New Roman" w:hAnsi="Times New Roman" w:cs="Times New Roman"/>
          <w:sz w:val="24"/>
          <w:szCs w:val="24"/>
          <w:lang w:val="en-US"/>
        </w:rPr>
        <w:t xml:space="preserve"> effectively control these risks if they want to remain profitable (Shapiro, 2013). Economic, translation and transaction risk are three main types of FX risk. The risk of </w:t>
      </w:r>
      <w:r w:rsidR="003A3609">
        <w:rPr>
          <w:rFonts w:ascii="Times New Roman" w:hAnsi="Times New Roman" w:cs="Times New Roman"/>
          <w:sz w:val="24"/>
          <w:szCs w:val="24"/>
          <w:lang w:val="en-US"/>
        </w:rPr>
        <w:t xml:space="preserve">a </w:t>
      </w:r>
      <w:r w:rsidRPr="003A3609">
        <w:rPr>
          <w:rFonts w:ascii="Times New Roman" w:hAnsi="Times New Roman" w:cs="Times New Roman"/>
          <w:sz w:val="24"/>
          <w:szCs w:val="24"/>
          <w:lang w:val="en-US"/>
        </w:rPr>
        <w:t xml:space="preserve">transaction is the vulnerability a </w:t>
      </w:r>
      <w:r w:rsidRPr="003A3609">
        <w:rPr>
          <w:rFonts w:ascii="Times New Roman" w:hAnsi="Times New Roman" w:cs="Times New Roman"/>
          <w:sz w:val="24"/>
          <w:szCs w:val="24"/>
          <w:lang w:val="en-US"/>
        </w:rPr>
        <w:lastRenderedPageBreak/>
        <w:t xml:space="preserve">company bears during financial operations with foreign </w:t>
      </w:r>
      <w:r w:rsidR="003A3609">
        <w:rPr>
          <w:rFonts w:ascii="Times New Roman" w:hAnsi="Times New Roman" w:cs="Times New Roman"/>
          <w:sz w:val="24"/>
          <w:szCs w:val="24"/>
          <w:lang w:val="en-US"/>
        </w:rPr>
        <w:t>exchange-denominated</w:t>
      </w:r>
      <w:r w:rsidRPr="003A3609">
        <w:rPr>
          <w:rFonts w:ascii="Times New Roman" w:hAnsi="Times New Roman" w:cs="Times New Roman"/>
          <w:sz w:val="24"/>
          <w:szCs w:val="24"/>
          <w:lang w:val="en-US"/>
        </w:rPr>
        <w:t xml:space="preserve"> items. In cases of a temporal lapse between agreement and transaction settlement. During which can swing negative currency values? This risk seems </w:t>
      </w:r>
      <w:r w:rsidR="003A3609" w:rsidRPr="003A3609">
        <w:rPr>
          <w:rFonts w:ascii="Times New Roman" w:hAnsi="Times New Roman" w:cs="Times New Roman"/>
          <w:sz w:val="24"/>
          <w:szCs w:val="24"/>
          <w:lang w:val="en-US"/>
        </w:rPr>
        <w:t>clear</w:t>
      </w:r>
      <w:r w:rsidRPr="003A3609">
        <w:rPr>
          <w:rFonts w:ascii="Times New Roman" w:hAnsi="Times New Roman" w:cs="Times New Roman"/>
          <w:sz w:val="24"/>
          <w:szCs w:val="24"/>
          <w:lang w:val="en-US"/>
        </w:rPr>
        <w:t xml:space="preserve"> (Madura, 2020).</w:t>
      </w:r>
    </w:p>
    <w:p w14:paraId="56EA5020" w14:textId="0FEBBE98" w:rsidR="00DF0B20" w:rsidRPr="003A3609" w:rsidRDefault="00DF0B20" w:rsidP="00DF0B20">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 For example, any devaluation of the euro versus the dollar </w:t>
      </w:r>
      <w:r w:rsidR="003A3609">
        <w:rPr>
          <w:rFonts w:ascii="Times New Roman" w:hAnsi="Times New Roman" w:cs="Times New Roman"/>
          <w:sz w:val="24"/>
          <w:szCs w:val="24"/>
          <w:lang w:val="en-US"/>
        </w:rPr>
        <w:t>before</w:t>
      </w:r>
      <w:r w:rsidRPr="003A3609">
        <w:rPr>
          <w:rFonts w:ascii="Times New Roman" w:hAnsi="Times New Roman" w:cs="Times New Roman"/>
          <w:sz w:val="24"/>
          <w:szCs w:val="24"/>
          <w:lang w:val="en-US"/>
        </w:rPr>
        <w:t xml:space="preserve"> the payment might result in less income than first projected if a U.S.-based firm agrees to sell items to a European consumer in euros.</w:t>
      </w:r>
    </w:p>
    <w:p w14:paraId="7610B085" w14:textId="32124B65" w:rsidR="00DF0B20" w:rsidRPr="003A3609" w:rsidRDefault="00DF0B20" w:rsidP="00DF0B20">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There is a translation risk when an MNC converts foreign company financial statements into local currency. It also goes under accounting exposure. Though the financial flows of the subsidiaries have not changed really. The declared value of assets, obligations, and earnings (</w:t>
      </w:r>
      <w:proofErr w:type="spellStart"/>
      <w:r w:rsidRPr="003A3609">
        <w:rPr>
          <w:rFonts w:ascii="Times New Roman" w:hAnsi="Times New Roman" w:cs="Times New Roman"/>
          <w:sz w:val="24"/>
          <w:szCs w:val="24"/>
          <w:lang w:val="en-US"/>
        </w:rPr>
        <w:t>Eiteman</w:t>
      </w:r>
      <w:proofErr w:type="spellEnd"/>
      <w:r w:rsidRPr="003A3609">
        <w:rPr>
          <w:rFonts w:ascii="Times New Roman" w:hAnsi="Times New Roman" w:cs="Times New Roman"/>
          <w:sz w:val="24"/>
          <w:szCs w:val="24"/>
          <w:lang w:val="en-US"/>
        </w:rPr>
        <w:t xml:space="preserve">, Stonehill, &amp; Moffett, 2019) might show clear variations depending on exchange rate movements. Businesses with significant activities across many countries should particularly give this problem </w:t>
      </w:r>
      <w:r w:rsidR="003A3609">
        <w:rPr>
          <w:rFonts w:ascii="Times New Roman" w:hAnsi="Times New Roman" w:cs="Times New Roman"/>
          <w:sz w:val="24"/>
          <w:szCs w:val="24"/>
          <w:lang w:val="en-US"/>
        </w:rPr>
        <w:t xml:space="preserve">a </w:t>
      </w:r>
      <w:r w:rsidRPr="003A3609">
        <w:rPr>
          <w:rFonts w:ascii="Times New Roman" w:hAnsi="Times New Roman" w:cs="Times New Roman"/>
          <w:sz w:val="24"/>
          <w:szCs w:val="24"/>
          <w:lang w:val="en-US"/>
        </w:rPr>
        <w:t>top priority. It affects the declared financial performance and may affect investor views as well.</w:t>
      </w:r>
    </w:p>
    <w:p w14:paraId="7950C770" w14:textId="77777777" w:rsidR="00DF0B20" w:rsidRPr="003A3609" w:rsidRDefault="00DF0B20" w:rsidP="00DF0B20">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Economic risk is also known as operational exposure. This is the effect of currency swings on a company's future cash flows and market value. </w:t>
      </w:r>
    </w:p>
    <w:p w14:paraId="2B000DE6" w14:textId="39A550D6" w:rsidR="00DF0B20" w:rsidRPr="003A3609" w:rsidRDefault="00DF0B20" w:rsidP="00DF0B20">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This kind of risk relates to the way variations in currency rates might affect the competitive posture (Shapiro, 2013). Should a corporation situated in the United States deal with higher </w:t>
      </w:r>
      <w:r w:rsidR="003A3609">
        <w:rPr>
          <w:rFonts w:ascii="Times New Roman" w:hAnsi="Times New Roman" w:cs="Times New Roman"/>
          <w:sz w:val="24"/>
          <w:szCs w:val="24"/>
          <w:lang w:val="en-US"/>
        </w:rPr>
        <w:t>dollars</w:t>
      </w:r>
      <w:r w:rsidRPr="003A3609">
        <w:rPr>
          <w:rFonts w:ascii="Times New Roman" w:hAnsi="Times New Roman" w:cs="Times New Roman"/>
          <w:sz w:val="24"/>
          <w:szCs w:val="24"/>
          <w:lang w:val="en-US"/>
        </w:rPr>
        <w:t xml:space="preserve">? Its goods might start to cost more in other countries. Consequently, lowering earnings and sales. On the other hand, devaluation of the currency can raise import </w:t>
      </w:r>
      <w:proofErr w:type="spellStart"/>
      <w:r w:rsidRPr="003A3609">
        <w:rPr>
          <w:rFonts w:ascii="Times New Roman" w:hAnsi="Times New Roman" w:cs="Times New Roman"/>
          <w:sz w:val="24"/>
          <w:szCs w:val="24"/>
          <w:lang w:val="en-US"/>
        </w:rPr>
        <w:t>import</w:t>
      </w:r>
      <w:proofErr w:type="spellEnd"/>
      <w:r w:rsidRPr="003A3609">
        <w:rPr>
          <w:rFonts w:ascii="Times New Roman" w:hAnsi="Times New Roman" w:cs="Times New Roman"/>
          <w:sz w:val="24"/>
          <w:szCs w:val="24"/>
          <w:lang w:val="en-US"/>
        </w:rPr>
        <w:t xml:space="preserve"> prices but improve global competitiveness. MNCs use a range of techniques to sufficiently reduce these risks, from operational changes include natural hedging and currency diversification to financial products including forwards, futures, and options (Madura, 2021). The kind of risk, the level of firm exposure, and the economic environment in which it conducts business will determine the approach to be taken.</w:t>
      </w:r>
    </w:p>
    <w:p w14:paraId="2E4FAA25" w14:textId="76253EA2" w:rsidR="00DF0B20" w:rsidRPr="003A3609" w:rsidRDefault="00DF0B20" w:rsidP="008A69FC">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MNCs handling the complexity of international finance </w:t>
      </w:r>
      <w:r w:rsidR="003A3609" w:rsidRPr="003A3609">
        <w:rPr>
          <w:rFonts w:ascii="Times New Roman" w:hAnsi="Times New Roman" w:cs="Times New Roman"/>
          <w:sz w:val="24"/>
          <w:szCs w:val="24"/>
          <w:lang w:val="en-US"/>
        </w:rPr>
        <w:t>must</w:t>
      </w:r>
      <w:r w:rsidRPr="003A3609">
        <w:rPr>
          <w:rFonts w:ascii="Times New Roman" w:hAnsi="Times New Roman" w:cs="Times New Roman"/>
          <w:sz w:val="24"/>
          <w:szCs w:val="24"/>
          <w:lang w:val="en-US"/>
        </w:rPr>
        <w:t xml:space="preserve"> be aware of these several kinds of foreign exchange risks. Early identification and management of FX issues helps businesses to keep their financial performance and support their worldwide operations.</w:t>
      </w:r>
    </w:p>
    <w:p w14:paraId="0F244341" w14:textId="2658BF17" w:rsidR="00C63C86" w:rsidRPr="003A3609" w:rsidRDefault="00F97211" w:rsidP="002D643B">
      <w:pPr>
        <w:pStyle w:val="Heading1"/>
        <w:spacing w:line="360" w:lineRule="auto"/>
        <w:jc w:val="center"/>
        <w:rPr>
          <w:rFonts w:ascii="Times New Roman" w:hAnsi="Times New Roman" w:cs="Times New Roman"/>
          <w:color w:val="auto"/>
          <w:sz w:val="24"/>
          <w:szCs w:val="24"/>
          <w:lang w:val="en-US"/>
        </w:rPr>
      </w:pPr>
      <w:bookmarkStart w:id="3" w:name="_Toc174291064"/>
      <w:r w:rsidRPr="003A3609">
        <w:rPr>
          <w:rFonts w:ascii="Times New Roman" w:hAnsi="Times New Roman" w:cs="Times New Roman"/>
          <w:color w:val="auto"/>
          <w:sz w:val="24"/>
          <w:szCs w:val="24"/>
          <w:lang w:val="en-US"/>
        </w:rPr>
        <w:t>Strategies for Managing</w:t>
      </w:r>
      <w:bookmarkEnd w:id="3"/>
    </w:p>
    <w:p w14:paraId="45B62B19" w14:textId="2A54BC0A"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One of </w:t>
      </w:r>
      <w:r w:rsidR="003A3609">
        <w:rPr>
          <w:rFonts w:ascii="Times New Roman" w:hAnsi="Times New Roman" w:cs="Times New Roman"/>
          <w:sz w:val="24"/>
          <w:szCs w:val="24"/>
          <w:lang w:val="en-US"/>
        </w:rPr>
        <w:t xml:space="preserve">the </w:t>
      </w:r>
      <w:r w:rsidRPr="003A3609">
        <w:rPr>
          <w:rFonts w:ascii="Times New Roman" w:hAnsi="Times New Roman" w:cs="Times New Roman"/>
          <w:sz w:val="24"/>
          <w:szCs w:val="24"/>
          <w:lang w:val="en-US"/>
        </w:rPr>
        <w:t xml:space="preserve">main issues for MNCs is foreign exchange (FX). Because of the possible effects of monetary changes on </w:t>
      </w:r>
      <w:r w:rsidR="003A3609">
        <w:rPr>
          <w:rFonts w:ascii="Times New Roman" w:hAnsi="Times New Roman" w:cs="Times New Roman"/>
          <w:sz w:val="24"/>
          <w:szCs w:val="24"/>
          <w:lang w:val="en-US"/>
        </w:rPr>
        <w:t xml:space="preserve">the </w:t>
      </w:r>
      <w:r w:rsidRPr="003A3609">
        <w:rPr>
          <w:rFonts w:ascii="Times New Roman" w:hAnsi="Times New Roman" w:cs="Times New Roman"/>
          <w:sz w:val="24"/>
          <w:szCs w:val="24"/>
          <w:lang w:val="en-US"/>
        </w:rPr>
        <w:t>financial situation. MNCs combine several approaches to reduce these hazards.</w:t>
      </w:r>
    </w:p>
    <w:p w14:paraId="78A024E3" w14:textId="77777777"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lastRenderedPageBreak/>
        <w:t>1. Strategic Financial Hedging Methodologies</w:t>
      </w:r>
    </w:p>
    <w:p w14:paraId="32B40B42" w14:textId="60CFBBA1"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Among the most widely </w:t>
      </w:r>
      <w:r w:rsidR="003A3609" w:rsidRPr="003A3609">
        <w:rPr>
          <w:rFonts w:ascii="Times New Roman" w:hAnsi="Times New Roman" w:cs="Times New Roman"/>
          <w:sz w:val="24"/>
          <w:szCs w:val="24"/>
          <w:lang w:val="en-US"/>
        </w:rPr>
        <w:t>utilized</w:t>
      </w:r>
      <w:r w:rsidRPr="003A3609">
        <w:rPr>
          <w:rFonts w:ascii="Times New Roman" w:hAnsi="Times New Roman" w:cs="Times New Roman"/>
          <w:sz w:val="24"/>
          <w:szCs w:val="24"/>
          <w:lang w:val="en-US"/>
        </w:rPr>
        <w:t xml:space="preserve"> techniques MNCs use to manage FX risk is financial hedging—through instruments such </w:t>
      </w:r>
      <w:r w:rsidR="003A3609">
        <w:rPr>
          <w:rFonts w:ascii="Times New Roman" w:hAnsi="Times New Roman" w:cs="Times New Roman"/>
          <w:sz w:val="24"/>
          <w:szCs w:val="24"/>
          <w:lang w:val="en-US"/>
        </w:rPr>
        <w:t xml:space="preserve">as </w:t>
      </w:r>
      <w:r w:rsidRPr="003A3609">
        <w:rPr>
          <w:rFonts w:ascii="Times New Roman" w:hAnsi="Times New Roman" w:cs="Times New Roman"/>
          <w:sz w:val="24"/>
          <w:szCs w:val="24"/>
          <w:lang w:val="en-US"/>
        </w:rPr>
        <w:t xml:space="preserve">forward contracts, options, and swaps. </w:t>
      </w:r>
    </w:p>
    <w:p w14:paraId="4020A0F1" w14:textId="64E0093D"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Forward contracts provide </w:t>
      </w:r>
      <w:r w:rsidR="003A3609" w:rsidRPr="003A3609">
        <w:rPr>
          <w:rFonts w:ascii="Times New Roman" w:hAnsi="Times New Roman" w:cs="Times New Roman"/>
          <w:sz w:val="24"/>
          <w:szCs w:val="24"/>
          <w:lang w:val="en-US"/>
        </w:rPr>
        <w:t>businesses with</w:t>
      </w:r>
      <w:r w:rsidRPr="003A3609">
        <w:rPr>
          <w:rFonts w:ascii="Times New Roman" w:hAnsi="Times New Roman" w:cs="Times New Roman"/>
          <w:sz w:val="24"/>
          <w:szCs w:val="24"/>
          <w:lang w:val="en-US"/>
        </w:rPr>
        <w:t xml:space="preserve"> clarity on the value of future cash flows by letting them lock in exchange rates for </w:t>
      </w:r>
      <w:r w:rsidR="003214D4">
        <w:rPr>
          <w:rFonts w:ascii="Times New Roman" w:hAnsi="Times New Roman" w:cs="Times New Roman"/>
          <w:sz w:val="24"/>
          <w:szCs w:val="24"/>
          <w:lang w:val="en-US"/>
        </w:rPr>
        <w:t xml:space="preserve">the </w:t>
      </w:r>
      <w:r w:rsidRPr="003A3609">
        <w:rPr>
          <w:rFonts w:ascii="Times New Roman" w:hAnsi="Times New Roman" w:cs="Times New Roman"/>
          <w:sz w:val="24"/>
          <w:szCs w:val="24"/>
          <w:lang w:val="en-US"/>
        </w:rPr>
        <w:t>next transactions (</w:t>
      </w:r>
      <w:proofErr w:type="spellStart"/>
      <w:r w:rsidRPr="003A3609">
        <w:rPr>
          <w:rFonts w:ascii="Times New Roman" w:hAnsi="Times New Roman" w:cs="Times New Roman"/>
          <w:sz w:val="24"/>
          <w:szCs w:val="24"/>
          <w:lang w:val="en-US"/>
        </w:rPr>
        <w:t>Allayannis</w:t>
      </w:r>
      <w:proofErr w:type="spellEnd"/>
      <w:r w:rsidRPr="003A3609">
        <w:rPr>
          <w:rFonts w:ascii="Times New Roman" w:hAnsi="Times New Roman" w:cs="Times New Roman"/>
          <w:sz w:val="24"/>
          <w:szCs w:val="24"/>
          <w:lang w:val="en-US"/>
        </w:rPr>
        <w:t xml:space="preserve"> &amp; Weston, 2001). A forward contract can help a business, for example, guarantee a good exchange rate and prevent losses should it expect payment in foreign currencies and the value of the currency </w:t>
      </w:r>
      <w:r w:rsidR="003A3609">
        <w:rPr>
          <w:rFonts w:ascii="Times New Roman" w:hAnsi="Times New Roman" w:cs="Times New Roman"/>
          <w:sz w:val="24"/>
          <w:szCs w:val="24"/>
          <w:lang w:val="en-US"/>
        </w:rPr>
        <w:t>depreciate</w:t>
      </w:r>
      <w:r w:rsidRPr="003A3609">
        <w:rPr>
          <w:rFonts w:ascii="Times New Roman" w:hAnsi="Times New Roman" w:cs="Times New Roman"/>
          <w:sz w:val="24"/>
          <w:szCs w:val="24"/>
          <w:lang w:val="en-US"/>
        </w:rPr>
        <w:t>.</w:t>
      </w:r>
    </w:p>
    <w:p w14:paraId="794393AE" w14:textId="2FAEEDA8"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Currency options provide </w:t>
      </w:r>
      <w:r w:rsidR="003A3609" w:rsidRPr="003A3609">
        <w:rPr>
          <w:rFonts w:ascii="Times New Roman" w:hAnsi="Times New Roman" w:cs="Times New Roman"/>
          <w:sz w:val="24"/>
          <w:szCs w:val="24"/>
          <w:lang w:val="en-US"/>
        </w:rPr>
        <w:t>MNCs with</w:t>
      </w:r>
      <w:r w:rsidRPr="003A3609">
        <w:rPr>
          <w:rFonts w:ascii="Times New Roman" w:hAnsi="Times New Roman" w:cs="Times New Roman"/>
          <w:sz w:val="24"/>
          <w:szCs w:val="24"/>
          <w:lang w:val="en-US"/>
        </w:rPr>
        <w:t xml:space="preserve"> the right. The obligation is to convert money at a set rate. This adaptability helps companies to profit from positive changes in the value of currencies while controlling possible losses (Géczy, Minton, &amp; Schrand, 1997). Conversely, a currency swap is </w:t>
      </w:r>
      <w:r w:rsidR="003A3609">
        <w:rPr>
          <w:rFonts w:ascii="Times New Roman" w:hAnsi="Times New Roman" w:cs="Times New Roman"/>
          <w:sz w:val="24"/>
          <w:szCs w:val="24"/>
          <w:lang w:val="en-US"/>
        </w:rPr>
        <w:t>an</w:t>
      </w:r>
      <w:r w:rsidRPr="003A3609">
        <w:rPr>
          <w:rFonts w:ascii="Times New Roman" w:hAnsi="Times New Roman" w:cs="Times New Roman"/>
          <w:sz w:val="24"/>
          <w:szCs w:val="24"/>
          <w:lang w:val="en-US"/>
        </w:rPr>
        <w:t xml:space="preserve"> arrangement whereby two parties exchange </w:t>
      </w:r>
      <w:r w:rsidR="003214D4" w:rsidRPr="003A3609">
        <w:rPr>
          <w:rFonts w:ascii="Times New Roman" w:hAnsi="Times New Roman" w:cs="Times New Roman"/>
          <w:sz w:val="24"/>
          <w:szCs w:val="24"/>
          <w:lang w:val="en-US"/>
        </w:rPr>
        <w:t>principal</w:t>
      </w:r>
      <w:r w:rsidRPr="003A3609">
        <w:rPr>
          <w:rFonts w:ascii="Times New Roman" w:hAnsi="Times New Roman" w:cs="Times New Roman"/>
          <w:sz w:val="24"/>
          <w:szCs w:val="24"/>
          <w:lang w:val="en-US"/>
        </w:rPr>
        <w:t xml:space="preserve"> and interest payments in different currencies. When handling debt denominated in foreign currencies, notably, this is quite helpful for controlling long-term exposure to foreign currencies (Papaioannou, 2006).</w:t>
      </w:r>
    </w:p>
    <w:p w14:paraId="1AA1B86F" w14:textId="77777777"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2. Hedging Strategies in Operations</w:t>
      </w:r>
    </w:p>
    <w:p w14:paraId="492D44F4" w14:textId="18020D05"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Beyond financial tools, MNCs can control FX risk </w:t>
      </w:r>
      <w:r w:rsidR="003A3609">
        <w:rPr>
          <w:rFonts w:ascii="Times New Roman" w:hAnsi="Times New Roman" w:cs="Times New Roman"/>
          <w:sz w:val="24"/>
          <w:szCs w:val="24"/>
          <w:lang w:val="en-US"/>
        </w:rPr>
        <w:t>using</w:t>
      </w:r>
      <w:r w:rsidRPr="003A3609">
        <w:rPr>
          <w:rFonts w:ascii="Times New Roman" w:hAnsi="Times New Roman" w:cs="Times New Roman"/>
          <w:sz w:val="24"/>
          <w:szCs w:val="24"/>
          <w:lang w:val="en-US"/>
        </w:rPr>
        <w:t xml:space="preserve"> operational hedging. That is, </w:t>
      </w:r>
      <w:r w:rsidR="003A3609">
        <w:rPr>
          <w:rFonts w:ascii="Times New Roman" w:hAnsi="Times New Roman" w:cs="Times New Roman"/>
          <w:sz w:val="24"/>
          <w:szCs w:val="24"/>
          <w:lang w:val="en-US"/>
        </w:rPr>
        <w:t>using</w:t>
      </w:r>
      <w:r w:rsidRPr="003A3609">
        <w:rPr>
          <w:rFonts w:ascii="Times New Roman" w:hAnsi="Times New Roman" w:cs="Times New Roman"/>
          <w:sz w:val="24"/>
          <w:szCs w:val="24"/>
          <w:lang w:val="en-US"/>
        </w:rPr>
        <w:t xml:space="preserve"> company procedures meant to automatically balance currency exposure. Matching income and expenses in the same currency helps to accomplish natural hedging. Hence lowering the susceptibility of cash flows to change in exchange rates (Miller &amp; Reuer, 1998). An MNC with strong sales in Europe. They can find raw materials from European vendors to guarantee that both income and expenses are based in euros.</w:t>
      </w:r>
    </w:p>
    <w:p w14:paraId="6F05AB6D" w14:textId="29C31251"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Another operational strategy MNCs use is currency diversification, in which case their operations and income sources are spread across multiple currencies. In any one market, this diversification reduces the impact of </w:t>
      </w:r>
      <w:r w:rsidR="003214D4">
        <w:rPr>
          <w:rFonts w:ascii="Times New Roman" w:hAnsi="Times New Roman" w:cs="Times New Roman"/>
          <w:sz w:val="24"/>
          <w:szCs w:val="24"/>
          <w:lang w:val="en-US"/>
        </w:rPr>
        <w:t>unfavorable</w:t>
      </w:r>
      <w:r w:rsidRPr="003A3609">
        <w:rPr>
          <w:rFonts w:ascii="Times New Roman" w:hAnsi="Times New Roman" w:cs="Times New Roman"/>
          <w:sz w:val="24"/>
          <w:szCs w:val="24"/>
          <w:lang w:val="en-US"/>
        </w:rPr>
        <w:t xml:space="preserve"> currency movements (Kogut &amp; Kulatilaka, 1994). Leading and trailing strategies might involve timing the settlement of foreign exchange transactions to profit from expected currency movements, including accelerating payments in a currency expected to gain or deferring receipt in a currency expected to decline (Madura, 2011).</w:t>
      </w:r>
    </w:p>
    <w:p w14:paraId="68532AC5" w14:textId="77777777"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3. Corporate Policies and Strategic Management</w:t>
      </w:r>
    </w:p>
    <w:p w14:paraId="599CBE2D" w14:textId="4A412030"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Strategic management approaches for FX risk involve including problems of currency risk in the total corporate strategy. One approach is rather </w:t>
      </w:r>
      <w:r w:rsidR="003A3609" w:rsidRPr="003A3609">
        <w:rPr>
          <w:rFonts w:ascii="Times New Roman" w:hAnsi="Times New Roman" w:cs="Times New Roman"/>
          <w:sz w:val="24"/>
          <w:szCs w:val="24"/>
          <w:lang w:val="en-US"/>
        </w:rPr>
        <w:t>centralized</w:t>
      </w:r>
      <w:r w:rsidRPr="003A3609">
        <w:rPr>
          <w:rFonts w:ascii="Times New Roman" w:hAnsi="Times New Roman" w:cs="Times New Roman"/>
          <w:sz w:val="24"/>
          <w:szCs w:val="24"/>
          <w:lang w:val="en-US"/>
        </w:rPr>
        <w:t xml:space="preserve"> than dispersed risk </w:t>
      </w:r>
      <w:r w:rsidRPr="003A3609">
        <w:rPr>
          <w:rFonts w:ascii="Times New Roman" w:hAnsi="Times New Roman" w:cs="Times New Roman"/>
          <w:sz w:val="24"/>
          <w:szCs w:val="24"/>
          <w:lang w:val="en-US"/>
        </w:rPr>
        <w:lastRenderedPageBreak/>
        <w:t xml:space="preserve">management. Using a </w:t>
      </w:r>
      <w:r w:rsidR="003A3609" w:rsidRPr="003A3609">
        <w:rPr>
          <w:rFonts w:ascii="Times New Roman" w:hAnsi="Times New Roman" w:cs="Times New Roman"/>
          <w:sz w:val="24"/>
          <w:szCs w:val="24"/>
          <w:lang w:val="en-US"/>
        </w:rPr>
        <w:t>centralized</w:t>
      </w:r>
      <w:r w:rsidRPr="003A3609">
        <w:rPr>
          <w:rFonts w:ascii="Times New Roman" w:hAnsi="Times New Roman" w:cs="Times New Roman"/>
          <w:sz w:val="24"/>
          <w:szCs w:val="24"/>
          <w:lang w:val="en-US"/>
        </w:rPr>
        <w:t xml:space="preserve"> strategy, the parent company manages all FX risks for the full company, therefore encouraging more consistent and efficient risk management strategies (Dhanani &amp; Groves, 2001). Conversely, a dispersed approach allows subsidiaries to manage their own FX risks, therefore offering maybe greater adaptation and reaction to local market conditions (Shapiro, 2013).</w:t>
      </w:r>
    </w:p>
    <w:p w14:paraId="6D38B2CA" w14:textId="56AE0058"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Another useful option </w:t>
      </w:r>
      <w:r w:rsidR="003A3609" w:rsidRPr="003A3609">
        <w:rPr>
          <w:rFonts w:ascii="Times New Roman" w:hAnsi="Times New Roman" w:cs="Times New Roman"/>
          <w:sz w:val="24"/>
          <w:szCs w:val="24"/>
          <w:lang w:val="en-US"/>
        </w:rPr>
        <w:t>is</w:t>
      </w:r>
      <w:r w:rsidRPr="003A3609">
        <w:rPr>
          <w:rFonts w:ascii="Times New Roman" w:hAnsi="Times New Roman" w:cs="Times New Roman"/>
          <w:sz w:val="24"/>
          <w:szCs w:val="24"/>
          <w:lang w:val="en-US"/>
        </w:rPr>
        <w:t xml:space="preserve"> risk-sharing agreements, arrangements wherein both sides </w:t>
      </w:r>
      <w:proofErr w:type="gramStart"/>
      <w:r w:rsidRPr="003A3609">
        <w:rPr>
          <w:rFonts w:ascii="Times New Roman" w:hAnsi="Times New Roman" w:cs="Times New Roman"/>
          <w:sz w:val="24"/>
          <w:szCs w:val="24"/>
          <w:lang w:val="en-US"/>
        </w:rPr>
        <w:t>engaged</w:t>
      </w:r>
      <w:proofErr w:type="gramEnd"/>
      <w:r w:rsidRPr="003A3609">
        <w:rPr>
          <w:rFonts w:ascii="Times New Roman" w:hAnsi="Times New Roman" w:cs="Times New Roman"/>
          <w:sz w:val="24"/>
          <w:szCs w:val="24"/>
          <w:lang w:val="en-US"/>
        </w:rPr>
        <w:t xml:space="preserve"> </w:t>
      </w:r>
      <w:r w:rsidR="003A3609">
        <w:rPr>
          <w:rFonts w:ascii="Times New Roman" w:hAnsi="Times New Roman" w:cs="Times New Roman"/>
          <w:sz w:val="24"/>
          <w:szCs w:val="24"/>
          <w:lang w:val="en-US"/>
        </w:rPr>
        <w:t xml:space="preserve">to </w:t>
      </w:r>
      <w:r w:rsidRPr="003A3609">
        <w:rPr>
          <w:rFonts w:ascii="Times New Roman" w:hAnsi="Times New Roman" w:cs="Times New Roman"/>
          <w:sz w:val="24"/>
          <w:szCs w:val="24"/>
          <w:lang w:val="en-US"/>
        </w:rPr>
        <w:t xml:space="preserve">share the FX risk. MNCs may also implement pricing strategies that vary product rates in reaction to changes in </w:t>
      </w:r>
      <w:r w:rsidR="003A3609">
        <w:rPr>
          <w:rFonts w:ascii="Times New Roman" w:hAnsi="Times New Roman" w:cs="Times New Roman"/>
          <w:sz w:val="24"/>
          <w:szCs w:val="24"/>
          <w:lang w:val="en-US"/>
        </w:rPr>
        <w:t xml:space="preserve">the </w:t>
      </w:r>
      <w:r w:rsidRPr="003A3609">
        <w:rPr>
          <w:rFonts w:ascii="Times New Roman" w:hAnsi="Times New Roman" w:cs="Times New Roman"/>
          <w:sz w:val="24"/>
          <w:szCs w:val="24"/>
          <w:lang w:val="en-US"/>
        </w:rPr>
        <w:t>value of money. They may, for instance, include specifications about currency values in contracts (</w:t>
      </w:r>
      <w:proofErr w:type="spellStart"/>
      <w:r w:rsidRPr="003A3609">
        <w:rPr>
          <w:rFonts w:ascii="Times New Roman" w:hAnsi="Times New Roman" w:cs="Times New Roman"/>
          <w:sz w:val="24"/>
          <w:szCs w:val="24"/>
          <w:lang w:val="en-US"/>
        </w:rPr>
        <w:t>Czinkota</w:t>
      </w:r>
      <w:proofErr w:type="spellEnd"/>
      <w:r w:rsidRPr="003A3609">
        <w:rPr>
          <w:rFonts w:ascii="Times New Roman" w:hAnsi="Times New Roman" w:cs="Times New Roman"/>
          <w:sz w:val="24"/>
          <w:szCs w:val="24"/>
          <w:lang w:val="en-US"/>
        </w:rPr>
        <w:t>, Ronkainen, &amp; Moffett, 2011). They can also represent changes in exchange rates using variable pricing systems.</w:t>
      </w:r>
    </w:p>
    <w:p w14:paraId="332FE58C" w14:textId="77777777"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4. Currency Risk Insurance and Netting</w:t>
      </w:r>
    </w:p>
    <w:p w14:paraId="66EB1742" w14:textId="4E082585" w:rsidR="00FE66B7" w:rsidRPr="003A3609" w:rsidRDefault="00FE66B7" w:rsidP="00FE66B7">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MNCs also look at innovative concepts such currency risk insurance. In </w:t>
      </w:r>
      <w:r w:rsidR="00EE5B18" w:rsidRPr="003A3609">
        <w:rPr>
          <w:rFonts w:ascii="Times New Roman" w:hAnsi="Times New Roman" w:cs="Times New Roman"/>
          <w:sz w:val="24"/>
          <w:szCs w:val="24"/>
          <w:lang w:val="en-US"/>
        </w:rPr>
        <w:t>these businesses</w:t>
      </w:r>
      <w:r w:rsidRPr="003A3609">
        <w:rPr>
          <w:rFonts w:ascii="Times New Roman" w:hAnsi="Times New Roman" w:cs="Times New Roman"/>
          <w:sz w:val="24"/>
          <w:szCs w:val="24"/>
          <w:lang w:val="en-US"/>
        </w:rPr>
        <w:t xml:space="preserve"> purchase insurance to protect against notable fluctuation in value of currencies (</w:t>
      </w:r>
      <w:proofErr w:type="spellStart"/>
      <w:r w:rsidRPr="003A3609">
        <w:rPr>
          <w:rFonts w:ascii="Times New Roman" w:hAnsi="Times New Roman" w:cs="Times New Roman"/>
          <w:sz w:val="24"/>
          <w:szCs w:val="24"/>
          <w:lang w:val="en-US"/>
        </w:rPr>
        <w:t>Jorion</w:t>
      </w:r>
      <w:proofErr w:type="spellEnd"/>
      <w:r w:rsidRPr="003A3609">
        <w:rPr>
          <w:rFonts w:ascii="Times New Roman" w:hAnsi="Times New Roman" w:cs="Times New Roman"/>
          <w:sz w:val="24"/>
          <w:szCs w:val="24"/>
          <w:lang w:val="en-US"/>
        </w:rPr>
        <w:t xml:space="preserve">, 2007). Another way numerous foreign exchange transactions are combined across subsidiaries. </w:t>
      </w:r>
      <w:proofErr w:type="gramStart"/>
      <w:r w:rsidR="003A3609">
        <w:rPr>
          <w:rFonts w:ascii="Times New Roman" w:hAnsi="Times New Roman" w:cs="Times New Roman"/>
          <w:sz w:val="24"/>
          <w:szCs w:val="24"/>
          <w:lang w:val="en-US"/>
        </w:rPr>
        <w:t>Therefore</w:t>
      </w:r>
      <w:proofErr w:type="gramEnd"/>
      <w:r w:rsidRPr="003A3609">
        <w:rPr>
          <w:rFonts w:ascii="Times New Roman" w:hAnsi="Times New Roman" w:cs="Times New Roman"/>
          <w:sz w:val="24"/>
          <w:szCs w:val="24"/>
          <w:lang w:val="en-US"/>
        </w:rPr>
        <w:t xml:space="preserve"> allowing the MNC to mitigate internal risks before resorting to outside hedging techniques is netting (Butler, 2012). This approach can assist </w:t>
      </w:r>
      <w:proofErr w:type="gramStart"/>
      <w:r w:rsidRPr="003A3609">
        <w:rPr>
          <w:rFonts w:ascii="Times New Roman" w:hAnsi="Times New Roman" w:cs="Times New Roman"/>
          <w:sz w:val="24"/>
          <w:szCs w:val="24"/>
          <w:lang w:val="en-US"/>
        </w:rPr>
        <w:t>to</w:t>
      </w:r>
      <w:proofErr w:type="gramEnd"/>
      <w:r w:rsidRPr="003A3609">
        <w:rPr>
          <w:rFonts w:ascii="Times New Roman" w:hAnsi="Times New Roman" w:cs="Times New Roman"/>
          <w:sz w:val="24"/>
          <w:szCs w:val="24"/>
          <w:lang w:val="en-US"/>
        </w:rPr>
        <w:t xml:space="preserve"> significantly cut the handling FX risk associated costs.</w:t>
      </w:r>
    </w:p>
    <w:p w14:paraId="3BE799EC" w14:textId="40876C76" w:rsidR="00C63C86" w:rsidRPr="003A3609" w:rsidRDefault="00C63C86" w:rsidP="002D643B">
      <w:pPr>
        <w:pStyle w:val="Heading1"/>
        <w:spacing w:line="360" w:lineRule="auto"/>
        <w:jc w:val="center"/>
        <w:rPr>
          <w:rFonts w:ascii="Times New Roman" w:hAnsi="Times New Roman" w:cs="Times New Roman"/>
          <w:color w:val="auto"/>
          <w:sz w:val="24"/>
          <w:szCs w:val="24"/>
          <w:lang w:val="en-US"/>
        </w:rPr>
      </w:pPr>
      <w:bookmarkStart w:id="4" w:name="_Toc174291065"/>
      <w:r w:rsidRPr="003A3609">
        <w:rPr>
          <w:rFonts w:ascii="Times New Roman" w:hAnsi="Times New Roman" w:cs="Times New Roman"/>
          <w:color w:val="auto"/>
          <w:sz w:val="24"/>
          <w:szCs w:val="24"/>
          <w:lang w:val="en-US"/>
        </w:rPr>
        <w:t>Conclusion</w:t>
      </w:r>
      <w:bookmarkEnd w:id="4"/>
    </w:p>
    <w:p w14:paraId="18A2AAA3" w14:textId="249D1D30" w:rsidR="002D643B" w:rsidRPr="003A3609" w:rsidRDefault="002D643B" w:rsidP="002D643B">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 xml:space="preserve">Globally integrated economies depend on multinational companies (MNCs) totally on efficient management of foreign exchange (FX). The financial status of an MNC may be much influenced by different aspects. Some of them </w:t>
      </w:r>
      <w:r w:rsidR="00EE5B18" w:rsidRPr="003A3609">
        <w:rPr>
          <w:rFonts w:ascii="Times New Roman" w:hAnsi="Times New Roman" w:cs="Times New Roman"/>
          <w:sz w:val="24"/>
          <w:szCs w:val="24"/>
          <w:lang w:val="en-US"/>
        </w:rPr>
        <w:t>are the</w:t>
      </w:r>
      <w:r w:rsidRPr="003A3609">
        <w:rPr>
          <w:rFonts w:ascii="Times New Roman" w:hAnsi="Times New Roman" w:cs="Times New Roman"/>
          <w:sz w:val="24"/>
          <w:szCs w:val="24"/>
          <w:lang w:val="en-US"/>
        </w:rPr>
        <w:t xml:space="preserve"> volatility of foreign exchange rates, hence these businesses must have thorough risk control plans. </w:t>
      </w:r>
      <w:r w:rsidR="003A3609">
        <w:rPr>
          <w:rFonts w:ascii="Times New Roman" w:hAnsi="Times New Roman" w:cs="Times New Roman"/>
          <w:sz w:val="24"/>
          <w:szCs w:val="24"/>
          <w:lang w:val="en-US"/>
        </w:rPr>
        <w:t>In</w:t>
      </w:r>
      <w:r w:rsidRPr="003A3609">
        <w:rPr>
          <w:rFonts w:ascii="Times New Roman" w:hAnsi="Times New Roman" w:cs="Times New Roman"/>
          <w:sz w:val="24"/>
          <w:szCs w:val="24"/>
          <w:lang w:val="en-US"/>
        </w:rPr>
        <w:t xml:space="preserve"> this report, we have discussed many techniques MNCs use to lower FX risk. Among the several financial hedging strategies that let to lock in currency rates. </w:t>
      </w:r>
      <w:r w:rsidR="00CB7B20" w:rsidRPr="003A3609">
        <w:rPr>
          <w:rFonts w:ascii="Times New Roman" w:hAnsi="Times New Roman" w:cs="Times New Roman"/>
          <w:sz w:val="24"/>
          <w:szCs w:val="24"/>
          <w:lang w:val="en-US"/>
        </w:rPr>
        <w:t>And</w:t>
      </w:r>
      <w:r w:rsidRPr="003A3609">
        <w:rPr>
          <w:rFonts w:ascii="Times New Roman" w:hAnsi="Times New Roman" w:cs="Times New Roman"/>
          <w:sz w:val="24"/>
          <w:szCs w:val="24"/>
          <w:lang w:val="en-US"/>
        </w:rPr>
        <w:t xml:space="preserve"> </w:t>
      </w:r>
      <w:r w:rsidR="003A3609">
        <w:rPr>
          <w:rFonts w:ascii="Times New Roman" w:hAnsi="Times New Roman" w:cs="Times New Roman"/>
          <w:sz w:val="24"/>
          <w:szCs w:val="24"/>
          <w:lang w:val="en-US"/>
        </w:rPr>
        <w:t>helps</w:t>
      </w:r>
      <w:r w:rsidRPr="003A3609">
        <w:rPr>
          <w:rFonts w:ascii="Times New Roman" w:hAnsi="Times New Roman" w:cs="Times New Roman"/>
          <w:sz w:val="24"/>
          <w:szCs w:val="24"/>
          <w:lang w:val="en-US"/>
        </w:rPr>
        <w:t xml:space="preserve"> to reduce uncertainty are future, options, and swaps. Still, these tools have linked costs. They should be carefully considered in terms of suitability for the unique risk profile of the company.</w:t>
      </w:r>
    </w:p>
    <w:p w14:paraId="2BD862AC" w14:textId="3378EFB8" w:rsidR="002D643B" w:rsidRPr="003A3609" w:rsidRDefault="002D643B" w:rsidP="002D643B">
      <w:pPr>
        <w:spacing w:line="360" w:lineRule="auto"/>
        <w:ind w:firstLine="708"/>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Natural hedging and currency diversification are working solutions that match revenue sources with expenses in the same currency and distribute risk over other currencies, therefore offering a more comprehensive approach. These methods are naturally ingrained in the business operations even although they provide a long-lasting method to manage risk as they depend on strategic planning and great collaboration.</w:t>
      </w:r>
    </w:p>
    <w:p w14:paraId="24522694" w14:textId="453294E8" w:rsidR="00C63C86" w:rsidRPr="003A3609" w:rsidRDefault="00C63C86" w:rsidP="002D643B">
      <w:pPr>
        <w:pStyle w:val="Heading1"/>
        <w:spacing w:line="360" w:lineRule="auto"/>
        <w:jc w:val="center"/>
        <w:rPr>
          <w:rFonts w:ascii="Times New Roman" w:hAnsi="Times New Roman" w:cs="Times New Roman"/>
          <w:color w:val="auto"/>
          <w:sz w:val="24"/>
          <w:szCs w:val="24"/>
          <w:lang w:val="en-US"/>
        </w:rPr>
      </w:pPr>
      <w:bookmarkStart w:id="5" w:name="_Toc174291066"/>
      <w:r w:rsidRPr="003A3609">
        <w:rPr>
          <w:rFonts w:ascii="Times New Roman" w:hAnsi="Times New Roman" w:cs="Times New Roman"/>
          <w:color w:val="auto"/>
          <w:sz w:val="24"/>
          <w:szCs w:val="24"/>
          <w:lang w:val="en-US"/>
        </w:rPr>
        <w:lastRenderedPageBreak/>
        <w:t>References</w:t>
      </w:r>
      <w:bookmarkEnd w:id="5"/>
    </w:p>
    <w:p w14:paraId="12F1F10F" w14:textId="77777777" w:rsidR="002D643B" w:rsidRPr="003A3609" w:rsidRDefault="002D643B" w:rsidP="002D643B">
      <w:pPr>
        <w:spacing w:line="360" w:lineRule="auto"/>
        <w:jc w:val="both"/>
        <w:rPr>
          <w:rFonts w:ascii="Times New Roman" w:hAnsi="Times New Roman" w:cs="Times New Roman"/>
          <w:sz w:val="24"/>
          <w:szCs w:val="24"/>
          <w:lang w:val="en-US"/>
        </w:rPr>
      </w:pPr>
      <w:proofErr w:type="spellStart"/>
      <w:r w:rsidRPr="003A3609">
        <w:rPr>
          <w:rFonts w:ascii="Times New Roman" w:hAnsi="Times New Roman" w:cs="Times New Roman"/>
          <w:sz w:val="24"/>
          <w:szCs w:val="24"/>
          <w:lang w:val="en-US"/>
        </w:rPr>
        <w:t>Allayannis</w:t>
      </w:r>
      <w:proofErr w:type="spellEnd"/>
      <w:r w:rsidRPr="003A3609">
        <w:rPr>
          <w:rFonts w:ascii="Times New Roman" w:hAnsi="Times New Roman" w:cs="Times New Roman"/>
          <w:sz w:val="24"/>
          <w:szCs w:val="24"/>
          <w:lang w:val="en-US"/>
        </w:rPr>
        <w:t>, G., &amp; Weston, J. P. (2001). The use of foreign currency derivatives and firm market value. Review of Financial Studies, 14(1), 243-276.</w:t>
      </w:r>
    </w:p>
    <w:p w14:paraId="66B974E9"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Bartlett, C. A., &amp; Ghoshal, S. (1989). Managing Across Borders: The Transnational Solution. Harvard Business School Press.</w:t>
      </w:r>
    </w:p>
    <w:p w14:paraId="73C6EBC7"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Butler, K. C. (2012). Multinational Finance (5th ed.). John Wiley &amp; Sons.</w:t>
      </w:r>
    </w:p>
    <w:p w14:paraId="31502908" w14:textId="77777777" w:rsidR="002D643B" w:rsidRPr="003A3609" w:rsidRDefault="002D643B" w:rsidP="002D643B">
      <w:pPr>
        <w:spacing w:line="360" w:lineRule="auto"/>
        <w:jc w:val="both"/>
        <w:rPr>
          <w:rFonts w:ascii="Times New Roman" w:hAnsi="Times New Roman" w:cs="Times New Roman"/>
          <w:sz w:val="24"/>
          <w:szCs w:val="24"/>
          <w:lang w:val="en-US"/>
        </w:rPr>
      </w:pPr>
      <w:proofErr w:type="spellStart"/>
      <w:r w:rsidRPr="003A3609">
        <w:rPr>
          <w:rFonts w:ascii="Times New Roman" w:hAnsi="Times New Roman" w:cs="Times New Roman"/>
          <w:sz w:val="24"/>
          <w:szCs w:val="24"/>
          <w:lang w:val="en-US"/>
        </w:rPr>
        <w:t>Czinkota</w:t>
      </w:r>
      <w:proofErr w:type="spellEnd"/>
      <w:r w:rsidRPr="003A3609">
        <w:rPr>
          <w:rFonts w:ascii="Times New Roman" w:hAnsi="Times New Roman" w:cs="Times New Roman"/>
          <w:sz w:val="24"/>
          <w:szCs w:val="24"/>
          <w:lang w:val="en-US"/>
        </w:rPr>
        <w:t>, M. R., Ronkainen, I. A., &amp; Moffett, M. H. (2011). International Business (8th ed.). Wiley.</w:t>
      </w:r>
    </w:p>
    <w:p w14:paraId="6B42D592"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Dhanani, A., &amp; Groves, R. (2001). The management of strategic exchange risk: Evidence from corporate practices. Accounting and Business Research, 31(4), 275-290.</w:t>
      </w:r>
    </w:p>
    <w:p w14:paraId="7E082EAE"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Dunning, J. H. (2000). The eclectic paradigm as an envelope for economic and business theories of MNE activity. International Business Review, 9(2), 163-190.</w:t>
      </w:r>
    </w:p>
    <w:p w14:paraId="1AF3D81A" w14:textId="77777777" w:rsidR="002D643B" w:rsidRPr="003A3609" w:rsidRDefault="002D643B" w:rsidP="002D643B">
      <w:pPr>
        <w:spacing w:line="360" w:lineRule="auto"/>
        <w:jc w:val="both"/>
        <w:rPr>
          <w:rFonts w:ascii="Times New Roman" w:hAnsi="Times New Roman" w:cs="Times New Roman"/>
          <w:sz w:val="24"/>
          <w:szCs w:val="24"/>
          <w:lang w:val="en-US"/>
        </w:rPr>
      </w:pPr>
      <w:proofErr w:type="spellStart"/>
      <w:r w:rsidRPr="003A3609">
        <w:rPr>
          <w:rFonts w:ascii="Times New Roman" w:hAnsi="Times New Roman" w:cs="Times New Roman"/>
          <w:sz w:val="24"/>
          <w:szCs w:val="24"/>
          <w:lang w:val="en-US"/>
        </w:rPr>
        <w:t>Eiteman</w:t>
      </w:r>
      <w:proofErr w:type="spellEnd"/>
      <w:r w:rsidRPr="003A3609">
        <w:rPr>
          <w:rFonts w:ascii="Times New Roman" w:hAnsi="Times New Roman" w:cs="Times New Roman"/>
          <w:sz w:val="24"/>
          <w:szCs w:val="24"/>
          <w:lang w:val="en-US"/>
        </w:rPr>
        <w:t>, D. K., Stonehill, A. I., &amp; Moffett, M. H. (2019). Multinational Business Finance (14th ed.). Pearson.</w:t>
      </w:r>
    </w:p>
    <w:p w14:paraId="17B61FE9"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Géczy, C., Minton, B. A., &amp; Schrand, C. (1997). Why firms use currency derivatives. Journal of Finance, 52(4), 1323-1354.</w:t>
      </w:r>
    </w:p>
    <w:p w14:paraId="40F2E58B" w14:textId="77777777" w:rsidR="002D643B" w:rsidRPr="003A3609" w:rsidRDefault="002D643B" w:rsidP="002D643B">
      <w:pPr>
        <w:spacing w:line="360" w:lineRule="auto"/>
        <w:jc w:val="both"/>
        <w:rPr>
          <w:rFonts w:ascii="Times New Roman" w:hAnsi="Times New Roman" w:cs="Times New Roman"/>
          <w:sz w:val="24"/>
          <w:szCs w:val="24"/>
          <w:lang w:val="en-US"/>
        </w:rPr>
      </w:pPr>
      <w:proofErr w:type="spellStart"/>
      <w:r w:rsidRPr="003A3609">
        <w:rPr>
          <w:rFonts w:ascii="Times New Roman" w:hAnsi="Times New Roman" w:cs="Times New Roman"/>
          <w:sz w:val="24"/>
          <w:szCs w:val="24"/>
          <w:lang w:val="en-US"/>
        </w:rPr>
        <w:t>Jorion</w:t>
      </w:r>
      <w:proofErr w:type="spellEnd"/>
      <w:r w:rsidRPr="003A3609">
        <w:rPr>
          <w:rFonts w:ascii="Times New Roman" w:hAnsi="Times New Roman" w:cs="Times New Roman"/>
          <w:sz w:val="24"/>
          <w:szCs w:val="24"/>
          <w:lang w:val="en-US"/>
        </w:rPr>
        <w:t>, P. (2007). Value at Risk: The New Benchmark for Managing Financial Risk (3rd ed.). McGraw-Hill.</w:t>
      </w:r>
    </w:p>
    <w:p w14:paraId="415CCC4E"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Kogut, B., &amp; Kulatilaka, N. (1994). Operating flexibility, global manufacturing, and the option value of a multinational network. Management Science, 40(1), 123-139.</w:t>
      </w:r>
    </w:p>
    <w:p w14:paraId="201698C4"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Madura, J. (2011). International Financial Management (11th ed.). Cengage Learning.</w:t>
      </w:r>
    </w:p>
    <w:p w14:paraId="1DEF552C"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Madura, J. (2020). International Financial Management (13th ed.). Cengage Learning.</w:t>
      </w:r>
    </w:p>
    <w:p w14:paraId="01A334C8"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Miller, K. D., &amp; Reuer, J. J. (1998). Firm strategy and economic exposure to foreign exchange rate movements. Journal of International Business Studies, 29(3), 493-514.</w:t>
      </w:r>
    </w:p>
    <w:p w14:paraId="6D2C8E2E" w14:textId="77777777"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Papaioannou, M. G. (2006). Exchange rate risk measurement and management: Issues and approaches for firms. South-Eastern Europe Journal of Economics, 4(2), 129-146.</w:t>
      </w:r>
    </w:p>
    <w:p w14:paraId="096B8BB7" w14:textId="61577D63" w:rsidR="002D643B" w:rsidRPr="003A3609" w:rsidRDefault="002D643B" w:rsidP="002D643B">
      <w:pPr>
        <w:spacing w:line="360" w:lineRule="auto"/>
        <w:jc w:val="both"/>
        <w:rPr>
          <w:rFonts w:ascii="Times New Roman" w:hAnsi="Times New Roman" w:cs="Times New Roman"/>
          <w:sz w:val="24"/>
          <w:szCs w:val="24"/>
          <w:lang w:val="en-US"/>
        </w:rPr>
      </w:pPr>
      <w:r w:rsidRPr="003A3609">
        <w:rPr>
          <w:rFonts w:ascii="Times New Roman" w:hAnsi="Times New Roman" w:cs="Times New Roman"/>
          <w:sz w:val="24"/>
          <w:szCs w:val="24"/>
          <w:lang w:val="en-US"/>
        </w:rPr>
        <w:t>Shapiro, A. C. (2013). Multinational Financial Management (10th ed.). Wiley.</w:t>
      </w:r>
    </w:p>
    <w:p w14:paraId="07BDFE5C" w14:textId="77777777" w:rsidR="00C63C86" w:rsidRPr="003A3609" w:rsidRDefault="00C63C86">
      <w:pPr>
        <w:rPr>
          <w:rFonts w:ascii="Times New Roman" w:hAnsi="Times New Roman" w:cs="Times New Roman"/>
          <w:sz w:val="24"/>
          <w:szCs w:val="24"/>
          <w:lang w:val="en-US"/>
        </w:rPr>
      </w:pPr>
    </w:p>
    <w:p w14:paraId="29F359FB" w14:textId="77777777" w:rsidR="00C63C86" w:rsidRPr="003A3609" w:rsidRDefault="00C63C86">
      <w:pPr>
        <w:rPr>
          <w:rFonts w:ascii="Times New Roman" w:hAnsi="Times New Roman" w:cs="Times New Roman"/>
          <w:sz w:val="24"/>
          <w:szCs w:val="24"/>
          <w:lang w:val="en-US"/>
        </w:rPr>
      </w:pPr>
    </w:p>
    <w:p w14:paraId="78D2FF5C" w14:textId="77777777" w:rsidR="00C63C86" w:rsidRPr="003A3609" w:rsidRDefault="00C63C86">
      <w:pPr>
        <w:rPr>
          <w:rFonts w:ascii="Times New Roman" w:hAnsi="Times New Roman" w:cs="Times New Roman"/>
          <w:sz w:val="24"/>
          <w:szCs w:val="24"/>
          <w:lang w:val="en-US"/>
        </w:rPr>
      </w:pPr>
    </w:p>
    <w:sectPr w:rsidR="00C63C86" w:rsidRPr="003A3609" w:rsidSect="00E3228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75B4B5" w14:textId="77777777" w:rsidR="001E5275" w:rsidRDefault="001E5275" w:rsidP="00E32287">
      <w:pPr>
        <w:spacing w:after="0" w:line="240" w:lineRule="auto"/>
      </w:pPr>
      <w:r>
        <w:separator/>
      </w:r>
    </w:p>
  </w:endnote>
  <w:endnote w:type="continuationSeparator" w:id="0">
    <w:p w14:paraId="43265CED" w14:textId="77777777" w:rsidR="001E5275" w:rsidRDefault="001E5275" w:rsidP="00E32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2787770"/>
      <w:docPartObj>
        <w:docPartGallery w:val="Page Numbers (Bottom of Page)"/>
        <w:docPartUnique/>
      </w:docPartObj>
    </w:sdtPr>
    <w:sdtEndPr/>
    <w:sdtContent>
      <w:p w14:paraId="4E8EBA6D" w14:textId="1F02211E" w:rsidR="00E32287" w:rsidRDefault="00E32287">
        <w:pPr>
          <w:pStyle w:val="Footer"/>
          <w:jc w:val="center"/>
        </w:pPr>
        <w:r>
          <w:fldChar w:fldCharType="begin"/>
        </w:r>
        <w:r>
          <w:instrText>PAGE   \* MERGEFORMAT</w:instrText>
        </w:r>
        <w:r>
          <w:fldChar w:fldCharType="separate"/>
        </w:r>
        <w:r>
          <w:rPr>
            <w:lang w:val="en-GB"/>
          </w:rPr>
          <w:t>2</w:t>
        </w:r>
        <w:r>
          <w:fldChar w:fldCharType="end"/>
        </w:r>
      </w:p>
    </w:sdtContent>
  </w:sdt>
  <w:p w14:paraId="395F8CBF" w14:textId="77777777" w:rsidR="00E32287" w:rsidRDefault="00E32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B21659" w14:textId="77777777" w:rsidR="001E5275" w:rsidRDefault="001E5275" w:rsidP="00E32287">
      <w:pPr>
        <w:spacing w:after="0" w:line="240" w:lineRule="auto"/>
      </w:pPr>
      <w:r>
        <w:separator/>
      </w:r>
    </w:p>
  </w:footnote>
  <w:footnote w:type="continuationSeparator" w:id="0">
    <w:p w14:paraId="783E7CE1" w14:textId="77777777" w:rsidR="001E5275" w:rsidRDefault="001E5275" w:rsidP="00E322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31B"/>
    <w:rsid w:val="000B16BF"/>
    <w:rsid w:val="000C12D9"/>
    <w:rsid w:val="000F5A8D"/>
    <w:rsid w:val="001B131B"/>
    <w:rsid w:val="001D7687"/>
    <w:rsid w:val="001E5275"/>
    <w:rsid w:val="002D643B"/>
    <w:rsid w:val="003214D4"/>
    <w:rsid w:val="003A3609"/>
    <w:rsid w:val="003F6AC4"/>
    <w:rsid w:val="004C0B80"/>
    <w:rsid w:val="005F478E"/>
    <w:rsid w:val="00730130"/>
    <w:rsid w:val="00883158"/>
    <w:rsid w:val="008A69FC"/>
    <w:rsid w:val="00AA57FE"/>
    <w:rsid w:val="00AF28F1"/>
    <w:rsid w:val="00C63C86"/>
    <w:rsid w:val="00CB7B20"/>
    <w:rsid w:val="00CC6E26"/>
    <w:rsid w:val="00D551B4"/>
    <w:rsid w:val="00D76374"/>
    <w:rsid w:val="00DF0B20"/>
    <w:rsid w:val="00E32287"/>
    <w:rsid w:val="00EE5B18"/>
    <w:rsid w:val="00EE7BEB"/>
    <w:rsid w:val="00F97211"/>
    <w:rsid w:val="00FE00FB"/>
    <w:rsid w:val="00FE66B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3949AD"/>
  <w15:chartTrackingRefBased/>
  <w15:docId w15:val="{BFDB7C94-C906-4F2E-8270-43B57268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22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28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322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287"/>
  </w:style>
  <w:style w:type="paragraph" w:styleId="Footer">
    <w:name w:val="footer"/>
    <w:basedOn w:val="Normal"/>
    <w:link w:val="FooterChar"/>
    <w:uiPriority w:val="99"/>
    <w:unhideWhenUsed/>
    <w:rsid w:val="00E322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287"/>
  </w:style>
  <w:style w:type="paragraph" w:styleId="TOCHeading">
    <w:name w:val="TOC Heading"/>
    <w:basedOn w:val="Heading1"/>
    <w:next w:val="Normal"/>
    <w:uiPriority w:val="39"/>
    <w:unhideWhenUsed/>
    <w:qFormat/>
    <w:rsid w:val="002D643B"/>
    <w:pPr>
      <w:outlineLvl w:val="9"/>
    </w:pPr>
    <w:rPr>
      <w:kern w:val="0"/>
      <w:lang w:eastAsia="bg-BG"/>
      <w14:ligatures w14:val="none"/>
    </w:rPr>
  </w:style>
  <w:style w:type="paragraph" w:styleId="TOC1">
    <w:name w:val="toc 1"/>
    <w:basedOn w:val="Normal"/>
    <w:next w:val="Normal"/>
    <w:autoRedefine/>
    <w:uiPriority w:val="39"/>
    <w:unhideWhenUsed/>
    <w:rsid w:val="002D643B"/>
    <w:pPr>
      <w:spacing w:after="100"/>
    </w:pPr>
  </w:style>
  <w:style w:type="character" w:styleId="Hyperlink">
    <w:name w:val="Hyperlink"/>
    <w:basedOn w:val="DefaultParagraphFont"/>
    <w:uiPriority w:val="99"/>
    <w:unhideWhenUsed/>
    <w:rsid w:val="002D643B"/>
    <w:rPr>
      <w:color w:val="0563C1" w:themeColor="hyperlink"/>
      <w:u w:val="single"/>
    </w:rPr>
  </w:style>
  <w:style w:type="paragraph" w:styleId="NormalWeb">
    <w:name w:val="Normal (Web)"/>
    <w:basedOn w:val="Normal"/>
    <w:uiPriority w:val="99"/>
    <w:unhideWhenUsed/>
    <w:rsid w:val="000B16BF"/>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60905">
      <w:bodyDiv w:val="1"/>
      <w:marLeft w:val="0"/>
      <w:marRight w:val="0"/>
      <w:marTop w:val="0"/>
      <w:marBottom w:val="0"/>
      <w:divBdr>
        <w:top w:val="none" w:sz="0" w:space="0" w:color="auto"/>
        <w:left w:val="none" w:sz="0" w:space="0" w:color="auto"/>
        <w:bottom w:val="none" w:sz="0" w:space="0" w:color="auto"/>
        <w:right w:val="none" w:sz="0" w:space="0" w:color="auto"/>
      </w:divBdr>
    </w:div>
    <w:div w:id="795299958">
      <w:bodyDiv w:val="1"/>
      <w:marLeft w:val="0"/>
      <w:marRight w:val="0"/>
      <w:marTop w:val="0"/>
      <w:marBottom w:val="0"/>
      <w:divBdr>
        <w:top w:val="none" w:sz="0" w:space="0" w:color="auto"/>
        <w:left w:val="none" w:sz="0" w:space="0" w:color="auto"/>
        <w:bottom w:val="none" w:sz="0" w:space="0" w:color="auto"/>
        <w:right w:val="none" w:sz="0" w:space="0" w:color="auto"/>
      </w:divBdr>
    </w:div>
    <w:div w:id="176364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72E98-437B-4E06-922C-017D66D87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8</Pages>
  <Words>1765</Words>
  <Characters>10351</Characters>
  <Application>Microsoft Office Word</Application>
  <DocSecurity>0</DocSecurity>
  <Lines>178</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Desislava Nikolova</cp:lastModifiedBy>
  <cp:revision>7</cp:revision>
  <dcterms:created xsi:type="dcterms:W3CDTF">2024-08-11T13:14:00Z</dcterms:created>
  <dcterms:modified xsi:type="dcterms:W3CDTF">2024-08-14T18:04:00Z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f196f6b8efd9fd0badf217af4527cf8ca125454d95fc4ea658de3f33996e1728</vt:lpwstr>
  </property>
</Properties>
</file>