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348444" w14:textId="6CB59696" w:rsidR="00AD0A40" w:rsidRDefault="004978B2">
      <w:pPr>
        <w:rPr>
          <w:b/>
        </w:rPr>
      </w:pPr>
      <w:r w:rsidRPr="004978B2">
        <w:rPr>
          <w:b/>
        </w:rPr>
        <w:t>How can anthropol</w:t>
      </w:r>
      <w:r>
        <w:rPr>
          <w:b/>
        </w:rPr>
        <w:t>o</w:t>
      </w:r>
      <w:r w:rsidRPr="004978B2">
        <w:rPr>
          <w:b/>
        </w:rPr>
        <w:t>gical studies of 'the body' help us understand social hierarchies?</w:t>
      </w:r>
    </w:p>
    <w:p w14:paraId="5875490F" w14:textId="3B58C8D0" w:rsidR="00D80F63" w:rsidRDefault="009D31BB" w:rsidP="004978B2">
      <w:pPr>
        <w:spacing w:after="0"/>
      </w:pPr>
      <w:r>
        <w:t xml:space="preserve">Anthropological studies often reveal hierarchical structures </w:t>
      </w:r>
      <w:r w:rsidR="0048170A">
        <w:t xml:space="preserve">which are </w:t>
      </w:r>
      <w:r>
        <w:t>based on biological characteristics</w:t>
      </w:r>
      <w:r w:rsidR="00FC6667">
        <w:t xml:space="preserve"> and differences</w:t>
      </w:r>
      <w:r>
        <w:t>.</w:t>
      </w:r>
      <w:r w:rsidR="00F4573E">
        <w:t xml:space="preserve"> </w:t>
      </w:r>
      <w:r w:rsidR="00FC6667">
        <w:t xml:space="preserve">Assessing </w:t>
      </w:r>
      <w:r w:rsidR="00FA5AB1">
        <w:t>the ways in which</w:t>
      </w:r>
      <w:r w:rsidR="00FC6667">
        <w:t xml:space="preserve"> human bodies</w:t>
      </w:r>
      <w:r w:rsidR="00FA5AB1">
        <w:t xml:space="preserve"> are classified</w:t>
      </w:r>
      <w:r w:rsidR="00FC6667">
        <w:t>, such as sex, is crucial to anthropological understanding of how social inequality and hierarchy are produced across various societies.</w:t>
      </w:r>
      <w:r w:rsidR="00D80F63">
        <w:t xml:space="preserve"> This essay will examine the connections between the body and societal order.</w:t>
      </w:r>
    </w:p>
    <w:p w14:paraId="17A06094" w14:textId="19627F23" w:rsidR="00744CA3" w:rsidRPr="004978B2" w:rsidRDefault="00AD4071" w:rsidP="00744CA3">
      <w:pPr>
        <w:spacing w:after="0"/>
      </w:pPr>
      <w:r>
        <w:tab/>
      </w:r>
      <w:r w:rsidR="009B6A29">
        <w:t>Gender is an arguably universal division within societies. According to Miller</w:t>
      </w:r>
      <w:r w:rsidR="002F08BB">
        <w:t xml:space="preserve"> (1993)</w:t>
      </w:r>
      <w:r w:rsidR="009B6A29">
        <w:t>, all primate societies have gender distinctions, but not all have gender hierarchies.</w:t>
      </w:r>
      <w:r w:rsidR="00A775D8">
        <w:t xml:space="preserve"> </w:t>
      </w:r>
      <w:r w:rsidR="00E74E99">
        <w:t>It is important when discussing gender that a distinction is made from sex. As Oakley (19</w:t>
      </w:r>
      <w:r w:rsidR="006013E6">
        <w:t>85</w:t>
      </w:r>
      <w:r w:rsidR="00E74E99">
        <w:t xml:space="preserve">) identifies: ‘sex’ refers to biological differences – </w:t>
      </w:r>
      <w:r w:rsidR="002F37AC">
        <w:t xml:space="preserve">ie. </w:t>
      </w:r>
      <w:r w:rsidR="00E74E99">
        <w:t>male</w:t>
      </w:r>
      <w:r w:rsidR="002F37AC">
        <w:t xml:space="preserve"> and </w:t>
      </w:r>
      <w:r w:rsidR="00E74E99">
        <w:t xml:space="preserve">female – while ‘gender’ is a cultural classification – </w:t>
      </w:r>
      <w:r w:rsidR="002F37AC">
        <w:t xml:space="preserve">ie. </w:t>
      </w:r>
      <w:r w:rsidR="00E74E99">
        <w:t>masculine</w:t>
      </w:r>
      <w:r w:rsidR="002F37AC">
        <w:t xml:space="preserve"> and </w:t>
      </w:r>
      <w:r w:rsidR="00E74E99">
        <w:t>feminine, man</w:t>
      </w:r>
      <w:r w:rsidR="002F37AC">
        <w:t xml:space="preserve"> and </w:t>
      </w:r>
      <w:r w:rsidR="00E74E99">
        <w:t xml:space="preserve">woman. </w:t>
      </w:r>
      <w:r w:rsidR="00A775D8">
        <w:t>Gender is a socially constructed system of expected behaviours based on sexual characteristics. Many societies hold a dichotomous view of gender, and cultural distinctions between genders often lead to hierarchy.</w:t>
      </w:r>
    </w:p>
    <w:p w14:paraId="57C35926" w14:textId="0FD7139A" w:rsidR="00A775D8" w:rsidRDefault="006013E6" w:rsidP="004978B2">
      <w:pPr>
        <w:spacing w:after="0"/>
      </w:pPr>
      <w:r>
        <w:tab/>
      </w:r>
      <w:r w:rsidR="002F08BB">
        <w:t xml:space="preserve">From a scientific perspective, gender hierarchies do not make sense, because gender is a cultural variable, whereas sex is a biological constant (Miller, 1993). Therefore, it is not </w:t>
      </w:r>
      <w:r w:rsidR="002F37AC">
        <w:t xml:space="preserve">the </w:t>
      </w:r>
      <w:r w:rsidR="002F08BB">
        <w:t xml:space="preserve">differences between bodies which lead to gender hierarchy, but </w:t>
      </w:r>
      <w:r w:rsidR="002F37AC">
        <w:t xml:space="preserve">the </w:t>
      </w:r>
      <w:r w:rsidR="002F08BB">
        <w:t>cultural perceptions of these differences. According to the hunting hypothesis, gender division and hierarchy within early human society arose from biological differences which meant that males were better suited to hunting than females, and therefore controlled food and subsistence. However, the gathering hypothesis provides strong evidence against this, in that early humans appear to have been biologically more adapted to a primarily plant-based diet, and that females would have had a more active role than males in gathering, as they often do in contemporary gatherer-hunter communities.</w:t>
      </w:r>
      <w:r w:rsidR="00346092">
        <w:t xml:space="preserve"> For example, within the Mbuti</w:t>
      </w:r>
      <w:r w:rsidR="002F08BB">
        <w:t xml:space="preserve"> </w:t>
      </w:r>
      <w:r w:rsidR="00346092">
        <w:t>society, women are typically the gatherers of food (Turnbull, 196</w:t>
      </w:r>
      <w:r w:rsidR="009117DF">
        <w:t xml:space="preserve">5). </w:t>
      </w:r>
      <w:r w:rsidR="002F08BB">
        <w:t>Even when we examine roles of subsistence among close primate relatives of modern humans, it is not possible to draw</w:t>
      </w:r>
      <w:r w:rsidR="002F37AC">
        <w:t xml:space="preserve"> any</w:t>
      </w:r>
      <w:r w:rsidR="002F08BB">
        <w:t xml:space="preserve"> direct correlation between distribution of labour and physiology.</w:t>
      </w:r>
      <w:r w:rsidR="00507A7D">
        <w:t xml:space="preserve"> </w:t>
      </w:r>
      <w:r w:rsidR="00B20568">
        <w:t xml:space="preserve">For example, chimpanzee populations vary widely in the division of labour – both males and females make and use tools and gather food. Individual ability accounts for much more of the difference </w:t>
      </w:r>
      <w:r w:rsidR="005D3801">
        <w:t>in behaviour here than sex.</w:t>
      </w:r>
      <w:r w:rsidR="002F08BB">
        <w:t xml:space="preserve"> </w:t>
      </w:r>
      <w:r w:rsidR="00E17B8C">
        <w:t>Ergo</w:t>
      </w:r>
      <w:r w:rsidR="002F08BB">
        <w:t>, there is little evidence for an evolutionary explanation for gender hierarchies (</w:t>
      </w:r>
      <w:proofErr w:type="spellStart"/>
      <w:r w:rsidR="002F08BB">
        <w:t>Zihlman</w:t>
      </w:r>
      <w:proofErr w:type="spellEnd"/>
      <w:r w:rsidR="002F08BB">
        <w:t>, 1993).</w:t>
      </w:r>
      <w:r w:rsidR="005D3801">
        <w:t xml:space="preserve"> Sex hierarchies make little sense as individuals vary too much and intellectual factors play too much of a part in the division of labour </w:t>
      </w:r>
      <w:r w:rsidR="006907D2">
        <w:t>as well as</w:t>
      </w:r>
      <w:r w:rsidR="005D3801">
        <w:t xml:space="preserve"> in social behaviour. Gender hierarchy, on the other hand, is entirely cultural and thus can be explained as an attempt to order and simplify an otherwise extremely complicated society. Classifying all members of a society according to a simple binary hides the issue of complexity and variety in individuals. This explanation, however, does not cover why these different categories of person have to be placed above one another</w:t>
      </w:r>
      <w:r w:rsidR="006C3C61">
        <w:t>.</w:t>
      </w:r>
    </w:p>
    <w:p w14:paraId="7E65A3F1" w14:textId="4B298AF5" w:rsidR="00D46F3B" w:rsidRDefault="00E17B8C" w:rsidP="004978B2">
      <w:pPr>
        <w:spacing w:after="0"/>
      </w:pPr>
      <w:r>
        <w:tab/>
        <w:t>It can thus be argued that gender hierarchies are not related to the body, however this does not mean that studies of the body cannot aid anthropologists in understanding gender hierarchies. Across human society, people are classified according to their sex, and almost always expected to behave in specific ways based on sex. Ignoring the possible evolutionary origins of gender, it is a concept which is congenitally linked to biology in the eyes of human society.</w:t>
      </w:r>
    </w:p>
    <w:p w14:paraId="78E52B7A" w14:textId="7C9E373D" w:rsidR="007C7409" w:rsidRDefault="0041779E" w:rsidP="004978B2">
      <w:pPr>
        <w:spacing w:after="0"/>
      </w:pPr>
      <w:r>
        <w:tab/>
        <w:t>Examining how different societies perceive divinity may provide valuable insight into gender hierarchies</w:t>
      </w:r>
      <w:r w:rsidR="00902AF9">
        <w:t>, as physical similarities to deities may be interpreted as a spiritual or mental closeness. For example, the major worldwide religions of Christianity, Judaism and Islam all have a single God, who in each case is typically portrayed as male. This may help to explain sex hierarchies within the cultures of predominantly Christian, Jewish and Muslim countries or societies.</w:t>
      </w:r>
      <w:r w:rsidR="00B52D53">
        <w:t xml:space="preserve"> </w:t>
      </w:r>
      <w:r w:rsidR="006D14A7">
        <w:t xml:space="preserve">Therefore, it can be argued that the study of the body is not in itself useful to anthropological understanding of </w:t>
      </w:r>
      <w:r w:rsidR="00530333">
        <w:t>gender</w:t>
      </w:r>
      <w:r w:rsidR="006D14A7">
        <w:t xml:space="preserve"> hierarchies; an understanding of how people </w:t>
      </w:r>
      <w:proofErr w:type="gramStart"/>
      <w:r w:rsidR="006D14A7">
        <w:t>perceive</w:t>
      </w:r>
      <w:proofErr w:type="gramEnd"/>
      <w:r w:rsidR="006D14A7">
        <w:t xml:space="preserve"> and mould bodies is only useful </w:t>
      </w:r>
      <w:r w:rsidR="000C0EB0">
        <w:t>in the context of cosmology and/or other social factors</w:t>
      </w:r>
      <w:r w:rsidR="00530333">
        <w:t>.</w:t>
      </w:r>
    </w:p>
    <w:p w14:paraId="64E02020" w14:textId="3DFA1A75" w:rsidR="0042735F" w:rsidRDefault="00D1537B" w:rsidP="004978B2">
      <w:pPr>
        <w:spacing w:after="0"/>
      </w:pPr>
      <w:r>
        <w:tab/>
        <w:t xml:space="preserve">In contrast </w:t>
      </w:r>
      <w:r w:rsidR="006C3C61">
        <w:t>with</w:t>
      </w:r>
      <w:r>
        <w:t xml:space="preserve"> these examples, other systems of belief, such as Paganism, have female deities. It can be argued that societies which adhere to systems of belief such as this are more egalitarian. For example, both men and women can be spiritual leaders and perform various rituals and rites which play a significant role in society (</w:t>
      </w:r>
      <w:proofErr w:type="spellStart"/>
      <w:r>
        <w:t>eg.</w:t>
      </w:r>
      <w:proofErr w:type="spellEnd"/>
      <w:r>
        <w:t xml:space="preserve"> marriage)</w:t>
      </w:r>
      <w:r w:rsidR="0078494D">
        <w:t>, giving them more equal standing in society.</w:t>
      </w:r>
      <w:r w:rsidR="009E4520">
        <w:t xml:space="preserve"> However, this is not always the case, as in strict Hindu communities, for example, women have a much lower social standing than men despite the belief in female deities.</w:t>
      </w:r>
    </w:p>
    <w:p w14:paraId="7D903867" w14:textId="73B2E733" w:rsidR="00CC56F2" w:rsidRDefault="009E4520" w:rsidP="0042735F">
      <w:pPr>
        <w:spacing w:after="0"/>
        <w:ind w:firstLine="720"/>
      </w:pPr>
      <w:r>
        <w:lastRenderedPageBreak/>
        <w:t xml:space="preserve">Given that social expectations of people’s behaviour (gender) </w:t>
      </w:r>
      <w:r w:rsidR="006C3C61">
        <w:t>are</w:t>
      </w:r>
      <w:r>
        <w:t xml:space="preserve"> based heavily on their body type (sex), it is possible that the subjugation of people based on sex stems from their non-conformity to the gendered roles </w:t>
      </w:r>
      <w:r w:rsidR="006907D2">
        <w:t xml:space="preserve">which may generally be </w:t>
      </w:r>
      <w:r>
        <w:t xml:space="preserve">expected of them. </w:t>
      </w:r>
      <w:r w:rsidR="00310217">
        <w:t>Numerous cultures around the world recognise the existence of a third gender, other than male and female. Within many of these cultures, people who are categorised as belonging to a third gender are otherised and subordinated. In our own culture, transgender and non-binary people are often denied rights and privileges afforded to cisgender people.</w:t>
      </w:r>
      <w:r w:rsidR="005B688B">
        <w:t xml:space="preserve"> In 2017, 40% of trans people in the UK experienced hate crime (Stonewall, 2017).</w:t>
      </w:r>
      <w:r w:rsidR="00310217">
        <w:t xml:space="preserve"> This suggests that </w:t>
      </w:r>
      <w:r w:rsidR="00986434">
        <w:t>perceptions of the body are the indirect cause of social hierarchies, as it is the strict rules regarding how people can behave according to their biology which lead those who do not conform to such rules to be subjugated.</w:t>
      </w:r>
    </w:p>
    <w:p w14:paraId="315C8671" w14:textId="53B0FFD9" w:rsidR="006907D2" w:rsidRDefault="006907D2" w:rsidP="0042735F">
      <w:pPr>
        <w:spacing w:after="0"/>
        <w:ind w:firstLine="720"/>
      </w:pPr>
      <w:r>
        <w:t xml:space="preserve">Furthermore, the ways in which individuals shape their identity through their body is significant in the understanding of social hierarchies. According to Judith Butler, ‘gender’ is something which people perform, as opposed to something that they are (cited in </w:t>
      </w:r>
      <w:r w:rsidR="0007408D">
        <w:t>Joyce, 2000). This suggests that there is a particular standard for the performance of gender and a set of particular ways in which people ought to mould and display their identity. This being the case presents yet more ways in which people can fail to meet the high standard imposed by society and thereby provides more scope for the hierarchisation of individuals. People can easily fail to attain high social status through inadequate performance of their gender identity.</w:t>
      </w:r>
    </w:p>
    <w:p w14:paraId="1A699A77" w14:textId="20BBD896" w:rsidR="00986434" w:rsidRDefault="00986434" w:rsidP="004978B2">
      <w:pPr>
        <w:spacing w:after="0"/>
      </w:pPr>
      <w:r>
        <w:tab/>
        <w:t xml:space="preserve">In addition to the subordination of third gender individuals, the recognition in itself of third genders can be seen as a form of otherisation and creation of a social hierarchy; people who don’t strictly observe the social rules of their sex are classified in a way which </w:t>
      </w:r>
      <w:r w:rsidR="005B688B">
        <w:t xml:space="preserve">makes them separate from the majority and thus categorises them as </w:t>
      </w:r>
      <w:r w:rsidR="006C3C61">
        <w:t xml:space="preserve">in some way </w:t>
      </w:r>
      <w:r w:rsidR="005B688B">
        <w:t xml:space="preserve">abnormal. For example, in what is now </w:t>
      </w:r>
      <w:r w:rsidR="006907D2">
        <w:t xml:space="preserve">known as </w:t>
      </w:r>
      <w:r w:rsidR="005B688B">
        <w:t>Benin, women who were seen to have ‘masculine’ traits such as aggression and did not have children were known as the ‘Mino’ (</w:t>
      </w:r>
      <w:r w:rsidR="009A7110">
        <w:t>PBS, 2015</w:t>
      </w:r>
      <w:r w:rsidR="005B688B">
        <w:t>), suggesting that there was no way a person could be aggressive or lack strong maternal instinct and still be</w:t>
      </w:r>
      <w:r w:rsidR="00F52A47">
        <w:t xml:space="preserve"> seen</w:t>
      </w:r>
      <w:r w:rsidR="005B688B">
        <w:t xml:space="preserve"> as a woman.</w:t>
      </w:r>
      <w:r w:rsidR="00AE6DC8">
        <w:t xml:space="preserve"> Douglas (1966) claims that “by exaggerating the difference between…male and female…a semblance of order is created.”</w:t>
      </w:r>
      <w:r w:rsidR="00B221F1">
        <w:t xml:space="preserve"> Societies attempt to order themselves by polarising different types of people</w:t>
      </w:r>
      <w:r w:rsidR="00F43BFB">
        <w:t xml:space="preserve">, and </w:t>
      </w:r>
      <w:r w:rsidR="00B01CE5">
        <w:t>therefore people who do not ‘fit’ into the strict dichotomy are a threat to the order of society and consequently must be placed in a lower position.</w:t>
      </w:r>
    </w:p>
    <w:p w14:paraId="12B8AB69" w14:textId="2F5AAED9" w:rsidR="00A304F4" w:rsidRDefault="004E0926" w:rsidP="00FA5AB1">
      <w:pPr>
        <w:spacing w:after="0"/>
      </w:pPr>
      <w:r>
        <w:tab/>
      </w:r>
      <w:r w:rsidR="00EE1ECF">
        <w:t>Underlying</w:t>
      </w:r>
      <w:r>
        <w:t xml:space="preserve"> </w:t>
      </w:r>
      <w:r w:rsidR="00FA0058">
        <w:t>sex</w:t>
      </w:r>
      <w:r>
        <w:t xml:space="preserve"> hierarchies, there are often concerns around purity and pollution. Menstruation is commonly seen as polluting, and in our own society is still </w:t>
      </w:r>
      <w:r w:rsidR="00A304F4">
        <w:t>viewed negatively and generally with a sense of fear</w:t>
      </w:r>
      <w:r w:rsidR="001C0C6A">
        <w:t xml:space="preserve"> or disgust.</w:t>
      </w:r>
      <w:r w:rsidR="00EE7B57">
        <w:t xml:space="preserve"> </w:t>
      </w:r>
      <w:r w:rsidR="00945065">
        <w:t xml:space="preserve">Among the </w:t>
      </w:r>
      <w:proofErr w:type="spellStart"/>
      <w:r w:rsidR="00945065">
        <w:t>Nyakyusa</w:t>
      </w:r>
      <w:proofErr w:type="spellEnd"/>
      <w:r w:rsidR="00945065">
        <w:t>, menstrual blood is seen as inherently dangerous to men</w:t>
      </w:r>
      <w:r w:rsidR="00872623">
        <w:t>;</w:t>
      </w:r>
      <w:r w:rsidR="00945065">
        <w:t xml:space="preserve"> </w:t>
      </w:r>
      <w:r w:rsidR="00872623">
        <w:t>a woman who is menstruating is prohibited from cooking for a man, and sex with a menstruating woman is considered to be a cause of misfortune or harm (Douglas, 1966).</w:t>
      </w:r>
      <w:r w:rsidR="00FA0058">
        <w:t xml:space="preserve"> This perception of women as impure and polluting may help to explain </w:t>
      </w:r>
      <w:r w:rsidR="009C3A5A">
        <w:t>why they are so consistently treated as inferior to men.</w:t>
      </w:r>
    </w:p>
    <w:p w14:paraId="44F2945F" w14:textId="38489675" w:rsidR="00B96854" w:rsidRDefault="00B96854" w:rsidP="00FA5AB1">
      <w:pPr>
        <w:spacing w:after="0"/>
      </w:pPr>
      <w:r>
        <w:tab/>
        <w:t>The issue of purity also links to cosmology. According to the Bible, for example, it is the fault of the first woman, Eve, that all human beings are born with sin and impurity. This is sometimes used as a justification for the subordination of women in Christian societies</w:t>
      </w:r>
      <w:r w:rsidR="006E6E9F">
        <w:t xml:space="preserve">. However, it must be asked why Christianity teaches this. Unless one subscribes to the Christian doctrine, they surely must assume that the story of Adam and Eve and the concept of ‘original sin’ stems from already existent gender bias; women were already seen as impure, and </w:t>
      </w:r>
      <w:r w:rsidR="0029078C">
        <w:t xml:space="preserve">this story </w:t>
      </w:r>
      <w:proofErr w:type="gramStart"/>
      <w:r w:rsidR="0029078C">
        <w:t>offers an explanation of</w:t>
      </w:r>
      <w:proofErr w:type="gramEnd"/>
      <w:r w:rsidR="0029078C">
        <w:t xml:space="preserve"> why th</w:t>
      </w:r>
      <w:r w:rsidR="006907D2">
        <w:t>is may be the case</w:t>
      </w:r>
      <w:r w:rsidR="0029078C">
        <w:t xml:space="preserve">. </w:t>
      </w:r>
      <w:r w:rsidR="009A7110">
        <w:t xml:space="preserve">Similarly, the idea of perceptions of divinity explaining gender hierarchy can also be thrown into question in this way. A hunting god, for instance, may be seen as male. But is it because of this that hunting is seen as a male pursuit or is it the reverse? </w:t>
      </w:r>
      <w:r w:rsidR="0029078C">
        <w:t>Consequently, studies of the body are more valuable, in this context, as a means of understanding gender hierarchies</w:t>
      </w:r>
      <w:r w:rsidR="005C780E">
        <w:t xml:space="preserve"> than studies of cosmology</w:t>
      </w:r>
      <w:r w:rsidR="0029078C">
        <w:t>.</w:t>
      </w:r>
    </w:p>
    <w:p w14:paraId="49AE29CD" w14:textId="7F41E9D2" w:rsidR="00A721D0" w:rsidRDefault="00A721D0" w:rsidP="00FA5AB1">
      <w:pPr>
        <w:spacing w:after="0"/>
      </w:pPr>
      <w:r>
        <w:tab/>
        <w:t>Purity of the body can also be viewed metaphorically in terms of social hierarchies. Thus far I have explored reason</w:t>
      </w:r>
      <w:r w:rsidR="005C780E">
        <w:t>s</w:t>
      </w:r>
      <w:r>
        <w:t xml:space="preserve"> why particular people may be at particular places within </w:t>
      </w:r>
      <w:r w:rsidR="005C780E">
        <w:t xml:space="preserve">a </w:t>
      </w:r>
      <w:r>
        <w:t>social hierarch</w:t>
      </w:r>
      <w:r w:rsidR="005C780E">
        <w:t>y</w:t>
      </w:r>
      <w:r>
        <w:t xml:space="preserve">, and how specific hierarchies may have come to exist. I will next examine </w:t>
      </w:r>
      <w:r w:rsidR="008F3DA3">
        <w:t xml:space="preserve">how hierarchies function as social structures and how </w:t>
      </w:r>
      <w:r w:rsidR="00386ED8">
        <w:t xml:space="preserve">they are influenced by </w:t>
      </w:r>
      <w:r w:rsidR="008F3DA3">
        <w:t>ideas about pollutio</w:t>
      </w:r>
      <w:r w:rsidR="00386ED8">
        <w:t>n and danger</w:t>
      </w:r>
      <w:r w:rsidR="008F3DA3">
        <w:t>.</w:t>
      </w:r>
    </w:p>
    <w:p w14:paraId="56382AA5" w14:textId="629BB362" w:rsidR="006907D2" w:rsidRDefault="00A721D0" w:rsidP="00FA5AB1">
      <w:pPr>
        <w:spacing w:after="0"/>
      </w:pPr>
      <w:r>
        <w:tab/>
      </w:r>
      <w:r w:rsidR="00857D94">
        <w:t xml:space="preserve">As Douglas (1966) notes, the body can be used as a symbol for the boundaries of society. The Hindu caste system is represented by the body of the god of creation, Brahma. </w:t>
      </w:r>
      <w:r w:rsidR="00606AD7">
        <w:t xml:space="preserve">The highest in Hindu society (the Brahmins) were seen to come from the head of Brahma, while the Shudras, the lowest, came from the feet, and other castes in between (BBC, 2017). </w:t>
      </w:r>
      <w:r w:rsidR="008F3DA3">
        <w:t xml:space="preserve">This example demonstrates that, in order to understand how social hierarchies work, we must </w:t>
      </w:r>
      <w:r w:rsidR="008F3DA3">
        <w:lastRenderedPageBreak/>
        <w:t xml:space="preserve">first understand how people interpret the body and acknowledge the parallels between bodily pollution and social order. For example, </w:t>
      </w:r>
      <w:r w:rsidR="00EF4051">
        <w:t xml:space="preserve">feet can be seen as polluting because they are in frequent contact with the ground, and therefore </w:t>
      </w:r>
      <w:r w:rsidR="00386ED8">
        <w:t>bringing the feet into contact with the head would be con</w:t>
      </w:r>
      <w:r w:rsidR="005C780E">
        <w:t>sidered to contaminate</w:t>
      </w:r>
      <w:r w:rsidR="00386ED8">
        <w:t>. Similarly, bringing</w:t>
      </w:r>
      <w:r w:rsidR="005C780E">
        <w:t xml:space="preserve"> people of</w:t>
      </w:r>
      <w:r w:rsidR="00386ED8">
        <w:t xml:space="preserve"> lower castes into close contact with those of a higher caste would cause pollution and endanger the social order. </w:t>
      </w:r>
      <w:r w:rsidR="00832A42">
        <w:t>Just as the body is to be protected from outside pollution, so is society, and social hierarchies help to maintain order and purity just as the body is maintained in such a way as to limit and manage contamination.</w:t>
      </w:r>
    </w:p>
    <w:p w14:paraId="0A3DA221" w14:textId="6F08E56C" w:rsidR="005858E1" w:rsidRDefault="005858E1" w:rsidP="00FA5AB1">
      <w:pPr>
        <w:spacing w:after="0"/>
      </w:pPr>
      <w:r>
        <w:tab/>
        <w:t>Body modification is another factor in social hierarchy. Individuals commonly modify their physical appearance in order to indicate their belonging to a particular group within a society. There are many example</w:t>
      </w:r>
      <w:r w:rsidR="00147750">
        <w:t>s</w:t>
      </w:r>
      <w:r>
        <w:t xml:space="preserve"> of this</w:t>
      </w:r>
      <w:r w:rsidR="00147750">
        <w:t>, such as the Mende of Sierra Leone; young people are scarred to mark their adult integration into a specific tribe (</w:t>
      </w:r>
      <w:r w:rsidR="00824392">
        <w:t>Anderson-</w:t>
      </w:r>
      <w:proofErr w:type="spellStart"/>
      <w:r w:rsidR="00824392">
        <w:t>Fye</w:t>
      </w:r>
      <w:proofErr w:type="spellEnd"/>
      <w:r w:rsidR="00824392">
        <w:t>, 2012)</w:t>
      </w:r>
      <w:r w:rsidR="00147750">
        <w:t>. It is thus demonstrated that physical appearance can be directly related to social order, status and segregation.</w:t>
      </w:r>
    </w:p>
    <w:p w14:paraId="23DCDA88" w14:textId="3B14993B" w:rsidR="004C355A" w:rsidRDefault="004C355A" w:rsidP="00824392">
      <w:pPr>
        <w:ind w:firstLine="720"/>
      </w:pPr>
      <w:r>
        <w:t xml:space="preserve">In conclusion, </w:t>
      </w:r>
      <w:r w:rsidR="0094051D">
        <w:t>anthropological studies of the body are valuable in understanding how social hierarchies function, why they exist and how they are formed within different societies. However, there are various other factors which must be examined in order to gain a proper and holistic understanding of social hierarchies</w:t>
      </w:r>
      <w:r w:rsidR="0076786E">
        <w:t xml:space="preserve">, </w:t>
      </w:r>
      <w:r w:rsidR="002F37AC">
        <w:t>such as cosmology and pollution</w:t>
      </w:r>
      <w:r w:rsidR="0094051D">
        <w:t>.</w:t>
      </w:r>
    </w:p>
    <w:p w14:paraId="204731E5" w14:textId="052C20CE" w:rsidR="00824392" w:rsidRDefault="00824392" w:rsidP="00824392">
      <w:pPr>
        <w:spacing w:after="0"/>
        <w:ind w:firstLine="720"/>
        <w:jc w:val="right"/>
      </w:pPr>
      <w:r>
        <w:t>(Words: 1837)</w:t>
      </w:r>
    </w:p>
    <w:p w14:paraId="69F6D89B" w14:textId="3DE09F54" w:rsidR="00167286" w:rsidRDefault="00167286" w:rsidP="00FA5AB1">
      <w:pPr>
        <w:spacing w:after="0"/>
      </w:pPr>
    </w:p>
    <w:p w14:paraId="6D4D3E5E" w14:textId="475E88B8" w:rsidR="00167286" w:rsidRDefault="00167286" w:rsidP="00FA5AB1">
      <w:pPr>
        <w:spacing w:after="0"/>
      </w:pPr>
    </w:p>
    <w:p w14:paraId="4986EE20" w14:textId="48236D06" w:rsidR="00167286" w:rsidRPr="00167286" w:rsidRDefault="00167286" w:rsidP="00167286">
      <w:pPr>
        <w:rPr>
          <w:u w:val="single"/>
        </w:rPr>
      </w:pPr>
      <w:r w:rsidRPr="00167286">
        <w:rPr>
          <w:u w:val="single"/>
        </w:rPr>
        <w:t>References:</w:t>
      </w:r>
    </w:p>
    <w:p w14:paraId="61E42FD9" w14:textId="0CB39C3F" w:rsidR="00824392" w:rsidRPr="00824392" w:rsidRDefault="00824392" w:rsidP="00FA5AB1">
      <w:pPr>
        <w:spacing w:after="0"/>
      </w:pPr>
      <w:r>
        <w:t>Anderson-</w:t>
      </w:r>
      <w:proofErr w:type="spellStart"/>
      <w:r>
        <w:t>Fye</w:t>
      </w:r>
      <w:proofErr w:type="spellEnd"/>
      <w:r>
        <w:t xml:space="preserve">, E.P. (2012). Anthropological Perspectives on Physical Appearance and Body Image. In: </w:t>
      </w:r>
      <w:r>
        <w:rPr>
          <w:i/>
        </w:rPr>
        <w:t>Encyclopaedia of Body Image and Human Appearance</w:t>
      </w:r>
      <w:r>
        <w:t xml:space="preserve"> (Vol.1). San Diego: Academic Press. pp15-22.</w:t>
      </w:r>
    </w:p>
    <w:p w14:paraId="121A617D" w14:textId="6187191D" w:rsidR="00167286" w:rsidRDefault="00167286" w:rsidP="00FA5AB1">
      <w:pPr>
        <w:spacing w:after="0"/>
      </w:pPr>
      <w:r>
        <w:t xml:space="preserve">Douglas, M. (1966). </w:t>
      </w:r>
      <w:r>
        <w:rPr>
          <w:i/>
        </w:rPr>
        <w:t>Purity and Danger: An Analysis of the Concepts of Pollution and Taboo</w:t>
      </w:r>
      <w:r>
        <w:t>. New York: Routledge.</w:t>
      </w:r>
    </w:p>
    <w:p w14:paraId="16DB4BCC" w14:textId="5EEFDA2B" w:rsidR="007D3792" w:rsidRPr="007D3792" w:rsidRDefault="007D3792" w:rsidP="00FA5AB1">
      <w:pPr>
        <w:spacing w:after="0"/>
      </w:pPr>
      <w:r>
        <w:t xml:space="preserve">Joyce, R.A. (2000). </w:t>
      </w:r>
      <w:r>
        <w:rPr>
          <w:i/>
        </w:rPr>
        <w:t xml:space="preserve">Gender and Power in </w:t>
      </w:r>
      <w:proofErr w:type="spellStart"/>
      <w:r>
        <w:rPr>
          <w:i/>
        </w:rPr>
        <w:t>Prehispanic</w:t>
      </w:r>
      <w:proofErr w:type="spellEnd"/>
      <w:r>
        <w:rPr>
          <w:i/>
        </w:rPr>
        <w:t xml:space="preserve"> Mesoamerica</w:t>
      </w:r>
      <w:r>
        <w:t>. Texas: University of Texas Press.</w:t>
      </w:r>
      <w:bookmarkStart w:id="0" w:name="_GoBack"/>
      <w:bookmarkEnd w:id="0"/>
    </w:p>
    <w:p w14:paraId="063EC4A0" w14:textId="184C4F71" w:rsidR="00167286" w:rsidRDefault="00167286" w:rsidP="00FA5AB1">
      <w:pPr>
        <w:spacing w:after="0"/>
      </w:pPr>
      <w:r>
        <w:t xml:space="preserve">Miller, B.D. (1993). The Anthropology of Sex and Gender Hierarchies. In: Miller, B.D. (ed.) (1993). </w:t>
      </w:r>
      <w:r>
        <w:rPr>
          <w:i/>
        </w:rPr>
        <w:t>Sex and Gender Hierarchies</w:t>
      </w:r>
      <w:r>
        <w:t>. Cambridge: Cambridge University Press. Ch.1. pp3, 22.</w:t>
      </w:r>
    </w:p>
    <w:p w14:paraId="42905F58" w14:textId="486D3CAA" w:rsidR="00167286" w:rsidRDefault="00167286" w:rsidP="00FA5AB1">
      <w:pPr>
        <w:spacing w:after="0"/>
      </w:pPr>
      <w:r>
        <w:t xml:space="preserve">Oakley, A. (1985). </w:t>
      </w:r>
      <w:r>
        <w:rPr>
          <w:i/>
        </w:rPr>
        <w:t>Sex, Gender and Society</w:t>
      </w:r>
      <w:r>
        <w:t>. 2</w:t>
      </w:r>
      <w:r w:rsidRPr="00167286">
        <w:rPr>
          <w:vertAlign w:val="superscript"/>
        </w:rPr>
        <w:t>nd</w:t>
      </w:r>
      <w:r>
        <w:t xml:space="preserve"> ed. Aldershot: Gower Publishing Co. Ltd. p.16.</w:t>
      </w:r>
    </w:p>
    <w:p w14:paraId="21BD2FB5" w14:textId="50B077C3" w:rsidR="00167286" w:rsidRDefault="00167286" w:rsidP="00FA5AB1">
      <w:pPr>
        <w:spacing w:after="0"/>
      </w:pPr>
      <w:r>
        <w:t xml:space="preserve">PBS (2015). </w:t>
      </w:r>
      <w:r>
        <w:rPr>
          <w:i/>
        </w:rPr>
        <w:t>A Map of Gender Diverse Cultures</w:t>
      </w:r>
      <w:r>
        <w:t>. [online] Available at: &lt;</w:t>
      </w:r>
      <w:hyperlink r:id="rId6" w:history="1">
        <w:r w:rsidRPr="00B1200C">
          <w:rPr>
            <w:rStyle w:val="Hyperlink"/>
          </w:rPr>
          <w:t>http://www.pbs.org/independentlens/content/two-spirits_map-html/</w:t>
        </w:r>
      </w:hyperlink>
      <w:r>
        <w:t>&gt;</w:t>
      </w:r>
      <w:r w:rsidR="00E92EB5">
        <w:t xml:space="preserve"> [Accessed 06 Mar 2018]</w:t>
      </w:r>
    </w:p>
    <w:p w14:paraId="5AD08FFC" w14:textId="22B7AF6D" w:rsidR="00167286" w:rsidRPr="00167286" w:rsidRDefault="00167286" w:rsidP="00167286">
      <w:pPr>
        <w:pStyle w:val="EndnoteText"/>
        <w:rPr>
          <w:sz w:val="22"/>
          <w:szCs w:val="22"/>
        </w:rPr>
      </w:pPr>
      <w:r w:rsidRPr="00167286">
        <w:rPr>
          <w:sz w:val="22"/>
          <w:szCs w:val="22"/>
        </w:rPr>
        <w:t xml:space="preserve">Stonewall (2017). </w:t>
      </w:r>
      <w:r w:rsidRPr="00167286">
        <w:rPr>
          <w:i/>
          <w:sz w:val="22"/>
          <w:szCs w:val="22"/>
        </w:rPr>
        <w:t>LGBT Facts and Figures</w:t>
      </w:r>
      <w:r w:rsidRPr="00167286">
        <w:rPr>
          <w:sz w:val="22"/>
          <w:szCs w:val="22"/>
        </w:rPr>
        <w:t xml:space="preserve">. [online] Available at: </w:t>
      </w:r>
      <w:r w:rsidR="00E92EB5">
        <w:rPr>
          <w:sz w:val="22"/>
          <w:szCs w:val="22"/>
        </w:rPr>
        <w:t>&lt;</w:t>
      </w:r>
      <w:hyperlink r:id="rId7" w:history="1">
        <w:r w:rsidR="00E92EB5" w:rsidRPr="00F27838">
          <w:rPr>
            <w:rStyle w:val="Hyperlink"/>
            <w:sz w:val="22"/>
            <w:szCs w:val="22"/>
          </w:rPr>
          <w:t>http://www.stonewall.org.uk/media/lgbt-facts-and-figures</w:t>
        </w:r>
      </w:hyperlink>
      <w:r w:rsidR="00E92EB5">
        <w:rPr>
          <w:sz w:val="22"/>
          <w:szCs w:val="22"/>
        </w:rPr>
        <w:t>&gt; [Accessed 17 Mar 2018]</w:t>
      </w:r>
    </w:p>
    <w:p w14:paraId="79F2AA40" w14:textId="0A79177E" w:rsidR="00167286" w:rsidRDefault="00167286" w:rsidP="00FA5AB1">
      <w:pPr>
        <w:spacing w:after="0"/>
      </w:pPr>
      <w:r>
        <w:t xml:space="preserve">Turnbull, C.M. (1965). </w:t>
      </w:r>
      <w:r>
        <w:rPr>
          <w:i/>
        </w:rPr>
        <w:t>Wayward Servants: The Two Worlds of the African Pygmies</w:t>
      </w:r>
      <w:r>
        <w:t>. New York: Simon &amp; Schuster.</w:t>
      </w:r>
    </w:p>
    <w:p w14:paraId="6286E216" w14:textId="4A95D1C7" w:rsidR="00167286" w:rsidRPr="00167286" w:rsidRDefault="00167286" w:rsidP="00FA5AB1">
      <w:pPr>
        <w:spacing w:after="0"/>
      </w:pPr>
      <w:proofErr w:type="spellStart"/>
      <w:r>
        <w:t>Zihlman</w:t>
      </w:r>
      <w:proofErr w:type="spellEnd"/>
      <w:r>
        <w:t xml:space="preserve">, A.L. (1993). Sex Differences and Gender Hierarchies Among Primates: An Evolutionary Perspective. In: Miller, B.D. (ed.) (1993). </w:t>
      </w:r>
      <w:r>
        <w:rPr>
          <w:i/>
        </w:rPr>
        <w:t>Sex and Gender Hierarchies</w:t>
      </w:r>
      <w:r>
        <w:t>. Cambridge: Cambridge University Press. Ch.2. pp33-35.</w:t>
      </w:r>
    </w:p>
    <w:sectPr w:rsidR="00167286" w:rsidRPr="00167286" w:rsidSect="004978B2">
      <w:head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FB96A9" w14:textId="77777777" w:rsidR="00F370C4" w:rsidRDefault="00F370C4" w:rsidP="0042735F">
      <w:pPr>
        <w:spacing w:after="0" w:line="240" w:lineRule="auto"/>
      </w:pPr>
      <w:r>
        <w:separator/>
      </w:r>
    </w:p>
  </w:endnote>
  <w:endnote w:type="continuationSeparator" w:id="0">
    <w:p w14:paraId="2FFA84B7" w14:textId="77777777" w:rsidR="00F370C4" w:rsidRDefault="00F370C4" w:rsidP="00427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312E54" w14:textId="77777777" w:rsidR="00F370C4" w:rsidRDefault="00F370C4" w:rsidP="0042735F">
      <w:pPr>
        <w:spacing w:after="0" w:line="240" w:lineRule="auto"/>
      </w:pPr>
      <w:r>
        <w:separator/>
      </w:r>
    </w:p>
  </w:footnote>
  <w:footnote w:type="continuationSeparator" w:id="0">
    <w:p w14:paraId="527F6C3A" w14:textId="77777777" w:rsidR="00F370C4" w:rsidRDefault="00F370C4" w:rsidP="004273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A72316" w14:textId="54EC6A12" w:rsidR="0042735F" w:rsidRDefault="0042735F">
    <w:pPr>
      <w:pStyle w:val="Header"/>
    </w:pPr>
    <w:r>
      <w:t>Thom Kelly (1700248)</w:t>
    </w:r>
    <w:r>
      <w:tab/>
    </w:r>
    <w:r>
      <w:tab/>
    </w:r>
    <w:r>
      <w:tab/>
      <w:t>AHAN4001</w:t>
    </w:r>
  </w:p>
  <w:p w14:paraId="0CAE2216" w14:textId="77777777" w:rsidR="006907D2" w:rsidRDefault="006907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8B2"/>
    <w:rsid w:val="00006B09"/>
    <w:rsid w:val="000243B3"/>
    <w:rsid w:val="0004391B"/>
    <w:rsid w:val="0007408D"/>
    <w:rsid w:val="000C0EB0"/>
    <w:rsid w:val="00147750"/>
    <w:rsid w:val="00154696"/>
    <w:rsid w:val="00167286"/>
    <w:rsid w:val="00192BCE"/>
    <w:rsid w:val="001C0C6A"/>
    <w:rsid w:val="0020301A"/>
    <w:rsid w:val="00235B30"/>
    <w:rsid w:val="002535EC"/>
    <w:rsid w:val="002601F7"/>
    <w:rsid w:val="0029078C"/>
    <w:rsid w:val="002F08BB"/>
    <w:rsid w:val="002F37AC"/>
    <w:rsid w:val="00310217"/>
    <w:rsid w:val="00346092"/>
    <w:rsid w:val="00347330"/>
    <w:rsid w:val="0036591B"/>
    <w:rsid w:val="00367495"/>
    <w:rsid w:val="00386ED8"/>
    <w:rsid w:val="003951A2"/>
    <w:rsid w:val="0041779E"/>
    <w:rsid w:val="0042735F"/>
    <w:rsid w:val="004427D6"/>
    <w:rsid w:val="0045730F"/>
    <w:rsid w:val="0048170A"/>
    <w:rsid w:val="004978B2"/>
    <w:rsid w:val="004C355A"/>
    <w:rsid w:val="004D31D5"/>
    <w:rsid w:val="004E0926"/>
    <w:rsid w:val="004E6C7C"/>
    <w:rsid w:val="00507A7D"/>
    <w:rsid w:val="00530333"/>
    <w:rsid w:val="005858E1"/>
    <w:rsid w:val="005A6B84"/>
    <w:rsid w:val="005B688B"/>
    <w:rsid w:val="005C780E"/>
    <w:rsid w:val="005D3801"/>
    <w:rsid w:val="006013E6"/>
    <w:rsid w:val="00606AD7"/>
    <w:rsid w:val="00663036"/>
    <w:rsid w:val="006907D2"/>
    <w:rsid w:val="006C3C61"/>
    <w:rsid w:val="006D14A7"/>
    <w:rsid w:val="006E6E9F"/>
    <w:rsid w:val="00744CA3"/>
    <w:rsid w:val="0076786E"/>
    <w:rsid w:val="00783F95"/>
    <w:rsid w:val="0078494D"/>
    <w:rsid w:val="007C7409"/>
    <w:rsid w:val="007D3792"/>
    <w:rsid w:val="00824392"/>
    <w:rsid w:val="00827996"/>
    <w:rsid w:val="00832A42"/>
    <w:rsid w:val="00857D94"/>
    <w:rsid w:val="00872623"/>
    <w:rsid w:val="008C64BB"/>
    <w:rsid w:val="008F3DA3"/>
    <w:rsid w:val="008F4E4C"/>
    <w:rsid w:val="00902AF9"/>
    <w:rsid w:val="00902F52"/>
    <w:rsid w:val="009117DF"/>
    <w:rsid w:val="0094051D"/>
    <w:rsid w:val="00945065"/>
    <w:rsid w:val="00986434"/>
    <w:rsid w:val="00992AEC"/>
    <w:rsid w:val="009A7110"/>
    <w:rsid w:val="009B08D1"/>
    <w:rsid w:val="009B6A29"/>
    <w:rsid w:val="009C3A5A"/>
    <w:rsid w:val="009D31BB"/>
    <w:rsid w:val="009E4520"/>
    <w:rsid w:val="00A17A48"/>
    <w:rsid w:val="00A304F4"/>
    <w:rsid w:val="00A721D0"/>
    <w:rsid w:val="00A775D8"/>
    <w:rsid w:val="00A81214"/>
    <w:rsid w:val="00AD0A40"/>
    <w:rsid w:val="00AD3372"/>
    <w:rsid w:val="00AD4071"/>
    <w:rsid w:val="00AE6DC8"/>
    <w:rsid w:val="00B01CE5"/>
    <w:rsid w:val="00B1251C"/>
    <w:rsid w:val="00B20568"/>
    <w:rsid w:val="00B221F1"/>
    <w:rsid w:val="00B52D53"/>
    <w:rsid w:val="00B9189B"/>
    <w:rsid w:val="00B96854"/>
    <w:rsid w:val="00C43E1B"/>
    <w:rsid w:val="00C70D71"/>
    <w:rsid w:val="00CC56F2"/>
    <w:rsid w:val="00D1537B"/>
    <w:rsid w:val="00D15924"/>
    <w:rsid w:val="00D46F3B"/>
    <w:rsid w:val="00D80F63"/>
    <w:rsid w:val="00D938B8"/>
    <w:rsid w:val="00DD6C08"/>
    <w:rsid w:val="00E1303F"/>
    <w:rsid w:val="00E17B8C"/>
    <w:rsid w:val="00E576A8"/>
    <w:rsid w:val="00E64C75"/>
    <w:rsid w:val="00E74E99"/>
    <w:rsid w:val="00E92EB5"/>
    <w:rsid w:val="00EE1ECF"/>
    <w:rsid w:val="00EE7B57"/>
    <w:rsid w:val="00EF4051"/>
    <w:rsid w:val="00F370C4"/>
    <w:rsid w:val="00F4099A"/>
    <w:rsid w:val="00F43BFB"/>
    <w:rsid w:val="00F4573E"/>
    <w:rsid w:val="00F52A47"/>
    <w:rsid w:val="00FA0058"/>
    <w:rsid w:val="00FA5AB1"/>
    <w:rsid w:val="00FC6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9829B"/>
  <w15:chartTrackingRefBased/>
  <w15:docId w15:val="{E05DE8E7-1BC6-4BA9-A5E9-03C41130F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83F95"/>
    <w:rPr>
      <w:sz w:val="16"/>
      <w:szCs w:val="16"/>
    </w:rPr>
  </w:style>
  <w:style w:type="paragraph" w:styleId="CommentText">
    <w:name w:val="annotation text"/>
    <w:basedOn w:val="Normal"/>
    <w:link w:val="CommentTextChar"/>
    <w:uiPriority w:val="99"/>
    <w:semiHidden/>
    <w:unhideWhenUsed/>
    <w:rsid w:val="00783F95"/>
    <w:pPr>
      <w:spacing w:line="240" w:lineRule="auto"/>
    </w:pPr>
    <w:rPr>
      <w:sz w:val="20"/>
      <w:szCs w:val="20"/>
    </w:rPr>
  </w:style>
  <w:style w:type="character" w:customStyle="1" w:styleId="CommentTextChar">
    <w:name w:val="Comment Text Char"/>
    <w:basedOn w:val="DefaultParagraphFont"/>
    <w:link w:val="CommentText"/>
    <w:uiPriority w:val="99"/>
    <w:semiHidden/>
    <w:rsid w:val="00783F95"/>
    <w:rPr>
      <w:sz w:val="20"/>
      <w:szCs w:val="20"/>
    </w:rPr>
  </w:style>
  <w:style w:type="paragraph" w:styleId="CommentSubject">
    <w:name w:val="annotation subject"/>
    <w:basedOn w:val="CommentText"/>
    <w:next w:val="CommentText"/>
    <w:link w:val="CommentSubjectChar"/>
    <w:uiPriority w:val="99"/>
    <w:semiHidden/>
    <w:unhideWhenUsed/>
    <w:rsid w:val="00783F95"/>
    <w:rPr>
      <w:b/>
      <w:bCs/>
    </w:rPr>
  </w:style>
  <w:style w:type="character" w:customStyle="1" w:styleId="CommentSubjectChar">
    <w:name w:val="Comment Subject Char"/>
    <w:basedOn w:val="CommentTextChar"/>
    <w:link w:val="CommentSubject"/>
    <w:uiPriority w:val="99"/>
    <w:semiHidden/>
    <w:rsid w:val="00783F95"/>
    <w:rPr>
      <w:b/>
      <w:bCs/>
      <w:sz w:val="20"/>
      <w:szCs w:val="20"/>
    </w:rPr>
  </w:style>
  <w:style w:type="paragraph" w:styleId="BalloonText">
    <w:name w:val="Balloon Text"/>
    <w:basedOn w:val="Normal"/>
    <w:link w:val="BalloonTextChar"/>
    <w:uiPriority w:val="99"/>
    <w:semiHidden/>
    <w:unhideWhenUsed/>
    <w:rsid w:val="00783F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3F95"/>
    <w:rPr>
      <w:rFonts w:ascii="Segoe UI" w:hAnsi="Segoe UI" w:cs="Segoe UI"/>
      <w:sz w:val="18"/>
      <w:szCs w:val="18"/>
    </w:rPr>
  </w:style>
  <w:style w:type="character" w:styleId="Hyperlink">
    <w:name w:val="Hyperlink"/>
    <w:basedOn w:val="DefaultParagraphFont"/>
    <w:uiPriority w:val="99"/>
    <w:unhideWhenUsed/>
    <w:rsid w:val="00167286"/>
    <w:rPr>
      <w:color w:val="0000FF" w:themeColor="hyperlink"/>
      <w:u w:val="single"/>
    </w:rPr>
  </w:style>
  <w:style w:type="paragraph" w:styleId="EndnoteText">
    <w:name w:val="endnote text"/>
    <w:basedOn w:val="Normal"/>
    <w:link w:val="EndnoteTextChar"/>
    <w:uiPriority w:val="99"/>
    <w:semiHidden/>
    <w:unhideWhenUsed/>
    <w:rsid w:val="0016728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67286"/>
    <w:rPr>
      <w:sz w:val="20"/>
      <w:szCs w:val="20"/>
    </w:rPr>
  </w:style>
  <w:style w:type="paragraph" w:styleId="Header">
    <w:name w:val="header"/>
    <w:basedOn w:val="Normal"/>
    <w:link w:val="HeaderChar"/>
    <w:uiPriority w:val="99"/>
    <w:unhideWhenUsed/>
    <w:rsid w:val="004273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35F"/>
  </w:style>
  <w:style w:type="paragraph" w:styleId="Footer">
    <w:name w:val="footer"/>
    <w:basedOn w:val="Normal"/>
    <w:link w:val="FooterChar"/>
    <w:uiPriority w:val="99"/>
    <w:unhideWhenUsed/>
    <w:rsid w:val="004273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35F"/>
  </w:style>
  <w:style w:type="character" w:styleId="UnresolvedMention">
    <w:name w:val="Unresolved Mention"/>
    <w:basedOn w:val="DefaultParagraphFont"/>
    <w:uiPriority w:val="99"/>
    <w:semiHidden/>
    <w:unhideWhenUsed/>
    <w:rsid w:val="00E92EB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stonewall.org.uk/media/lgbt-facts-and-figur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bs.org/independentlens/content/two-spirits_map-html/"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2642</TotalTime>
  <Pages>3</Pages>
  <Words>1946</Words>
  <Characters>11097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 Kelly</dc:creator>
  <cp:keywords/>
  <dc:description/>
  <cp:lastModifiedBy>Thom Kelly</cp:lastModifiedBy>
  <cp:revision>30</cp:revision>
  <dcterms:created xsi:type="dcterms:W3CDTF">2018-02-22T14:33:00Z</dcterms:created>
  <dcterms:modified xsi:type="dcterms:W3CDTF">2018-03-25T21:21:00Z</dcterms:modified>
</cp:coreProperties>
</file>