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sdt>
      <w:sdtPr>
        <w:id w:val="-1994330513"/>
        <w:docPartObj>
          <w:docPartGallery w:val="Cover Pages"/>
          <w:docPartUnique/>
        </w:docPartObj>
      </w:sdtPr>
      <w:sdtEndPr>
        <w:rPr>
          <w:rFonts w:ascii="Arial" w:hAnsi="Arial" w:cs="Arial"/>
          <w:b/>
          <w:bCs/>
          <w:sz w:val="24"/>
          <w:szCs w:val="24"/>
        </w:rPr>
      </w:sdtEndPr>
      <w:sdtContent>
        <w:sdt>
          <w:sdtPr>
            <w:rPr>
              <w:rFonts w:ascii="Calibri" w:eastAsia="Calibri" w:hAnsi="Calibri"/>
              <w:kern w:val="2"/>
              <w:sz w:val="22"/>
              <w:szCs w:val="22"/>
              <w:lang w:val="en-GB" w:eastAsia="en-US"/>
              <w14:ligatures w14:val="standardContextual"/>
            </w:rPr>
            <w:id w:val="-1909686393"/>
            <w:docPartObj>
              <w:docPartGallery w:val="Cover Pages"/>
              <w:docPartUnique/>
            </w:docPartObj>
          </w:sdtPr>
          <w:sdtContent>
            <w:p w14:paraId="20210397" w14:textId="77777777" w:rsidR="004075B2" w:rsidRPr="004075B2" w:rsidRDefault="004075B2" w:rsidP="004075B2">
              <w:pPr>
                <w:rPr>
                  <w:rFonts w:ascii="Calibri" w:eastAsia="Calibri" w:hAnsi="Calibri"/>
                  <w:kern w:val="2"/>
                  <w:sz w:val="22"/>
                  <w:szCs w:val="22"/>
                  <w:lang w:eastAsia="en-US"/>
                  <w14:ligatures w14:val="standardContextual"/>
                </w:rPr>
              </w:pPr>
              <w:r w:rsidRPr="004075B2">
                <w:rPr>
                  <w:rFonts w:ascii="Calibri" w:eastAsia="Calibri" w:hAnsi="Calibri"/>
                  <w:noProof/>
                  <w:kern w:val="2"/>
                  <w:sz w:val="22"/>
                  <w:szCs w:val="22"/>
                  <w:lang w:val="en-GB" w:eastAsia="en-US"/>
                  <w14:ligatures w14:val="standardContextual"/>
                </w:rPr>
                <mc:AlternateContent>
                  <mc:Choice Requires="wps">
                    <w:drawing>
                      <wp:inline distT="0" distB="0" distL="0" distR="0" wp14:anchorId="4440FDD6" wp14:editId="0C56E00C">
                        <wp:extent cx="304800" cy="304800"/>
                        <wp:effectExtent l="0" t="0" r="0" b="0"/>
                        <wp:docPr id="240654641"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A2A76CD" id="Rectangle 2"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Pr="004075B2">
                <w:rPr>
                  <w:rFonts w:ascii="Calibri" w:eastAsia="Calibri" w:hAnsi="Calibri"/>
                  <w:noProof/>
                  <w:kern w:val="2"/>
                  <w:sz w:val="22"/>
                  <w:szCs w:val="22"/>
                  <w:lang w:eastAsia="en-US" w:bidi="hi-IN"/>
                  <w14:ligatures w14:val="standardContextual"/>
                </w:rPr>
                <w:drawing>
                  <wp:inline distT="0" distB="0" distL="0" distR="0" wp14:anchorId="7BDDF603" wp14:editId="0D33C023">
                    <wp:extent cx="4945380" cy="1897380"/>
                    <wp:effectExtent l="152400" t="152400" r="350520" b="45720"/>
                    <wp:docPr id="11" name="Picture 868110649"/>
                    <wp:cNvGraphicFramePr/>
                    <a:graphic xmlns:a="http://schemas.openxmlformats.org/drawingml/2006/main">
                      <a:graphicData uri="http://schemas.openxmlformats.org/drawingml/2006/picture">
                        <pic:pic xmlns:pic="http://schemas.openxmlformats.org/drawingml/2006/picture">
                          <pic:nvPicPr>
                            <pic:cNvPr id="868110649" name="Picture 868110649"/>
                            <pic:cNvPicPr>
                              <a:picLocks noChangeAspect="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503420" cy="1492250"/>
                            </a:xfrm>
                            <a:prstGeom prst="rect">
                              <a:avLst/>
                            </a:prstGeom>
                            <a:ln>
                              <a:noFill/>
                            </a:ln>
                            <a:effectLst>
                              <a:outerShdw blurRad="292100" dist="139700" dir="2700000" algn="tl" rotWithShape="0">
                                <a:srgbClr val="333333">
                                  <a:alpha val="65000"/>
                                </a:srgbClr>
                              </a:outerShdw>
                            </a:effectLst>
                          </pic:spPr>
                        </pic:pic>
                      </a:graphicData>
                    </a:graphic>
                  </wp:inline>
                </w:drawing>
              </w:r>
            </w:p>
            <w:sdt>
              <w:sdtPr>
                <w:rPr>
                  <w:rFonts w:ascii="Aptos" w:hAnsi="Aptos" w:cs="Aptos"/>
                  <w:color w:val="4472C4"/>
                  <w:sz w:val="24"/>
                  <w:szCs w:val="24"/>
                  <w:lang w:val="en-GB"/>
                </w:rPr>
                <w:id w:val="-194394175"/>
                <w:docPartObj>
                  <w:docPartGallery w:val="Cover Pages"/>
                  <w:docPartUnique/>
                </w:docPartObj>
              </w:sdtPr>
              <w:sdtEndPr>
                <w:rPr>
                  <w:rFonts w:eastAsia="Aptos"/>
                  <w:lang w:eastAsia="en-IN"/>
                </w:rPr>
              </w:sdtEndPr>
              <w:sdtContent>
                <w:p w14:paraId="1AF6E6B3" w14:textId="77777777" w:rsidR="004075B2" w:rsidRPr="004075B2" w:rsidRDefault="004075B2" w:rsidP="004075B2">
                  <w:pPr>
                    <w:pStyle w:val="NoSpacing"/>
                    <w:pBdr>
                      <w:top w:val="single" w:sz="6" w:space="6" w:color="4472C4"/>
                      <w:bottom w:val="single" w:sz="6" w:space="6" w:color="4472C4"/>
                    </w:pBdr>
                    <w:spacing w:after="240"/>
                    <w:jc w:val="center"/>
                    <w:rPr>
                      <w:rFonts w:ascii="Calibri Light" w:hAnsi="Calibri Light"/>
                      <w:b/>
                      <w:bCs/>
                      <w:caps/>
                      <w:color w:val="4472C4"/>
                      <w:sz w:val="80"/>
                      <w:szCs w:val="80"/>
                    </w:rPr>
                  </w:pPr>
                  <w:sdt>
                    <w:sdtPr>
                      <w:rPr>
                        <w:rFonts w:ascii="Arial" w:hAnsi="Arial" w:cs="Arial"/>
                        <w:b/>
                        <w:bCs/>
                        <w:sz w:val="52"/>
                        <w:szCs w:val="52"/>
                      </w:rPr>
                      <w:alias w:val="Title"/>
                      <w:id w:val="1735040861"/>
                      <w:placeholder>
                        <w:docPart w:val="38018BE6AB334EF98E0759A2C1E0222C"/>
                      </w:placeholder>
                      <w:dataBinding w:prefixMappings="xmlns:ns0='http://purl.org/dc/elements/1.1/' xmlns:ns1='http://schemas.openxmlformats.org/package/2006/metadata/core-properties' " w:xpath="/ns1:coreProperties[1]/ns0:title[1]" w:storeItemID="{6C3C8BC8-F283-45AE-878A-BAB7291924A1}"/>
                      <w:text/>
                    </w:sdtPr>
                    <w:sdtContent>
                      <w:r w:rsidRPr="004075B2">
                        <w:rPr>
                          <w:rFonts w:ascii="Arial" w:hAnsi="Arial" w:cs="Arial"/>
                          <w:b/>
                          <w:bCs/>
                          <w:sz w:val="52"/>
                          <w:szCs w:val="52"/>
                        </w:rPr>
                        <w:t>Master of Business Administration</w:t>
                      </w:r>
                    </w:sdtContent>
                  </w:sdt>
                </w:p>
                <w:p w14:paraId="3C44B65F" w14:textId="2949FB59" w:rsidR="004075B2" w:rsidRDefault="004075B2" w:rsidP="004075B2">
                  <w:pPr>
                    <w:spacing w:after="160" w:line="600" w:lineRule="auto"/>
                    <w:jc w:val="center"/>
                    <w:rPr>
                      <w:rFonts w:ascii="Arial" w:eastAsia="Calibri" w:hAnsi="Arial" w:cs="Arial"/>
                      <w:b/>
                      <w:bCs/>
                      <w:i/>
                      <w:iCs/>
                      <w:kern w:val="2"/>
                      <w:sz w:val="28"/>
                      <w:szCs w:val="28"/>
                      <w:lang w:val="en-GB" w:eastAsia="en-US"/>
                      <w14:ligatures w14:val="standardContextual"/>
                    </w:rPr>
                  </w:pPr>
                  <w:r>
                    <w:rPr>
                      <w:noProof/>
                    </w:rPr>
                    <w:drawing>
                      <wp:inline distT="0" distB="0" distL="0" distR="0" wp14:anchorId="64427B17" wp14:editId="34408627">
                        <wp:extent cx="3457575" cy="1490136"/>
                        <wp:effectExtent l="0" t="0" r="0" b="0"/>
                        <wp:docPr id="213723042" name="Picture 7" descr="403,452 Marketing Management Stock Photos - Free &amp; Royalty-Free Stock  Photos from Dreamsti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 descr="403,452 Marketing Management Stock Photos - Free &amp; Royalty-Free Stock  Photos from Dreamstim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06211" cy="1511097"/>
                                </a:xfrm>
                                <a:prstGeom prst="rect">
                                  <a:avLst/>
                                </a:prstGeom>
                                <a:noFill/>
                                <a:ln>
                                  <a:noFill/>
                                </a:ln>
                              </pic:spPr>
                            </pic:pic>
                          </a:graphicData>
                        </a:graphic>
                      </wp:inline>
                    </w:drawing>
                  </w:r>
                </w:p>
                <w:p w14:paraId="19F48591" w14:textId="373D0DBC" w:rsidR="004075B2" w:rsidRPr="004075B2" w:rsidRDefault="004075B2" w:rsidP="004075B2">
                  <w:pPr>
                    <w:spacing w:after="160" w:line="600" w:lineRule="auto"/>
                    <w:jc w:val="center"/>
                    <w:rPr>
                      <w:rFonts w:ascii="Arial" w:eastAsia="Calibri" w:hAnsi="Arial" w:cs="Arial"/>
                      <w:i/>
                      <w:iCs/>
                      <w:kern w:val="2"/>
                      <w:sz w:val="28"/>
                      <w:szCs w:val="28"/>
                      <w:lang w:val="en-GB" w:eastAsia="en-US"/>
                      <w14:ligatures w14:val="standardContextual"/>
                    </w:rPr>
                  </w:pPr>
                  <w:r w:rsidRPr="004075B2">
                    <w:rPr>
                      <w:rFonts w:ascii="Arial" w:eastAsia="Calibri" w:hAnsi="Arial" w:cs="Arial"/>
                      <w:b/>
                      <w:bCs/>
                      <w:i/>
                      <w:iCs/>
                      <w:kern w:val="2"/>
                      <w:sz w:val="28"/>
                      <w:szCs w:val="28"/>
                      <w:lang w:val="en-GB" w:eastAsia="en-US"/>
                      <w14:ligatures w14:val="standardContextual"/>
                    </w:rPr>
                    <w:t>Student Name: Miyani Tirth Pravinbhai</w:t>
                  </w:r>
                </w:p>
                <w:p w14:paraId="54B4C2D2" w14:textId="77777777" w:rsidR="004075B2" w:rsidRPr="004075B2" w:rsidRDefault="004075B2" w:rsidP="004075B2">
                  <w:pPr>
                    <w:spacing w:after="160" w:line="600" w:lineRule="auto"/>
                    <w:jc w:val="center"/>
                    <w:rPr>
                      <w:rFonts w:ascii="Arial" w:eastAsia="Calibri" w:hAnsi="Arial" w:cs="Arial"/>
                      <w:b/>
                      <w:bCs/>
                      <w:i/>
                      <w:iCs/>
                      <w:kern w:val="2"/>
                      <w:sz w:val="28"/>
                      <w:szCs w:val="28"/>
                      <w:lang w:val="en-GB" w:eastAsia="en-US"/>
                      <w14:ligatures w14:val="standardContextual"/>
                    </w:rPr>
                  </w:pPr>
                  <w:r w:rsidRPr="004075B2">
                    <w:rPr>
                      <w:rFonts w:ascii="Arial" w:eastAsia="Calibri" w:hAnsi="Arial" w:cs="Arial"/>
                      <w:b/>
                      <w:bCs/>
                      <w:i/>
                      <w:iCs/>
                      <w:kern w:val="2"/>
                      <w:sz w:val="28"/>
                      <w:szCs w:val="28"/>
                      <w:lang w:val="en-GB" w:eastAsia="en-US"/>
                      <w14:ligatures w14:val="standardContextual"/>
                    </w:rPr>
                    <w:t>Student ID Number: 2419607</w:t>
                  </w:r>
                </w:p>
                <w:p w14:paraId="35A2E681" w14:textId="3F6AF483" w:rsidR="004075B2" w:rsidRPr="004075B2" w:rsidRDefault="004075B2" w:rsidP="004075B2">
                  <w:pPr>
                    <w:spacing w:after="160" w:line="600" w:lineRule="auto"/>
                    <w:jc w:val="center"/>
                    <w:rPr>
                      <w:rFonts w:ascii="Arial" w:eastAsia="Calibri" w:hAnsi="Arial" w:cs="Arial"/>
                      <w:i/>
                      <w:iCs/>
                      <w:kern w:val="2"/>
                      <w:sz w:val="28"/>
                      <w:szCs w:val="28"/>
                      <w:lang w:val="en-GB" w:eastAsia="en-US"/>
                      <w14:ligatures w14:val="standardContextual"/>
                    </w:rPr>
                  </w:pPr>
                  <w:r w:rsidRPr="004075B2">
                    <w:rPr>
                      <w:rFonts w:ascii="Arial" w:eastAsia="Calibri" w:hAnsi="Arial" w:cs="Arial"/>
                      <w:b/>
                      <w:bCs/>
                      <w:i/>
                      <w:iCs/>
                      <w:kern w:val="2"/>
                      <w:sz w:val="28"/>
                      <w:szCs w:val="28"/>
                      <w:lang w:val="en-GB" w:eastAsia="en-US"/>
                      <w14:ligatures w14:val="standardContextual"/>
                    </w:rPr>
                    <w:t>Course Name:</w:t>
                  </w:r>
                  <w:r w:rsidRPr="004075B2">
                    <w:rPr>
                      <w:rFonts w:ascii="Arial" w:eastAsia="Calibri" w:hAnsi="Arial" w:cs="Arial"/>
                      <w:i/>
                      <w:iCs/>
                      <w:kern w:val="2"/>
                      <w:sz w:val="28"/>
                      <w:szCs w:val="28"/>
                      <w:lang w:val="en-GB" w:eastAsia="en-US"/>
                      <w14:ligatures w14:val="standardContextual"/>
                    </w:rPr>
                    <w:t xml:space="preserve"> </w:t>
                  </w:r>
                  <w:r>
                    <w:rPr>
                      <w:rFonts w:ascii="Arial" w:eastAsia="Calibri" w:hAnsi="Arial" w:cs="Arial"/>
                      <w:b/>
                      <w:bCs/>
                      <w:i/>
                      <w:iCs/>
                      <w:kern w:val="2"/>
                      <w:sz w:val="28"/>
                      <w:szCs w:val="28"/>
                      <w:lang w:val="en-GB" w:eastAsia="en-US"/>
                      <w14:ligatures w14:val="standardContextual"/>
                    </w:rPr>
                    <w:t>M</w:t>
                  </w:r>
                  <w:r w:rsidRPr="004075B2">
                    <w:rPr>
                      <w:rFonts w:ascii="Arial" w:eastAsia="Calibri" w:hAnsi="Arial" w:cs="Arial"/>
                      <w:b/>
                      <w:bCs/>
                      <w:i/>
                      <w:iCs/>
                      <w:kern w:val="2"/>
                      <w:sz w:val="28"/>
                      <w:szCs w:val="28"/>
                      <w:lang w:val="en-GB" w:eastAsia="en-US"/>
                      <w14:ligatures w14:val="standardContextual"/>
                    </w:rPr>
                    <w:t>arketing Management</w:t>
                  </w:r>
                </w:p>
                <w:p w14:paraId="4571B223" w14:textId="3DD6DE8E" w:rsidR="004075B2" w:rsidRPr="004075B2" w:rsidRDefault="004075B2" w:rsidP="004075B2">
                  <w:pPr>
                    <w:spacing w:after="160" w:line="600" w:lineRule="auto"/>
                    <w:jc w:val="center"/>
                    <w:rPr>
                      <w:rFonts w:ascii="Arial" w:eastAsia="Calibri" w:hAnsi="Arial" w:cs="Arial"/>
                      <w:i/>
                      <w:iCs/>
                      <w:kern w:val="2"/>
                      <w:sz w:val="28"/>
                      <w:szCs w:val="28"/>
                      <w:lang w:val="en-GB" w:eastAsia="en-US"/>
                      <w14:ligatures w14:val="standardContextual"/>
                    </w:rPr>
                  </w:pPr>
                  <w:r w:rsidRPr="004075B2">
                    <w:rPr>
                      <w:rFonts w:ascii="Arial" w:eastAsia="Calibri" w:hAnsi="Arial" w:cs="Arial"/>
                      <w:b/>
                      <w:bCs/>
                      <w:i/>
                      <w:iCs/>
                      <w:kern w:val="2"/>
                      <w:sz w:val="28"/>
                      <w:szCs w:val="28"/>
                      <w:lang w:val="en-GB" w:eastAsia="en-US"/>
                      <w14:ligatures w14:val="standardContextual"/>
                    </w:rPr>
                    <w:t>Lecturer Name: Dr Laila Maazouz</w:t>
                  </w:r>
                </w:p>
                <w:p w14:paraId="35CBC94C" w14:textId="77777777" w:rsidR="004075B2" w:rsidRPr="004075B2" w:rsidRDefault="004075B2" w:rsidP="004075B2">
                  <w:pPr>
                    <w:spacing w:after="160" w:line="600" w:lineRule="auto"/>
                    <w:jc w:val="center"/>
                    <w:rPr>
                      <w:rFonts w:ascii="Arial" w:eastAsia="Calibri" w:hAnsi="Arial" w:cs="Arial"/>
                      <w:b/>
                      <w:bCs/>
                      <w:i/>
                      <w:iCs/>
                      <w:kern w:val="2"/>
                      <w:sz w:val="28"/>
                      <w:szCs w:val="28"/>
                      <w:lang w:val="en-GB" w:eastAsia="en-US"/>
                      <w14:ligatures w14:val="standardContextual"/>
                    </w:rPr>
                  </w:pPr>
                  <w:r w:rsidRPr="004075B2">
                    <w:rPr>
                      <w:rFonts w:ascii="Arial" w:eastAsia="Calibri" w:hAnsi="Arial" w:cs="Arial"/>
                      <w:b/>
                      <w:bCs/>
                      <w:i/>
                      <w:iCs/>
                      <w:kern w:val="2"/>
                      <w:sz w:val="28"/>
                      <w:szCs w:val="28"/>
                      <w:lang w:val="en-GB" w:eastAsia="en-US"/>
                      <w14:ligatures w14:val="standardContextual"/>
                    </w:rPr>
                    <w:t>Term</w:t>
                  </w:r>
                  <w:r w:rsidRPr="004075B2">
                    <w:rPr>
                      <w:rFonts w:ascii="Arial" w:eastAsia="Calibri" w:hAnsi="Arial" w:cs="Arial"/>
                      <w:i/>
                      <w:iCs/>
                      <w:kern w:val="2"/>
                      <w:sz w:val="28"/>
                      <w:szCs w:val="28"/>
                      <w:lang w:val="en-GB" w:eastAsia="en-US"/>
                      <w14:ligatures w14:val="standardContextual"/>
                    </w:rPr>
                    <w:t>:</w:t>
                  </w:r>
                  <w:r w:rsidRPr="004075B2">
                    <w:rPr>
                      <w:rFonts w:ascii="Calibri" w:eastAsia="Calibri" w:hAnsi="Calibri"/>
                      <w:kern w:val="2"/>
                      <w:sz w:val="22"/>
                      <w:szCs w:val="22"/>
                      <w:lang w:val="en-GB" w:eastAsia="en-US"/>
                      <w14:ligatures w14:val="standardContextual"/>
                    </w:rPr>
                    <w:t xml:space="preserve"> </w:t>
                  </w:r>
                  <w:r w:rsidRPr="004075B2">
                    <w:rPr>
                      <w:rFonts w:ascii="Arial" w:eastAsia="Calibri" w:hAnsi="Arial" w:cs="Arial"/>
                      <w:b/>
                      <w:bCs/>
                      <w:i/>
                      <w:iCs/>
                      <w:kern w:val="2"/>
                      <w:sz w:val="28"/>
                      <w:szCs w:val="28"/>
                      <w:lang w:val="en-GB" w:eastAsia="en-US"/>
                      <w14:ligatures w14:val="standardContextual"/>
                    </w:rPr>
                    <w:t>February 2025</w:t>
                  </w:r>
                </w:p>
                <w:p w14:paraId="65F6479E" w14:textId="6D39A280" w:rsidR="004075B2" w:rsidRPr="004075B2" w:rsidRDefault="004075B2" w:rsidP="004075B2">
                  <w:pPr>
                    <w:spacing w:after="160" w:line="600" w:lineRule="auto"/>
                    <w:jc w:val="center"/>
                    <w:rPr>
                      <w:rFonts w:ascii="Arial" w:eastAsia="Calibri" w:hAnsi="Arial" w:cs="Arial Unicode MS"/>
                      <w:b/>
                      <w:bCs/>
                      <w:i/>
                      <w:iCs/>
                      <w:kern w:val="2"/>
                      <w:sz w:val="28"/>
                      <w:szCs w:val="28"/>
                      <w:lang w:val="en-GB" w:eastAsia="en-US" w:bidi="gu-IN"/>
                      <w14:ligatures w14:val="standardContextual"/>
                    </w:rPr>
                  </w:pPr>
                  <w:r w:rsidRPr="004075B2">
                    <w:rPr>
                      <w:rFonts w:ascii="Arial" w:eastAsia="Calibri" w:hAnsi="Arial" w:cs="Arial"/>
                      <w:b/>
                      <w:bCs/>
                      <w:i/>
                      <w:iCs/>
                      <w:kern w:val="2"/>
                      <w:sz w:val="28"/>
                      <w:szCs w:val="28"/>
                      <w:lang w:val="en-GB" w:eastAsia="en-US"/>
                      <w14:ligatures w14:val="standardContextual"/>
                    </w:rPr>
                    <w:t>Word count: 26</w:t>
                  </w:r>
                  <w:r>
                    <w:rPr>
                      <w:rFonts w:ascii="Arial" w:eastAsia="Calibri" w:hAnsi="Arial" w:cs="Arial"/>
                      <w:b/>
                      <w:bCs/>
                      <w:i/>
                      <w:iCs/>
                      <w:kern w:val="2"/>
                      <w:sz w:val="28"/>
                      <w:szCs w:val="28"/>
                      <w:lang w:val="en-GB" w:eastAsia="en-US"/>
                      <w14:ligatures w14:val="standardContextual"/>
                    </w:rPr>
                    <w:t>28</w:t>
                  </w:r>
                </w:p>
                <w:p w14:paraId="04EDB364" w14:textId="59AD2BFA" w:rsidR="006C48D2" w:rsidRPr="004075B2" w:rsidRDefault="004075B2" w:rsidP="004075B2">
                  <w:pPr>
                    <w:spacing w:before="200" w:line="600" w:lineRule="auto"/>
                    <w:jc w:val="center"/>
                    <w:rPr>
                      <w:rFonts w:ascii="Arial" w:eastAsia="Calibri" w:hAnsi="Arial" w:cs="Arial"/>
                      <w:b/>
                      <w:bCs/>
                      <w:kern w:val="2"/>
                      <w:sz w:val="22"/>
                      <w:szCs w:val="22"/>
                      <w:lang w:val="en-GB" w:eastAsia="en-US"/>
                      <w14:ligatures w14:val="standardContextual"/>
                    </w:rPr>
                  </w:pPr>
                  <w:r w:rsidRPr="004075B2">
                    <w:rPr>
                      <w:rFonts w:ascii="Arial" w:eastAsia="Calibri" w:hAnsi="Arial" w:cs="Arial"/>
                      <w:b/>
                      <w:bCs/>
                      <w:i/>
                      <w:iCs/>
                      <w:kern w:val="2"/>
                      <w:sz w:val="28"/>
                      <w:szCs w:val="28"/>
                      <w:lang w:val="en-GB" w:eastAsia="en-US"/>
                      <w14:ligatures w14:val="standardContextual"/>
                    </w:rPr>
                    <w:t>Submission deadline: 2</w:t>
                  </w:r>
                  <w:r>
                    <w:rPr>
                      <w:rFonts w:ascii="Arial" w:eastAsia="Calibri" w:hAnsi="Arial" w:cs="Arial"/>
                      <w:b/>
                      <w:bCs/>
                      <w:i/>
                      <w:iCs/>
                      <w:kern w:val="2"/>
                      <w:sz w:val="28"/>
                      <w:szCs w:val="28"/>
                      <w:lang w:val="en-GB" w:eastAsia="en-US"/>
                      <w14:ligatures w14:val="standardContextual"/>
                    </w:rPr>
                    <w:t>8</w:t>
                  </w:r>
                  <w:r w:rsidRPr="004075B2">
                    <w:rPr>
                      <w:rFonts w:ascii="Arial" w:eastAsia="Calibri" w:hAnsi="Arial" w:cs="Arial"/>
                      <w:b/>
                      <w:bCs/>
                      <w:i/>
                      <w:iCs/>
                      <w:kern w:val="2"/>
                      <w:sz w:val="28"/>
                      <w:szCs w:val="28"/>
                      <w:lang w:val="en-GB" w:eastAsia="en-US"/>
                      <w14:ligatures w14:val="standardContextual"/>
                    </w:rPr>
                    <w:t xml:space="preserve"> March 2025</w:t>
                  </w:r>
                </w:p>
              </w:sdtContent>
            </w:sdt>
          </w:sdtContent>
        </w:sdt>
      </w:sdtContent>
    </w:sdt>
    <w:p w14:paraId="5DFAB83A" w14:textId="243E4BC6" w:rsidR="008901E2" w:rsidRPr="006C48D2" w:rsidRDefault="00000000" w:rsidP="006C48D2">
      <w:pPr>
        <w:spacing w:before="240" w:line="360" w:lineRule="auto"/>
        <w:jc w:val="both"/>
        <w:rPr>
          <w:rFonts w:ascii="Arial" w:hAnsi="Arial" w:cs="Arial"/>
          <w:b/>
          <w:bCs/>
          <w:sz w:val="24"/>
          <w:szCs w:val="24"/>
        </w:rPr>
      </w:pPr>
      <w:r w:rsidRPr="006C48D2">
        <w:rPr>
          <w:rFonts w:ascii="Arial" w:hAnsi="Arial" w:cs="Arial"/>
          <w:b/>
          <w:bCs/>
          <w:sz w:val="24"/>
          <w:szCs w:val="24"/>
        </w:rPr>
        <w:lastRenderedPageBreak/>
        <w:t>1. Introduction</w:t>
      </w:r>
    </w:p>
    <w:p w14:paraId="767A8333" w14:textId="771E2225" w:rsidR="008901E2" w:rsidRPr="006C48D2" w:rsidRDefault="00000000" w:rsidP="006C48D2">
      <w:pPr>
        <w:spacing w:before="240" w:line="360" w:lineRule="auto"/>
        <w:jc w:val="both"/>
        <w:rPr>
          <w:rFonts w:ascii="Arial" w:hAnsi="Arial" w:cs="Arial"/>
          <w:sz w:val="24"/>
          <w:szCs w:val="24"/>
        </w:rPr>
      </w:pPr>
      <w:r w:rsidRPr="006C48D2">
        <w:rPr>
          <w:rFonts w:ascii="Arial" w:hAnsi="Arial" w:cs="Arial"/>
          <w:sz w:val="24"/>
          <w:szCs w:val="24"/>
        </w:rPr>
        <w:t>The debate between pioneer and follower companies has been a critical topic in the fields of business strategy and innovation. The market is introduced to a product or service by pioneers, or first movers, before any competitors</w:t>
      </w:r>
      <w:r w:rsidR="003F6FE7">
        <w:rPr>
          <w:rFonts w:ascii="Arial" w:hAnsi="Arial" w:cs="Arial"/>
          <w:sz w:val="24"/>
          <w:szCs w:val="24"/>
        </w:rPr>
        <w:t xml:space="preserve"> </w:t>
      </w:r>
      <w:r w:rsidR="003F6FE7" w:rsidRPr="003F6FE7">
        <w:rPr>
          <w:rFonts w:ascii="Arial" w:hAnsi="Arial" w:cs="Arial"/>
          <w:sz w:val="24"/>
          <w:szCs w:val="24"/>
        </w:rPr>
        <w:t>(Robinson, Kalyanaram and Urban, 1994)</w:t>
      </w:r>
      <w:r w:rsidRPr="006C48D2">
        <w:rPr>
          <w:rFonts w:ascii="Arial" w:hAnsi="Arial" w:cs="Arial"/>
          <w:sz w:val="24"/>
          <w:szCs w:val="24"/>
        </w:rPr>
        <w:t xml:space="preserve">. Through this early entry, they </w:t>
      </w:r>
      <w:r w:rsidR="003F6FE7" w:rsidRPr="006C48D2">
        <w:rPr>
          <w:rFonts w:ascii="Arial" w:hAnsi="Arial" w:cs="Arial"/>
          <w:sz w:val="24"/>
          <w:szCs w:val="24"/>
        </w:rPr>
        <w:t>can</w:t>
      </w:r>
      <w:r w:rsidRPr="006C48D2">
        <w:rPr>
          <w:rFonts w:ascii="Arial" w:hAnsi="Arial" w:cs="Arial"/>
          <w:sz w:val="24"/>
          <w:szCs w:val="24"/>
        </w:rPr>
        <w:t xml:space="preserve"> establish a strong brand recognition, influence industry standards, and obtain a competitive advantage through technological leadership. Nevertheless, pioneering </w:t>
      </w:r>
      <w:r w:rsidR="003F6FE7" w:rsidRPr="006C48D2">
        <w:rPr>
          <w:rFonts w:ascii="Arial" w:hAnsi="Arial" w:cs="Arial"/>
          <w:sz w:val="24"/>
          <w:szCs w:val="24"/>
        </w:rPr>
        <w:t>involves</w:t>
      </w:r>
      <w:r w:rsidRPr="006C48D2">
        <w:rPr>
          <w:rFonts w:ascii="Arial" w:hAnsi="Arial" w:cs="Arial"/>
          <w:sz w:val="24"/>
          <w:szCs w:val="24"/>
        </w:rPr>
        <w:t xml:space="preserve"> substantial hazards. Pioneering can be a difficult strategy due to the potential for market shifts, uncertainty regarding consumer preferences, and high research and development costs</w:t>
      </w:r>
      <w:r w:rsidR="003F6FE7">
        <w:rPr>
          <w:rFonts w:ascii="Arial" w:hAnsi="Arial" w:cs="Arial"/>
          <w:sz w:val="24"/>
          <w:szCs w:val="24"/>
        </w:rPr>
        <w:t xml:space="preserve"> (Liu, 2023)</w:t>
      </w:r>
      <w:r w:rsidRPr="006C48D2">
        <w:rPr>
          <w:rFonts w:ascii="Arial" w:hAnsi="Arial" w:cs="Arial"/>
          <w:sz w:val="24"/>
          <w:szCs w:val="24"/>
        </w:rPr>
        <w:t>. Apple and Tesla have effectively capitalised on their first-mover status to dominate their respective industries, despite the risks associated with this strategy.</w:t>
      </w:r>
    </w:p>
    <w:p w14:paraId="55083E93" w14:textId="50B3ED7A" w:rsidR="008901E2" w:rsidRPr="006C48D2" w:rsidRDefault="00000000" w:rsidP="006C48D2">
      <w:pPr>
        <w:spacing w:before="240" w:line="360" w:lineRule="auto"/>
        <w:jc w:val="both"/>
        <w:rPr>
          <w:rFonts w:ascii="Arial" w:hAnsi="Arial" w:cs="Arial"/>
          <w:sz w:val="24"/>
          <w:szCs w:val="24"/>
        </w:rPr>
      </w:pPr>
      <w:r w:rsidRPr="006C48D2">
        <w:rPr>
          <w:rFonts w:ascii="Arial" w:hAnsi="Arial" w:cs="Arial"/>
          <w:sz w:val="24"/>
          <w:szCs w:val="24"/>
        </w:rPr>
        <w:t xml:space="preserve">Conversely, follower companies enter the market </w:t>
      </w:r>
      <w:r w:rsidR="003F6FE7" w:rsidRPr="006C48D2">
        <w:rPr>
          <w:rFonts w:ascii="Arial" w:hAnsi="Arial" w:cs="Arial"/>
          <w:sz w:val="24"/>
          <w:szCs w:val="24"/>
        </w:rPr>
        <w:t>after</w:t>
      </w:r>
      <w:r w:rsidRPr="006C48D2">
        <w:rPr>
          <w:rFonts w:ascii="Arial" w:hAnsi="Arial" w:cs="Arial"/>
          <w:sz w:val="24"/>
          <w:szCs w:val="24"/>
        </w:rPr>
        <w:t xml:space="preserve"> pioneers and frequently capitalise on the successes and errors of the early adopters</w:t>
      </w:r>
      <w:r w:rsidR="003F6FE7">
        <w:rPr>
          <w:rFonts w:ascii="Arial" w:hAnsi="Arial" w:cs="Arial"/>
          <w:sz w:val="24"/>
          <w:szCs w:val="24"/>
        </w:rPr>
        <w:t xml:space="preserve"> </w:t>
      </w:r>
      <w:r w:rsidR="003F6FE7" w:rsidRPr="003F6FE7">
        <w:rPr>
          <w:rFonts w:ascii="Arial" w:hAnsi="Arial" w:cs="Arial"/>
          <w:sz w:val="24"/>
          <w:szCs w:val="24"/>
        </w:rPr>
        <w:t>(Montgomery and Lieberman, 1991)</w:t>
      </w:r>
      <w:r w:rsidRPr="006C48D2">
        <w:rPr>
          <w:rFonts w:ascii="Arial" w:hAnsi="Arial" w:cs="Arial"/>
          <w:sz w:val="24"/>
          <w:szCs w:val="24"/>
        </w:rPr>
        <w:t xml:space="preserve">. </w:t>
      </w:r>
      <w:r w:rsidR="003F6FE7" w:rsidRPr="006C48D2">
        <w:rPr>
          <w:rFonts w:ascii="Arial" w:hAnsi="Arial" w:cs="Arial"/>
          <w:sz w:val="24"/>
          <w:szCs w:val="24"/>
        </w:rPr>
        <w:t>To</w:t>
      </w:r>
      <w:r w:rsidRPr="006C48D2">
        <w:rPr>
          <w:rFonts w:ascii="Arial" w:hAnsi="Arial" w:cs="Arial"/>
          <w:sz w:val="24"/>
          <w:szCs w:val="24"/>
        </w:rPr>
        <w:t xml:space="preserve"> mitigate development expenses, introduce enhanced versions, and implement more efficient business models, followers may refine their extant products and services. Samsung and Facebook, among other successful organisations, have implemented follower strategies to surpass pioneers and establish market leadership. For example, ING Direct was not the first in the online banking sector; however, it positioned itself as a leader by providing a superior client experience and operational efficiency.</w:t>
      </w:r>
    </w:p>
    <w:p w14:paraId="385581C4" w14:textId="77777777" w:rsidR="008901E2" w:rsidRPr="006C48D2" w:rsidRDefault="00000000" w:rsidP="006C48D2">
      <w:pPr>
        <w:spacing w:before="240" w:line="360" w:lineRule="auto"/>
        <w:jc w:val="both"/>
        <w:rPr>
          <w:rFonts w:ascii="Arial" w:hAnsi="Arial" w:cs="Arial"/>
          <w:sz w:val="24"/>
          <w:szCs w:val="24"/>
        </w:rPr>
      </w:pPr>
      <w:r w:rsidRPr="006C48D2">
        <w:rPr>
          <w:rFonts w:ascii="Arial" w:hAnsi="Arial" w:cs="Arial"/>
          <w:sz w:val="24"/>
          <w:szCs w:val="24"/>
        </w:rPr>
        <w:t>This essay examines the benefits of both pioneer and disciple companies by examining case studies of companies that have effectively implemented each approach. It also investigates the product life cycle strategies that these companies employ to sustain growth and preserve a competitive edge. This study offers a comparative analysis of these strategies, which enables businesses to strategically position themselves for long-term success.</w:t>
      </w:r>
    </w:p>
    <w:p w14:paraId="58BBCFD9" w14:textId="77777777" w:rsidR="008901E2" w:rsidRPr="006C48D2" w:rsidRDefault="00000000" w:rsidP="006C48D2">
      <w:pPr>
        <w:spacing w:before="240" w:line="360" w:lineRule="auto"/>
        <w:jc w:val="both"/>
        <w:rPr>
          <w:rFonts w:ascii="Arial" w:hAnsi="Arial" w:cs="Arial"/>
          <w:b/>
          <w:bCs/>
          <w:sz w:val="24"/>
          <w:szCs w:val="24"/>
        </w:rPr>
      </w:pPr>
      <w:r w:rsidRPr="006C48D2">
        <w:rPr>
          <w:rFonts w:ascii="Arial" w:hAnsi="Arial" w:cs="Arial"/>
          <w:b/>
          <w:bCs/>
          <w:sz w:val="24"/>
          <w:szCs w:val="24"/>
        </w:rPr>
        <w:t>2. Advantages of Being a Pioneer Company</w:t>
      </w:r>
    </w:p>
    <w:p w14:paraId="38219797" w14:textId="0F6BE486" w:rsidR="008901E2" w:rsidRDefault="00000000" w:rsidP="006C48D2">
      <w:pPr>
        <w:spacing w:before="240" w:line="360" w:lineRule="auto"/>
        <w:jc w:val="both"/>
        <w:rPr>
          <w:rFonts w:ascii="Arial" w:hAnsi="Arial" w:cs="Arial"/>
          <w:sz w:val="24"/>
          <w:szCs w:val="24"/>
        </w:rPr>
      </w:pPr>
      <w:r w:rsidRPr="006C48D2">
        <w:rPr>
          <w:rFonts w:ascii="Arial" w:hAnsi="Arial" w:cs="Arial"/>
          <w:sz w:val="24"/>
          <w:szCs w:val="24"/>
        </w:rPr>
        <w:t>Pioneer companies, also referred to as "first movers," occupy a distinctive position in the market by being the first to introduce innovative products or services. Pioneers can establish a competitive advantage over later entrants by taking advantage of this strategic positioning, which provides numerous benefits</w:t>
      </w:r>
      <w:r w:rsidR="006D3BAF">
        <w:rPr>
          <w:rFonts w:ascii="Arial" w:hAnsi="Arial" w:cs="Arial"/>
          <w:sz w:val="24"/>
          <w:szCs w:val="24"/>
        </w:rPr>
        <w:t xml:space="preserve"> (Arena, 2018)</w:t>
      </w:r>
      <w:r w:rsidRPr="006C48D2">
        <w:rPr>
          <w:rFonts w:ascii="Arial" w:hAnsi="Arial" w:cs="Arial"/>
          <w:sz w:val="24"/>
          <w:szCs w:val="24"/>
        </w:rPr>
        <w:t xml:space="preserve">. Nevertheless, </w:t>
      </w:r>
      <w:r w:rsidRPr="006C48D2">
        <w:rPr>
          <w:rFonts w:ascii="Arial" w:hAnsi="Arial" w:cs="Arial"/>
          <w:sz w:val="24"/>
          <w:szCs w:val="24"/>
        </w:rPr>
        <w:lastRenderedPageBreak/>
        <w:t>the efficacy of a pioneering strategy is contingent upon a variety of factors, such as the company's capacity to learn and adapt, technological sophistication, and industry dynamics.</w:t>
      </w:r>
    </w:p>
    <w:p w14:paraId="2270501E" w14:textId="4C00A1D2" w:rsidR="00584017" w:rsidRPr="006C48D2" w:rsidRDefault="00584017" w:rsidP="006C48D2">
      <w:pPr>
        <w:spacing w:before="240" w:line="360" w:lineRule="auto"/>
        <w:jc w:val="both"/>
        <w:rPr>
          <w:rFonts w:ascii="Arial" w:hAnsi="Arial" w:cs="Arial"/>
          <w:sz w:val="24"/>
          <w:szCs w:val="24"/>
        </w:rPr>
      </w:pPr>
      <w:r>
        <w:rPr>
          <w:noProof/>
        </w:rPr>
        <w:drawing>
          <wp:inline distT="0" distB="0" distL="0" distR="0" wp14:anchorId="36811186" wp14:editId="73FD0047">
            <wp:extent cx="5570220" cy="3368040"/>
            <wp:effectExtent l="0" t="0" r="0" b="3810"/>
            <wp:docPr id="1973919998" name="Picture 1" descr="The Half-Truth of First-Mover Advant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Half-Truth of First-Mover Advant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570220" cy="3368040"/>
                    </a:xfrm>
                    <a:prstGeom prst="rect">
                      <a:avLst/>
                    </a:prstGeom>
                    <a:noFill/>
                    <a:ln>
                      <a:noFill/>
                    </a:ln>
                  </pic:spPr>
                </pic:pic>
              </a:graphicData>
            </a:graphic>
          </wp:inline>
        </w:drawing>
      </w:r>
    </w:p>
    <w:p w14:paraId="7BC15AF0" w14:textId="2572FDEE" w:rsidR="008901E2" w:rsidRPr="006C48D2" w:rsidRDefault="00000000" w:rsidP="006C48D2">
      <w:pPr>
        <w:spacing w:before="240" w:line="360" w:lineRule="auto"/>
        <w:jc w:val="both"/>
        <w:rPr>
          <w:rFonts w:ascii="Arial" w:hAnsi="Arial" w:cs="Arial"/>
          <w:sz w:val="24"/>
          <w:szCs w:val="24"/>
        </w:rPr>
      </w:pPr>
      <w:r w:rsidRPr="006C48D2">
        <w:rPr>
          <w:rFonts w:ascii="Arial" w:hAnsi="Arial" w:cs="Arial"/>
          <w:sz w:val="24"/>
          <w:szCs w:val="24"/>
        </w:rPr>
        <w:t>The first-mover advantage is one of the primary benefits of being a pioneer</w:t>
      </w:r>
      <w:r w:rsidR="006D3BAF">
        <w:rPr>
          <w:rFonts w:ascii="Arial" w:hAnsi="Arial" w:cs="Arial"/>
          <w:sz w:val="24"/>
          <w:szCs w:val="24"/>
        </w:rPr>
        <w:t xml:space="preserve"> </w:t>
      </w:r>
      <w:r w:rsidR="006D3BAF" w:rsidRPr="006D3BAF">
        <w:rPr>
          <w:rFonts w:ascii="Arial" w:hAnsi="Arial" w:cs="Arial"/>
          <w:sz w:val="24"/>
          <w:szCs w:val="24"/>
        </w:rPr>
        <w:t>(Robinson, Kalyanaram and Urban, 1994)</w:t>
      </w:r>
      <w:r w:rsidRPr="006C48D2">
        <w:rPr>
          <w:rFonts w:ascii="Arial" w:hAnsi="Arial" w:cs="Arial"/>
          <w:sz w:val="24"/>
          <w:szCs w:val="24"/>
        </w:rPr>
        <w:t xml:space="preserve">. Before competitors enter the market, pioneers </w:t>
      </w:r>
      <w:r w:rsidR="003F6FE7" w:rsidRPr="006C48D2">
        <w:rPr>
          <w:rFonts w:ascii="Arial" w:hAnsi="Arial" w:cs="Arial"/>
          <w:sz w:val="24"/>
          <w:szCs w:val="24"/>
        </w:rPr>
        <w:t>can</w:t>
      </w:r>
      <w:r w:rsidRPr="006C48D2">
        <w:rPr>
          <w:rFonts w:ascii="Arial" w:hAnsi="Arial" w:cs="Arial"/>
          <w:sz w:val="24"/>
          <w:szCs w:val="24"/>
        </w:rPr>
        <w:t xml:space="preserve"> influence consumer preferences and establish robust brand loyalty. Pioneers </w:t>
      </w:r>
      <w:r w:rsidR="003F6FE7" w:rsidRPr="006C48D2">
        <w:rPr>
          <w:rFonts w:ascii="Arial" w:hAnsi="Arial" w:cs="Arial"/>
          <w:sz w:val="24"/>
          <w:szCs w:val="24"/>
        </w:rPr>
        <w:t>can</w:t>
      </w:r>
      <w:r w:rsidRPr="006C48D2">
        <w:rPr>
          <w:rFonts w:ascii="Arial" w:hAnsi="Arial" w:cs="Arial"/>
          <w:sz w:val="24"/>
          <w:szCs w:val="24"/>
        </w:rPr>
        <w:t xml:space="preserve"> establish industry standards and establish substantial barriers to entry by being the first to offer a new product or service. For instance, in the financial services sector, organisations that were the first to implement online banking </w:t>
      </w:r>
      <w:r w:rsidR="003F6FE7" w:rsidRPr="006C48D2">
        <w:rPr>
          <w:rFonts w:ascii="Arial" w:hAnsi="Arial" w:cs="Arial"/>
          <w:sz w:val="24"/>
          <w:szCs w:val="24"/>
        </w:rPr>
        <w:t>could establish</w:t>
      </w:r>
      <w:r w:rsidRPr="006C48D2">
        <w:rPr>
          <w:rFonts w:ascii="Arial" w:hAnsi="Arial" w:cs="Arial"/>
          <w:sz w:val="24"/>
          <w:szCs w:val="24"/>
        </w:rPr>
        <w:t xml:space="preserve"> industry standards and attracting a devoted clientele.</w:t>
      </w:r>
    </w:p>
    <w:p w14:paraId="43CA9648" w14:textId="43BE5847" w:rsidR="008901E2" w:rsidRPr="006C48D2" w:rsidRDefault="00000000" w:rsidP="006C48D2">
      <w:pPr>
        <w:spacing w:before="240" w:line="360" w:lineRule="auto"/>
        <w:jc w:val="both"/>
        <w:rPr>
          <w:rFonts w:ascii="Arial" w:hAnsi="Arial" w:cs="Arial"/>
          <w:sz w:val="24"/>
          <w:szCs w:val="24"/>
        </w:rPr>
      </w:pPr>
      <w:r w:rsidRPr="006C48D2">
        <w:rPr>
          <w:rFonts w:ascii="Arial" w:hAnsi="Arial" w:cs="Arial"/>
          <w:sz w:val="24"/>
          <w:szCs w:val="24"/>
        </w:rPr>
        <w:t>Market leadership and pricing control are additional significant advantages of pioneering</w:t>
      </w:r>
      <w:r w:rsidR="006D3BAF">
        <w:rPr>
          <w:rFonts w:ascii="Arial" w:hAnsi="Arial" w:cs="Arial"/>
          <w:sz w:val="24"/>
          <w:szCs w:val="24"/>
        </w:rPr>
        <w:t xml:space="preserve"> </w:t>
      </w:r>
      <w:r w:rsidR="006D3BAF" w:rsidRPr="006D3BAF">
        <w:rPr>
          <w:rFonts w:ascii="Arial" w:hAnsi="Arial" w:cs="Arial"/>
          <w:sz w:val="24"/>
          <w:szCs w:val="24"/>
        </w:rPr>
        <w:t>(Zahra, Nash and Bickford, 1995)</w:t>
      </w:r>
      <w:r w:rsidRPr="006C48D2">
        <w:rPr>
          <w:rFonts w:ascii="Arial" w:hAnsi="Arial" w:cs="Arial"/>
          <w:sz w:val="24"/>
          <w:szCs w:val="24"/>
        </w:rPr>
        <w:t xml:space="preserve">. Pioneers </w:t>
      </w:r>
      <w:r w:rsidR="003F6FE7" w:rsidRPr="006C48D2">
        <w:rPr>
          <w:rFonts w:ascii="Arial" w:hAnsi="Arial" w:cs="Arial"/>
          <w:sz w:val="24"/>
          <w:szCs w:val="24"/>
        </w:rPr>
        <w:t>can</w:t>
      </w:r>
      <w:r w:rsidRPr="006C48D2">
        <w:rPr>
          <w:rFonts w:ascii="Arial" w:hAnsi="Arial" w:cs="Arial"/>
          <w:sz w:val="24"/>
          <w:szCs w:val="24"/>
        </w:rPr>
        <w:t xml:space="preserve"> influence pricing strategies by introducing products in markets where competition is minimal. This enables them to establish premium prices and capitalise on increased profit margins prior to competitors' price reductions. Research suggests that pioneers in technologically advanced industries frequently maintain a dominant position in their respective sectors for an extended period, capitalising on their early entry to establish robust market positions.</w:t>
      </w:r>
    </w:p>
    <w:p w14:paraId="4DF433FA" w14:textId="4E3D2F23" w:rsidR="008901E2" w:rsidRPr="006C48D2" w:rsidRDefault="00000000" w:rsidP="006C48D2">
      <w:pPr>
        <w:spacing w:before="240" w:line="360" w:lineRule="auto"/>
        <w:jc w:val="both"/>
        <w:rPr>
          <w:rFonts w:ascii="Arial" w:hAnsi="Arial" w:cs="Arial"/>
          <w:sz w:val="24"/>
          <w:szCs w:val="24"/>
        </w:rPr>
      </w:pPr>
      <w:r w:rsidRPr="006C48D2">
        <w:rPr>
          <w:rFonts w:ascii="Arial" w:hAnsi="Arial" w:cs="Arial"/>
          <w:sz w:val="24"/>
          <w:szCs w:val="24"/>
        </w:rPr>
        <w:lastRenderedPageBreak/>
        <w:t xml:space="preserve">In addition, pioneers </w:t>
      </w:r>
      <w:r w:rsidR="003F6FE7" w:rsidRPr="006C48D2">
        <w:rPr>
          <w:rFonts w:ascii="Arial" w:hAnsi="Arial" w:cs="Arial"/>
          <w:sz w:val="24"/>
          <w:szCs w:val="24"/>
        </w:rPr>
        <w:t>can</w:t>
      </w:r>
      <w:r w:rsidRPr="006C48D2">
        <w:rPr>
          <w:rFonts w:ascii="Arial" w:hAnsi="Arial" w:cs="Arial"/>
          <w:sz w:val="24"/>
          <w:szCs w:val="24"/>
        </w:rPr>
        <w:t xml:space="preserve"> capitalise on technological and innovation leadership</w:t>
      </w:r>
      <w:r w:rsidR="006D3BAF">
        <w:rPr>
          <w:rFonts w:ascii="Arial" w:hAnsi="Arial" w:cs="Arial"/>
          <w:sz w:val="24"/>
          <w:szCs w:val="24"/>
        </w:rPr>
        <w:t xml:space="preserve"> </w:t>
      </w:r>
      <w:r w:rsidR="006D3BAF" w:rsidRPr="006D3BAF">
        <w:rPr>
          <w:rFonts w:ascii="Arial" w:hAnsi="Arial" w:cs="Arial"/>
          <w:sz w:val="24"/>
          <w:szCs w:val="24"/>
        </w:rPr>
        <w:t>(Zahra, Nash and Bickford, 1995)</w:t>
      </w:r>
      <w:r w:rsidRPr="006C48D2">
        <w:rPr>
          <w:rFonts w:ascii="Arial" w:hAnsi="Arial" w:cs="Arial"/>
          <w:sz w:val="24"/>
          <w:szCs w:val="24"/>
        </w:rPr>
        <w:t>. A company can establish a reputation as an industry authority and innovator by being the first to enter a market. This perception bolsters consumer confidence and improves the organization's capacity to recruit investors, partners, and top talent. Companies like Tesla in the electric vehicle market and Apple in the smartphone industry have effectively leveraged their pioneering positions to sustain market dominance by consistently innovating.</w:t>
      </w:r>
    </w:p>
    <w:p w14:paraId="2C7AE646" w14:textId="448924A6" w:rsidR="008901E2" w:rsidRPr="006C48D2" w:rsidRDefault="00000000" w:rsidP="006C48D2">
      <w:pPr>
        <w:spacing w:before="240" w:line="360" w:lineRule="auto"/>
        <w:jc w:val="both"/>
        <w:rPr>
          <w:rFonts w:ascii="Arial" w:hAnsi="Arial" w:cs="Arial"/>
          <w:sz w:val="24"/>
          <w:szCs w:val="24"/>
        </w:rPr>
      </w:pPr>
      <w:r w:rsidRPr="006C48D2">
        <w:rPr>
          <w:rFonts w:ascii="Arial" w:hAnsi="Arial" w:cs="Arial"/>
          <w:sz w:val="24"/>
          <w:szCs w:val="24"/>
        </w:rPr>
        <w:t>Pioneering is not without hazards, despite these benefits. Pioneers frequently incur the most substantial research and development (R&amp;D) expenses, as they are obligated to invest in the development and testing of novel products that lack a demonstrated market demand</w:t>
      </w:r>
      <w:r w:rsidR="006D3BAF">
        <w:rPr>
          <w:rFonts w:ascii="Arial" w:hAnsi="Arial" w:cs="Arial"/>
          <w:sz w:val="24"/>
          <w:szCs w:val="24"/>
        </w:rPr>
        <w:t xml:space="preserve"> </w:t>
      </w:r>
      <w:r w:rsidR="006D3BAF" w:rsidRPr="006D3BAF">
        <w:rPr>
          <w:rFonts w:ascii="Arial" w:hAnsi="Arial" w:cs="Arial"/>
          <w:sz w:val="24"/>
          <w:szCs w:val="24"/>
        </w:rPr>
        <w:t>(Mueller and Tilton, 1969)</w:t>
      </w:r>
      <w:r w:rsidRPr="006C48D2">
        <w:rPr>
          <w:rFonts w:ascii="Arial" w:hAnsi="Arial" w:cs="Arial"/>
          <w:sz w:val="24"/>
          <w:szCs w:val="24"/>
        </w:rPr>
        <w:t>. Additionally, they are confronted with substantial technological and market uncertainties, as consumer preferences and technological advancements may fluctuate without warning. Nevertheless, research indicates that pioneers who strategically learn from their early market experiences and perpetually adapt their offerings tend to outperform their competitors over time.</w:t>
      </w:r>
    </w:p>
    <w:p w14:paraId="27394E3F" w14:textId="77777777" w:rsidR="008901E2" w:rsidRPr="006C48D2" w:rsidRDefault="00000000" w:rsidP="006C48D2">
      <w:pPr>
        <w:spacing w:before="240" w:line="360" w:lineRule="auto"/>
        <w:jc w:val="both"/>
        <w:rPr>
          <w:rFonts w:ascii="Arial" w:hAnsi="Arial" w:cs="Arial"/>
          <w:b/>
          <w:bCs/>
          <w:sz w:val="24"/>
          <w:szCs w:val="24"/>
        </w:rPr>
      </w:pPr>
      <w:r w:rsidRPr="006C48D2">
        <w:rPr>
          <w:rFonts w:ascii="Arial" w:hAnsi="Arial" w:cs="Arial"/>
          <w:b/>
          <w:bCs/>
          <w:sz w:val="24"/>
          <w:szCs w:val="24"/>
        </w:rPr>
        <w:t>3. Advantages of Being a Follower Company</w:t>
      </w:r>
    </w:p>
    <w:p w14:paraId="5C7B9171" w14:textId="09384443" w:rsidR="008901E2" w:rsidRPr="006C48D2" w:rsidRDefault="00000000" w:rsidP="006C48D2">
      <w:pPr>
        <w:spacing w:before="240" w:line="360" w:lineRule="auto"/>
        <w:jc w:val="both"/>
        <w:rPr>
          <w:rFonts w:ascii="Arial" w:hAnsi="Arial" w:cs="Arial"/>
          <w:sz w:val="24"/>
          <w:szCs w:val="24"/>
        </w:rPr>
      </w:pPr>
      <w:r w:rsidRPr="006C48D2">
        <w:rPr>
          <w:rFonts w:ascii="Arial" w:hAnsi="Arial" w:cs="Arial"/>
          <w:sz w:val="24"/>
          <w:szCs w:val="24"/>
        </w:rPr>
        <w:t>Late entrants, also referred to as follower companies, enter a market after pioneers have established a product or service</w:t>
      </w:r>
      <w:r w:rsidR="006D3BAF">
        <w:rPr>
          <w:rFonts w:ascii="Arial" w:hAnsi="Arial" w:cs="Arial"/>
          <w:sz w:val="24"/>
          <w:szCs w:val="24"/>
        </w:rPr>
        <w:t xml:space="preserve"> </w:t>
      </w:r>
      <w:r w:rsidR="006D3BAF" w:rsidRPr="006D3BAF">
        <w:rPr>
          <w:rFonts w:ascii="Arial" w:hAnsi="Arial" w:cs="Arial"/>
          <w:sz w:val="24"/>
          <w:szCs w:val="24"/>
        </w:rPr>
        <w:t>(Shankar, Carpenter and Krishnamurthi, 1998)</w:t>
      </w:r>
      <w:r w:rsidRPr="006C48D2">
        <w:rPr>
          <w:rFonts w:ascii="Arial" w:hAnsi="Arial" w:cs="Arial"/>
          <w:sz w:val="24"/>
          <w:szCs w:val="24"/>
        </w:rPr>
        <w:t>. Although they do not capitalise on first-mover advantages, they possess numerous strategic advantages that may facilitate their success in industries that are highly competitive. The following are some of the benefits: implementing cost-effective market entry strategies, reducing research and development (R&amp;D) costs, improving products through market feedback, and learning from the errors of pioneers.</w:t>
      </w:r>
    </w:p>
    <w:p w14:paraId="0B8782A2" w14:textId="640D8729" w:rsidR="008901E2" w:rsidRDefault="00000000" w:rsidP="006C48D2">
      <w:pPr>
        <w:spacing w:before="240" w:line="360" w:lineRule="auto"/>
        <w:jc w:val="both"/>
        <w:rPr>
          <w:rFonts w:ascii="Arial" w:hAnsi="Arial" w:cs="Arial"/>
          <w:sz w:val="24"/>
          <w:szCs w:val="24"/>
        </w:rPr>
      </w:pPr>
      <w:r w:rsidRPr="006C48D2">
        <w:rPr>
          <w:rFonts w:ascii="Arial" w:hAnsi="Arial" w:cs="Arial"/>
          <w:sz w:val="24"/>
          <w:szCs w:val="24"/>
        </w:rPr>
        <w:t>The capacity to learn from pioneering errors is one of the most substantial benefits of being a follower</w:t>
      </w:r>
      <w:r w:rsidR="006D3BAF">
        <w:rPr>
          <w:rFonts w:ascii="Arial" w:hAnsi="Arial" w:cs="Arial"/>
          <w:sz w:val="24"/>
          <w:szCs w:val="24"/>
        </w:rPr>
        <w:t xml:space="preserve"> </w:t>
      </w:r>
      <w:r w:rsidR="006D3BAF" w:rsidRPr="006D3BAF">
        <w:rPr>
          <w:rFonts w:ascii="Arial" w:hAnsi="Arial" w:cs="Arial"/>
          <w:sz w:val="24"/>
          <w:szCs w:val="24"/>
        </w:rPr>
        <w:t>(Whitlock, 2013)</w:t>
      </w:r>
      <w:r w:rsidRPr="006C48D2">
        <w:rPr>
          <w:rFonts w:ascii="Arial" w:hAnsi="Arial" w:cs="Arial"/>
          <w:sz w:val="24"/>
          <w:szCs w:val="24"/>
        </w:rPr>
        <w:t>. Consumer preferences, production challenges, and regulatory impediments frequently present significant uncertainties for pioneers. By analysing the experiences of pioneers, followers can prevent costly errors, thereby enhancing the efficacy of product development and market positioning. Research has demonstrated that follower companies frequently introduce enhanced versions of their extant products, which incorporate enhanced functionality and superior technology.</w:t>
      </w:r>
    </w:p>
    <w:p w14:paraId="6C4EE993" w14:textId="20E64E3D" w:rsidR="00584017" w:rsidRPr="00584017" w:rsidRDefault="00584017" w:rsidP="00584017">
      <w:pPr>
        <w:spacing w:before="240" w:line="360" w:lineRule="auto"/>
        <w:jc w:val="center"/>
        <w:rPr>
          <w:rFonts w:ascii="Arial" w:hAnsi="Arial" w:cs="Arial"/>
          <w:i/>
          <w:iCs/>
          <w:sz w:val="16"/>
          <w:szCs w:val="16"/>
        </w:rPr>
      </w:pPr>
      <w:r w:rsidRPr="00584017">
        <w:rPr>
          <w:i/>
          <w:iCs/>
          <w:noProof/>
          <w:sz w:val="16"/>
          <w:szCs w:val="16"/>
        </w:rPr>
        <w:lastRenderedPageBreak/>
        <w:drawing>
          <wp:inline distT="0" distB="0" distL="0" distR="0" wp14:anchorId="0A935943" wp14:editId="7CBAAF5C">
            <wp:extent cx="5715000" cy="2461260"/>
            <wp:effectExtent l="0" t="0" r="0" b="0"/>
            <wp:docPr id="468253816" name="Picture 3" descr="Should Your Company be a Market Follower, Market Leader, or Market Expert?  - DriveYourSuc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hould Your Company be a Market Follower, Market Leader, or Market Expert?  - DriveYourSucc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15000" cy="2461260"/>
                    </a:xfrm>
                    <a:prstGeom prst="rect">
                      <a:avLst/>
                    </a:prstGeom>
                    <a:noFill/>
                    <a:ln>
                      <a:noFill/>
                    </a:ln>
                  </pic:spPr>
                </pic:pic>
              </a:graphicData>
            </a:graphic>
          </wp:inline>
        </w:drawing>
      </w:r>
    </w:p>
    <w:p w14:paraId="43A8DB5D" w14:textId="5D348102" w:rsidR="00584017" w:rsidRPr="00584017" w:rsidRDefault="00584017" w:rsidP="00584017">
      <w:pPr>
        <w:spacing w:before="240" w:line="360" w:lineRule="auto"/>
        <w:jc w:val="center"/>
        <w:rPr>
          <w:rFonts w:ascii="Arial" w:hAnsi="Arial" w:cs="Arial"/>
          <w:i/>
          <w:iCs/>
          <w:sz w:val="16"/>
          <w:szCs w:val="16"/>
        </w:rPr>
      </w:pPr>
      <w:r w:rsidRPr="00584017">
        <w:rPr>
          <w:rFonts w:ascii="Arial" w:hAnsi="Arial" w:cs="Arial"/>
          <w:i/>
          <w:iCs/>
          <w:sz w:val="16"/>
          <w:szCs w:val="16"/>
        </w:rPr>
        <w:t>Source: https://www.driveyoursuccess.com/2010/04/should-your-company-be-a-market-follower-market-leader-or-market-expert.html</w:t>
      </w:r>
    </w:p>
    <w:p w14:paraId="68AB2783" w14:textId="4BFC3AD2" w:rsidR="008901E2" w:rsidRPr="006C48D2" w:rsidRDefault="00000000" w:rsidP="006C48D2">
      <w:pPr>
        <w:spacing w:before="240" w:line="360" w:lineRule="auto"/>
        <w:jc w:val="both"/>
        <w:rPr>
          <w:rFonts w:ascii="Arial" w:hAnsi="Arial" w:cs="Arial"/>
          <w:sz w:val="24"/>
          <w:szCs w:val="24"/>
        </w:rPr>
      </w:pPr>
      <w:r w:rsidRPr="006C48D2">
        <w:rPr>
          <w:rFonts w:ascii="Arial" w:hAnsi="Arial" w:cs="Arial"/>
          <w:sz w:val="24"/>
          <w:szCs w:val="24"/>
        </w:rPr>
        <w:t>The reduction in R&amp;D costs is another significant benefit of followers. Followers can leverage the existing infrastructure and knowledge by investing significantly in technological development, market education, and innovation, as pioneers do. Followers can introduce high-quality products with minimal investment by utilising and improving existing technologies</w:t>
      </w:r>
      <w:r w:rsidR="006D3BAF">
        <w:rPr>
          <w:rFonts w:ascii="Arial" w:hAnsi="Arial" w:cs="Arial"/>
          <w:sz w:val="24"/>
          <w:szCs w:val="24"/>
        </w:rPr>
        <w:t xml:space="preserve"> </w:t>
      </w:r>
      <w:r w:rsidR="006D3BAF" w:rsidRPr="006D3BAF">
        <w:rPr>
          <w:rFonts w:ascii="Arial" w:hAnsi="Arial" w:cs="Arial"/>
          <w:sz w:val="24"/>
          <w:szCs w:val="24"/>
        </w:rPr>
        <w:t>(Huang, Chou and Lee, 2010)</w:t>
      </w:r>
      <w:r w:rsidRPr="006C48D2">
        <w:rPr>
          <w:rFonts w:ascii="Arial" w:hAnsi="Arial" w:cs="Arial"/>
          <w:sz w:val="24"/>
          <w:szCs w:val="24"/>
        </w:rPr>
        <w:t>. For instance, organisations in the European Union that implement follower strategies frequently exhibit enhanced market adaptability and cost efficiency by emphasising incremental innovations rather than radical advancements.</w:t>
      </w:r>
    </w:p>
    <w:p w14:paraId="0917C24E" w14:textId="3B5FF159" w:rsidR="008901E2" w:rsidRPr="006C48D2" w:rsidRDefault="00000000" w:rsidP="006C48D2">
      <w:pPr>
        <w:spacing w:before="240" w:line="360" w:lineRule="auto"/>
        <w:jc w:val="both"/>
        <w:rPr>
          <w:rFonts w:ascii="Arial" w:hAnsi="Arial" w:cs="Arial"/>
          <w:sz w:val="24"/>
          <w:szCs w:val="24"/>
        </w:rPr>
      </w:pPr>
      <w:r w:rsidRPr="006C48D2">
        <w:rPr>
          <w:rFonts w:ascii="Arial" w:hAnsi="Arial" w:cs="Arial"/>
          <w:sz w:val="24"/>
          <w:szCs w:val="24"/>
        </w:rPr>
        <w:t xml:space="preserve">Market feedback also benefits follower companies by enhancing their products. In contrast to pioneers, who introduce products with limited customer insights, followers </w:t>
      </w:r>
      <w:r w:rsidR="003F6FE7" w:rsidRPr="006C48D2">
        <w:rPr>
          <w:rFonts w:ascii="Arial" w:hAnsi="Arial" w:cs="Arial"/>
          <w:sz w:val="24"/>
          <w:szCs w:val="24"/>
        </w:rPr>
        <w:t>can</w:t>
      </w:r>
      <w:r w:rsidRPr="006C48D2">
        <w:rPr>
          <w:rFonts w:ascii="Arial" w:hAnsi="Arial" w:cs="Arial"/>
          <w:sz w:val="24"/>
          <w:szCs w:val="24"/>
        </w:rPr>
        <w:t xml:space="preserve"> analyse consumer responses and market trends prior to unveiling their offerings</w:t>
      </w:r>
      <w:r w:rsidR="008730A0">
        <w:rPr>
          <w:rFonts w:ascii="Arial" w:hAnsi="Arial" w:cs="Arial"/>
          <w:sz w:val="24"/>
          <w:szCs w:val="24"/>
        </w:rPr>
        <w:t xml:space="preserve"> </w:t>
      </w:r>
      <w:r w:rsidR="008730A0" w:rsidRPr="008730A0">
        <w:rPr>
          <w:rFonts w:ascii="Arial" w:hAnsi="Arial" w:cs="Arial"/>
          <w:sz w:val="24"/>
          <w:szCs w:val="24"/>
        </w:rPr>
        <w:t>(Shankar, 2006)</w:t>
      </w:r>
      <w:r w:rsidRPr="006C48D2">
        <w:rPr>
          <w:rFonts w:ascii="Arial" w:hAnsi="Arial" w:cs="Arial"/>
          <w:sz w:val="24"/>
          <w:szCs w:val="24"/>
        </w:rPr>
        <w:t xml:space="preserve">. This enables them to create products that are more responsive to the requirements of their customers, resulting in increased customer satisfaction and adoption rates. </w:t>
      </w:r>
    </w:p>
    <w:p w14:paraId="6F85EB85" w14:textId="1952F4DC" w:rsidR="008901E2" w:rsidRPr="006C48D2" w:rsidRDefault="00000000" w:rsidP="006C48D2">
      <w:pPr>
        <w:spacing w:before="240" w:line="360" w:lineRule="auto"/>
        <w:jc w:val="both"/>
        <w:rPr>
          <w:rFonts w:ascii="Arial" w:hAnsi="Arial" w:cs="Arial"/>
          <w:sz w:val="24"/>
          <w:szCs w:val="24"/>
        </w:rPr>
      </w:pPr>
      <w:r w:rsidRPr="006C48D2">
        <w:rPr>
          <w:rFonts w:ascii="Arial" w:hAnsi="Arial" w:cs="Arial"/>
          <w:sz w:val="24"/>
          <w:szCs w:val="24"/>
        </w:rPr>
        <w:t xml:space="preserve">Furthermore, market entry strategies that are cost-effective can be implemented by </w:t>
      </w:r>
      <w:r w:rsidR="008730A0">
        <w:rPr>
          <w:rFonts w:ascii="Arial" w:hAnsi="Arial" w:cs="Arial"/>
          <w:sz w:val="24"/>
          <w:szCs w:val="24"/>
        </w:rPr>
        <w:t>followers</w:t>
      </w:r>
      <w:r w:rsidRPr="006C48D2">
        <w:rPr>
          <w:rFonts w:ascii="Arial" w:hAnsi="Arial" w:cs="Arial"/>
          <w:sz w:val="24"/>
          <w:szCs w:val="24"/>
        </w:rPr>
        <w:t>. Rather than establishing entirely new markets, they enter existing ones with competitive pricing, refined business models, and robust distribution networks</w:t>
      </w:r>
      <w:r w:rsidR="008730A0">
        <w:rPr>
          <w:rFonts w:ascii="Arial" w:hAnsi="Arial" w:cs="Arial"/>
          <w:sz w:val="24"/>
          <w:szCs w:val="24"/>
        </w:rPr>
        <w:t xml:space="preserve"> </w:t>
      </w:r>
      <w:r w:rsidR="008730A0" w:rsidRPr="008730A0">
        <w:rPr>
          <w:rFonts w:ascii="Arial" w:hAnsi="Arial" w:cs="Arial"/>
          <w:sz w:val="24"/>
          <w:szCs w:val="24"/>
        </w:rPr>
        <w:t>(Markides and Geroski, 2004)</w:t>
      </w:r>
      <w:r w:rsidRPr="006C48D2">
        <w:rPr>
          <w:rFonts w:ascii="Arial" w:hAnsi="Arial" w:cs="Arial"/>
          <w:sz w:val="24"/>
          <w:szCs w:val="24"/>
        </w:rPr>
        <w:t xml:space="preserve">. This is especially advantageous in sectors where technology is swiftly evolving, as it allows followers to incorporate the most recent developments without incurring the initial development costs. Samsung and Facebook </w:t>
      </w:r>
      <w:r w:rsidRPr="006C48D2">
        <w:rPr>
          <w:rFonts w:ascii="Arial" w:hAnsi="Arial" w:cs="Arial"/>
          <w:sz w:val="24"/>
          <w:szCs w:val="24"/>
        </w:rPr>
        <w:lastRenderedPageBreak/>
        <w:t>have effectively implemented follower strategies by enhancing the user experiences and technologies that pioneers have established.</w:t>
      </w:r>
    </w:p>
    <w:p w14:paraId="1D37F741" w14:textId="77777777" w:rsidR="008901E2" w:rsidRPr="006C48D2" w:rsidRDefault="00000000" w:rsidP="006C48D2">
      <w:pPr>
        <w:spacing w:before="240" w:line="360" w:lineRule="auto"/>
        <w:jc w:val="both"/>
        <w:rPr>
          <w:rFonts w:ascii="Arial" w:hAnsi="Arial" w:cs="Arial"/>
          <w:b/>
          <w:bCs/>
          <w:sz w:val="24"/>
          <w:szCs w:val="24"/>
        </w:rPr>
      </w:pPr>
      <w:r w:rsidRPr="006C48D2">
        <w:rPr>
          <w:rFonts w:ascii="Arial" w:hAnsi="Arial" w:cs="Arial"/>
          <w:b/>
          <w:bCs/>
          <w:sz w:val="24"/>
          <w:szCs w:val="24"/>
        </w:rPr>
        <w:t>4. Product Life Cycle Strategies of Successful Pioneer Companies</w:t>
      </w:r>
    </w:p>
    <w:p w14:paraId="071545B8" w14:textId="77777777" w:rsidR="008901E2" w:rsidRPr="006C48D2" w:rsidRDefault="00000000" w:rsidP="006C48D2">
      <w:pPr>
        <w:spacing w:before="240" w:line="360" w:lineRule="auto"/>
        <w:jc w:val="both"/>
        <w:rPr>
          <w:rFonts w:ascii="Arial" w:hAnsi="Arial" w:cs="Arial"/>
          <w:sz w:val="24"/>
          <w:szCs w:val="24"/>
        </w:rPr>
      </w:pPr>
      <w:r w:rsidRPr="006C48D2">
        <w:rPr>
          <w:rFonts w:ascii="Arial" w:hAnsi="Arial" w:cs="Arial"/>
          <w:sz w:val="24"/>
          <w:szCs w:val="24"/>
        </w:rPr>
        <w:t>Pioneer companies, or first movers, implement unique product life cycle (PLC) strategies to maintain a competitive edge and establish market leadership. Effective market positioning, innovation, and adaptation to evolving market dynamics are the foundations of these strategies' success.</w:t>
      </w:r>
    </w:p>
    <w:p w14:paraId="562053CC" w14:textId="1D4B75DC" w:rsidR="008901E2" w:rsidRPr="006C48D2" w:rsidRDefault="006C48D2" w:rsidP="006C48D2">
      <w:pPr>
        <w:spacing w:before="240" w:line="360" w:lineRule="auto"/>
        <w:jc w:val="both"/>
        <w:rPr>
          <w:rFonts w:ascii="Arial" w:hAnsi="Arial" w:cs="Arial"/>
          <w:b/>
          <w:bCs/>
          <w:sz w:val="24"/>
          <w:szCs w:val="24"/>
        </w:rPr>
      </w:pPr>
      <w:r w:rsidRPr="006C48D2">
        <w:rPr>
          <w:rFonts w:ascii="Arial" w:hAnsi="Arial" w:cs="Arial"/>
          <w:b/>
          <w:bCs/>
          <w:sz w:val="24"/>
          <w:szCs w:val="24"/>
        </w:rPr>
        <w:t>4.1 Introduction and Growth Stages</w:t>
      </w:r>
    </w:p>
    <w:p w14:paraId="0708DE1E" w14:textId="51E93F52" w:rsidR="003F6FE7" w:rsidRDefault="00000000" w:rsidP="006C48D2">
      <w:pPr>
        <w:spacing w:before="240" w:line="360" w:lineRule="auto"/>
        <w:jc w:val="both"/>
        <w:rPr>
          <w:rFonts w:ascii="Arial" w:hAnsi="Arial" w:cs="Arial"/>
          <w:sz w:val="24"/>
          <w:szCs w:val="24"/>
        </w:rPr>
      </w:pPr>
      <w:r w:rsidRPr="006C48D2">
        <w:rPr>
          <w:rFonts w:ascii="Arial" w:hAnsi="Arial" w:cs="Arial"/>
          <w:sz w:val="24"/>
          <w:szCs w:val="24"/>
        </w:rPr>
        <w:t>During the introduction stage, pioneer companies frequently encounter substantial financial risk and high uncertainty, necessitating substantial investments in research and development (R&amp;D). Approximately 80% of scientific and technical concepts that are tested by companies are rejected, with only 20% of them progressing to practical development</w:t>
      </w:r>
      <w:r w:rsidR="008730A0">
        <w:rPr>
          <w:rFonts w:ascii="Arial" w:hAnsi="Arial" w:cs="Arial"/>
          <w:sz w:val="24"/>
          <w:szCs w:val="24"/>
        </w:rPr>
        <w:t xml:space="preserve"> </w:t>
      </w:r>
      <w:r w:rsidR="008730A0" w:rsidRPr="008730A0">
        <w:rPr>
          <w:rFonts w:ascii="Arial" w:hAnsi="Arial" w:cs="Arial"/>
          <w:sz w:val="24"/>
          <w:szCs w:val="24"/>
        </w:rPr>
        <w:t>(Leitão, De Brito and Pereira, 2024)</w:t>
      </w:r>
      <w:r w:rsidRPr="006C48D2">
        <w:rPr>
          <w:rFonts w:ascii="Arial" w:hAnsi="Arial" w:cs="Arial"/>
          <w:sz w:val="24"/>
          <w:szCs w:val="24"/>
        </w:rPr>
        <w:t xml:space="preserve">. Despite this, approximately 30% of the innovations are abandoned </w:t>
      </w:r>
      <w:r w:rsidR="003F6FE7" w:rsidRPr="006C48D2">
        <w:rPr>
          <w:rFonts w:ascii="Arial" w:hAnsi="Arial" w:cs="Arial"/>
          <w:sz w:val="24"/>
          <w:szCs w:val="24"/>
        </w:rPr>
        <w:t>because of</w:t>
      </w:r>
      <w:r w:rsidRPr="006C48D2">
        <w:rPr>
          <w:rFonts w:ascii="Arial" w:hAnsi="Arial" w:cs="Arial"/>
          <w:sz w:val="24"/>
          <w:szCs w:val="24"/>
        </w:rPr>
        <w:t xml:space="preserve"> technical difficulties or insufficient funding. </w:t>
      </w:r>
    </w:p>
    <w:p w14:paraId="313B9C8A" w14:textId="666D37F7" w:rsidR="008901E2" w:rsidRPr="006C48D2" w:rsidRDefault="00000000" w:rsidP="006C48D2">
      <w:pPr>
        <w:spacing w:before="240" w:line="360" w:lineRule="auto"/>
        <w:jc w:val="both"/>
        <w:rPr>
          <w:rFonts w:ascii="Arial" w:hAnsi="Arial" w:cs="Arial"/>
          <w:sz w:val="24"/>
          <w:szCs w:val="24"/>
        </w:rPr>
      </w:pPr>
      <w:r w:rsidRPr="006C48D2">
        <w:rPr>
          <w:rFonts w:ascii="Arial" w:hAnsi="Arial" w:cs="Arial"/>
          <w:sz w:val="24"/>
          <w:szCs w:val="24"/>
        </w:rPr>
        <w:t>Pioneers that succeed in the introduction stage establish strong market positioning and brand recognition, despite these setbacks. For example, Tesla and Apple have illustrated the potential for dominant market positions to be achieved through early market entry and technological leadership.</w:t>
      </w:r>
    </w:p>
    <w:p w14:paraId="56F13565" w14:textId="57A1C14C" w:rsidR="008901E2" w:rsidRPr="006C48D2" w:rsidRDefault="006C48D2" w:rsidP="006C48D2">
      <w:pPr>
        <w:spacing w:before="240" w:line="360" w:lineRule="auto"/>
        <w:jc w:val="both"/>
        <w:rPr>
          <w:rFonts w:ascii="Arial" w:hAnsi="Arial" w:cs="Arial"/>
          <w:b/>
          <w:bCs/>
          <w:sz w:val="24"/>
          <w:szCs w:val="24"/>
        </w:rPr>
      </w:pPr>
      <w:r>
        <w:rPr>
          <w:rFonts w:ascii="Arial" w:hAnsi="Arial" w:cs="Arial"/>
          <w:b/>
          <w:bCs/>
          <w:sz w:val="24"/>
          <w:szCs w:val="24"/>
        </w:rPr>
        <w:t>4.2</w:t>
      </w:r>
      <w:r w:rsidRPr="006C48D2">
        <w:rPr>
          <w:rFonts w:ascii="Arial" w:hAnsi="Arial" w:cs="Arial"/>
          <w:b/>
          <w:bCs/>
          <w:sz w:val="24"/>
          <w:szCs w:val="24"/>
        </w:rPr>
        <w:t xml:space="preserve"> Market Leadership and Maturity Stage</w:t>
      </w:r>
    </w:p>
    <w:p w14:paraId="32F2FD6B" w14:textId="0817A3B5" w:rsidR="003F6FE7" w:rsidRDefault="00000000" w:rsidP="006C48D2">
      <w:pPr>
        <w:spacing w:before="240" w:line="360" w:lineRule="auto"/>
        <w:jc w:val="both"/>
        <w:rPr>
          <w:rFonts w:ascii="Arial" w:hAnsi="Arial" w:cs="Arial"/>
          <w:sz w:val="24"/>
          <w:szCs w:val="24"/>
        </w:rPr>
      </w:pPr>
      <w:r w:rsidRPr="006C48D2">
        <w:rPr>
          <w:rFonts w:ascii="Arial" w:hAnsi="Arial" w:cs="Arial"/>
          <w:sz w:val="24"/>
          <w:szCs w:val="24"/>
        </w:rPr>
        <w:t xml:space="preserve">Successful pioneers concentrate on optimising production efficiency and expanding market share during the growth and maturity stages. They utilise their first-mover advantage to establish brand loyalty, prescribe industry standards, and control pricing. </w:t>
      </w:r>
      <w:r w:rsidR="008730A0">
        <w:rPr>
          <w:rFonts w:ascii="Arial" w:hAnsi="Arial" w:cs="Arial"/>
          <w:sz w:val="24"/>
          <w:szCs w:val="24"/>
        </w:rPr>
        <w:t>I</w:t>
      </w:r>
      <w:r w:rsidRPr="006C48D2">
        <w:rPr>
          <w:rFonts w:ascii="Arial" w:hAnsi="Arial" w:cs="Arial"/>
          <w:sz w:val="24"/>
          <w:szCs w:val="24"/>
        </w:rPr>
        <w:t>n economically developed countries, large corporations with over 10,000 employees are responsible for approximately 59.5% of effective innovations</w:t>
      </w:r>
      <w:r w:rsidR="008730A0">
        <w:rPr>
          <w:rFonts w:ascii="Arial" w:hAnsi="Arial" w:cs="Arial"/>
          <w:sz w:val="24"/>
          <w:szCs w:val="24"/>
        </w:rPr>
        <w:t xml:space="preserve"> </w:t>
      </w:r>
      <w:r w:rsidR="008730A0" w:rsidRPr="008730A0">
        <w:rPr>
          <w:rFonts w:ascii="Arial" w:hAnsi="Arial" w:cs="Arial"/>
          <w:sz w:val="24"/>
          <w:szCs w:val="24"/>
        </w:rPr>
        <w:t>(Leitão, De Brito and Pereira, 2024)</w:t>
      </w:r>
      <w:r w:rsidRPr="006C48D2">
        <w:rPr>
          <w:rFonts w:ascii="Arial" w:hAnsi="Arial" w:cs="Arial"/>
          <w:sz w:val="24"/>
          <w:szCs w:val="24"/>
        </w:rPr>
        <w:t xml:space="preserve">. </w:t>
      </w:r>
    </w:p>
    <w:p w14:paraId="7E9A46AB" w14:textId="7A3DE123" w:rsidR="008901E2" w:rsidRPr="006C48D2" w:rsidRDefault="00000000" w:rsidP="006C48D2">
      <w:pPr>
        <w:spacing w:before="240" w:line="360" w:lineRule="auto"/>
        <w:jc w:val="both"/>
        <w:rPr>
          <w:rFonts w:ascii="Arial" w:hAnsi="Arial" w:cs="Arial"/>
          <w:sz w:val="24"/>
          <w:szCs w:val="24"/>
        </w:rPr>
      </w:pPr>
      <w:r w:rsidRPr="006C48D2">
        <w:rPr>
          <w:rFonts w:ascii="Arial" w:hAnsi="Arial" w:cs="Arial"/>
          <w:sz w:val="24"/>
          <w:szCs w:val="24"/>
        </w:rPr>
        <w:t>This is indicative of the capacity of pioneering companies to maintain market leadership by leveraging economies of scale and implementing ongoing product enhancements. Tesla has exemplified this by expanding production capacity and refining their electric vehicle technology to satisfy the increasing demand.</w:t>
      </w:r>
    </w:p>
    <w:p w14:paraId="7F960C4C" w14:textId="59026F56" w:rsidR="008901E2" w:rsidRPr="006C48D2" w:rsidRDefault="006C48D2" w:rsidP="006C48D2">
      <w:pPr>
        <w:spacing w:before="240" w:line="360" w:lineRule="auto"/>
        <w:jc w:val="both"/>
        <w:rPr>
          <w:rFonts w:ascii="Arial" w:hAnsi="Arial" w:cs="Arial"/>
          <w:b/>
          <w:bCs/>
          <w:sz w:val="24"/>
          <w:szCs w:val="24"/>
        </w:rPr>
      </w:pPr>
      <w:r>
        <w:rPr>
          <w:rFonts w:ascii="Arial" w:hAnsi="Arial" w:cs="Arial"/>
          <w:b/>
          <w:bCs/>
          <w:sz w:val="24"/>
          <w:szCs w:val="24"/>
        </w:rPr>
        <w:lastRenderedPageBreak/>
        <w:t>4.3</w:t>
      </w:r>
      <w:r w:rsidRPr="006C48D2">
        <w:rPr>
          <w:rFonts w:ascii="Arial" w:hAnsi="Arial" w:cs="Arial"/>
          <w:b/>
          <w:bCs/>
          <w:sz w:val="24"/>
          <w:szCs w:val="24"/>
        </w:rPr>
        <w:t xml:space="preserve"> Strategic Renewal Decline Stage</w:t>
      </w:r>
    </w:p>
    <w:p w14:paraId="6370FD11" w14:textId="77777777" w:rsidR="003F6FE7" w:rsidRDefault="00000000" w:rsidP="006C48D2">
      <w:pPr>
        <w:spacing w:before="240" w:line="360" w:lineRule="auto"/>
        <w:jc w:val="both"/>
        <w:rPr>
          <w:rFonts w:ascii="Arial" w:hAnsi="Arial" w:cs="Arial"/>
          <w:sz w:val="24"/>
          <w:szCs w:val="24"/>
        </w:rPr>
      </w:pPr>
      <w:r w:rsidRPr="006C48D2">
        <w:rPr>
          <w:rFonts w:ascii="Arial" w:hAnsi="Arial" w:cs="Arial"/>
          <w:sz w:val="24"/>
          <w:szCs w:val="24"/>
        </w:rPr>
        <w:t xml:space="preserve">Strategic renewal strategies are frequently implemented by pioneering organisations that are confronted with technological obsolescence or market saturation. This encompasses the introduction of next-generation products, the diversification of product lines, or the investment in adjacent markets. </w:t>
      </w:r>
    </w:p>
    <w:p w14:paraId="3A62BB51" w14:textId="376BDE00" w:rsidR="008901E2" w:rsidRPr="006C48D2" w:rsidRDefault="00000000" w:rsidP="006C48D2">
      <w:pPr>
        <w:spacing w:before="240" w:line="360" w:lineRule="auto"/>
        <w:jc w:val="both"/>
        <w:rPr>
          <w:rFonts w:ascii="Arial" w:hAnsi="Arial" w:cs="Arial"/>
          <w:sz w:val="24"/>
          <w:szCs w:val="24"/>
        </w:rPr>
      </w:pPr>
      <w:r w:rsidRPr="006C48D2">
        <w:rPr>
          <w:rFonts w:ascii="Arial" w:hAnsi="Arial" w:cs="Arial"/>
          <w:sz w:val="24"/>
          <w:szCs w:val="24"/>
        </w:rPr>
        <w:t xml:space="preserve">At this juncture, the importance of strategic partnerships and venture capital is paramount, as it enables pioneers to speedily innovate and investigate new market opportunities. </w:t>
      </w:r>
      <w:r w:rsidR="008730A0">
        <w:rPr>
          <w:rFonts w:ascii="Arial" w:hAnsi="Arial" w:cs="Arial"/>
          <w:sz w:val="24"/>
          <w:szCs w:val="24"/>
        </w:rPr>
        <w:t>V</w:t>
      </w:r>
      <w:r w:rsidRPr="006C48D2">
        <w:rPr>
          <w:rFonts w:ascii="Arial" w:hAnsi="Arial" w:cs="Arial"/>
          <w:sz w:val="24"/>
          <w:szCs w:val="24"/>
        </w:rPr>
        <w:t>enture firms and small high-tech companies are responsible for up to 40% of new product ideas globally, emphasising the significance of continuous innovation in maintaining market relevance</w:t>
      </w:r>
      <w:r w:rsidR="008730A0">
        <w:rPr>
          <w:rFonts w:ascii="Arial" w:hAnsi="Arial" w:cs="Arial"/>
          <w:sz w:val="24"/>
          <w:szCs w:val="24"/>
        </w:rPr>
        <w:t xml:space="preserve"> </w:t>
      </w:r>
      <w:r w:rsidR="008730A0" w:rsidRPr="008730A0">
        <w:rPr>
          <w:rFonts w:ascii="Arial" w:hAnsi="Arial" w:cs="Arial"/>
          <w:sz w:val="24"/>
          <w:szCs w:val="24"/>
        </w:rPr>
        <w:t>(Leitão, De Brito and Pereira, 2024)</w:t>
      </w:r>
      <w:r w:rsidRPr="006C48D2">
        <w:rPr>
          <w:rFonts w:ascii="Arial" w:hAnsi="Arial" w:cs="Arial"/>
          <w:sz w:val="24"/>
          <w:szCs w:val="24"/>
        </w:rPr>
        <w:t>.</w:t>
      </w:r>
    </w:p>
    <w:p w14:paraId="78B8E811" w14:textId="5C161444" w:rsidR="008901E2" w:rsidRPr="006C48D2" w:rsidRDefault="00000000" w:rsidP="006C48D2">
      <w:pPr>
        <w:spacing w:before="240" w:line="360" w:lineRule="auto"/>
        <w:jc w:val="both"/>
        <w:rPr>
          <w:rFonts w:ascii="Arial" w:hAnsi="Arial" w:cs="Arial"/>
          <w:b/>
          <w:bCs/>
          <w:sz w:val="24"/>
          <w:szCs w:val="24"/>
        </w:rPr>
      </w:pPr>
      <w:r w:rsidRPr="006C48D2">
        <w:rPr>
          <w:rFonts w:ascii="Arial" w:hAnsi="Arial" w:cs="Arial"/>
          <w:b/>
          <w:bCs/>
          <w:sz w:val="24"/>
          <w:szCs w:val="24"/>
        </w:rPr>
        <w:t>4.</w:t>
      </w:r>
      <w:r w:rsidR="006C48D2" w:rsidRPr="006C48D2">
        <w:rPr>
          <w:rFonts w:ascii="Arial" w:hAnsi="Arial" w:cs="Arial"/>
          <w:b/>
          <w:bCs/>
          <w:sz w:val="24"/>
          <w:szCs w:val="24"/>
        </w:rPr>
        <w:t>4</w:t>
      </w:r>
      <w:r w:rsidRPr="006C48D2">
        <w:rPr>
          <w:rFonts w:ascii="Arial" w:hAnsi="Arial" w:cs="Arial"/>
          <w:b/>
          <w:bCs/>
          <w:sz w:val="24"/>
          <w:szCs w:val="24"/>
        </w:rPr>
        <w:t xml:space="preserve"> The Function of Small Innovative Companies</w:t>
      </w:r>
    </w:p>
    <w:p w14:paraId="68ABC59D" w14:textId="09E3532B" w:rsidR="008901E2" w:rsidRPr="006C48D2" w:rsidRDefault="00000000" w:rsidP="006C48D2">
      <w:pPr>
        <w:spacing w:before="240" w:line="360" w:lineRule="auto"/>
        <w:jc w:val="both"/>
        <w:rPr>
          <w:rFonts w:ascii="Arial" w:hAnsi="Arial" w:cs="Arial"/>
          <w:sz w:val="24"/>
          <w:szCs w:val="24"/>
        </w:rPr>
      </w:pPr>
      <w:r w:rsidRPr="006C48D2">
        <w:rPr>
          <w:rFonts w:ascii="Arial" w:hAnsi="Arial" w:cs="Arial"/>
          <w:sz w:val="24"/>
          <w:szCs w:val="24"/>
        </w:rPr>
        <w:t xml:space="preserve">It is intriguing that small innovative firms are instrumental in the support of pioneer strategies by means of agile innovation and rapid adaptation to market changes. Although </w:t>
      </w:r>
      <w:r w:rsidR="003F6FE7" w:rsidRPr="006C48D2">
        <w:rPr>
          <w:rFonts w:ascii="Arial" w:hAnsi="Arial" w:cs="Arial"/>
          <w:sz w:val="24"/>
          <w:szCs w:val="24"/>
        </w:rPr>
        <w:t>most</w:t>
      </w:r>
      <w:r w:rsidRPr="006C48D2">
        <w:rPr>
          <w:rFonts w:ascii="Arial" w:hAnsi="Arial" w:cs="Arial"/>
          <w:sz w:val="24"/>
          <w:szCs w:val="24"/>
        </w:rPr>
        <w:t xml:space="preserve"> innovations are generated by large firms, minor firms account for approximately 19% of the total number of innovations in developed economies</w:t>
      </w:r>
      <w:r w:rsidR="008730A0">
        <w:rPr>
          <w:rFonts w:ascii="Arial" w:hAnsi="Arial" w:cs="Arial"/>
          <w:sz w:val="24"/>
          <w:szCs w:val="24"/>
        </w:rPr>
        <w:t xml:space="preserve"> </w:t>
      </w:r>
      <w:r w:rsidR="008730A0" w:rsidRPr="008730A0">
        <w:rPr>
          <w:rFonts w:ascii="Arial" w:hAnsi="Arial" w:cs="Arial"/>
          <w:sz w:val="24"/>
          <w:szCs w:val="24"/>
        </w:rPr>
        <w:t>(Leitão, De Brito and Pereira, 2024)</w:t>
      </w:r>
      <w:r w:rsidRPr="006C48D2">
        <w:rPr>
          <w:rFonts w:ascii="Arial" w:hAnsi="Arial" w:cs="Arial"/>
          <w:sz w:val="24"/>
          <w:szCs w:val="24"/>
        </w:rPr>
        <w:t>. The creative agility and technological insights of small firms are advantageous to pioneers that collaborate with or acquire them, thereby facilitating a more rapid response to market fluctuations.</w:t>
      </w:r>
    </w:p>
    <w:p w14:paraId="5DBF2D50" w14:textId="77777777" w:rsidR="008901E2" w:rsidRPr="006C48D2" w:rsidRDefault="00000000" w:rsidP="006C48D2">
      <w:pPr>
        <w:spacing w:before="240" w:line="360" w:lineRule="auto"/>
        <w:jc w:val="both"/>
        <w:rPr>
          <w:rFonts w:ascii="Arial" w:hAnsi="Arial" w:cs="Arial"/>
          <w:b/>
          <w:bCs/>
          <w:sz w:val="24"/>
          <w:szCs w:val="24"/>
        </w:rPr>
      </w:pPr>
      <w:r w:rsidRPr="006C48D2">
        <w:rPr>
          <w:rFonts w:ascii="Arial" w:hAnsi="Arial" w:cs="Arial"/>
          <w:b/>
          <w:bCs/>
          <w:sz w:val="24"/>
          <w:szCs w:val="24"/>
        </w:rPr>
        <w:t>5. Product Life Cycle Strategies of Successful Follower Companies</w:t>
      </w:r>
    </w:p>
    <w:p w14:paraId="76282B40" w14:textId="77777777" w:rsidR="003F6FE7" w:rsidRDefault="003F6FE7" w:rsidP="006C48D2">
      <w:pPr>
        <w:spacing w:before="240" w:line="360" w:lineRule="auto"/>
        <w:jc w:val="both"/>
        <w:rPr>
          <w:rFonts w:ascii="Arial" w:hAnsi="Arial" w:cs="Arial"/>
          <w:sz w:val="24"/>
          <w:szCs w:val="24"/>
        </w:rPr>
      </w:pPr>
      <w:r w:rsidRPr="006C48D2">
        <w:rPr>
          <w:rFonts w:ascii="Arial" w:hAnsi="Arial" w:cs="Arial"/>
          <w:sz w:val="24"/>
          <w:szCs w:val="24"/>
        </w:rPr>
        <w:t xml:space="preserve">To establish a competitive advantage, follower companies frequently implement refined product life cycle strategies by leveraging the successes and failures of pioneering firms. </w:t>
      </w:r>
    </w:p>
    <w:p w14:paraId="78829D99" w14:textId="1D58E3CF" w:rsidR="008901E2" w:rsidRPr="006C48D2" w:rsidRDefault="00000000" w:rsidP="006C48D2">
      <w:pPr>
        <w:spacing w:before="240" w:line="360" w:lineRule="auto"/>
        <w:jc w:val="both"/>
        <w:rPr>
          <w:rFonts w:ascii="Arial" w:hAnsi="Arial" w:cs="Arial"/>
          <w:sz w:val="24"/>
          <w:szCs w:val="24"/>
        </w:rPr>
      </w:pPr>
      <w:r w:rsidRPr="006C48D2">
        <w:rPr>
          <w:rFonts w:ascii="Arial" w:hAnsi="Arial" w:cs="Arial"/>
          <w:sz w:val="24"/>
          <w:szCs w:val="24"/>
        </w:rPr>
        <w:t xml:space="preserve">In contrast to pioneers, followers prioritise the enhancement of product quality, the reduction of costs, and the simplification of market entry </w:t>
      </w:r>
      <w:r w:rsidR="003F6FE7" w:rsidRPr="006C48D2">
        <w:rPr>
          <w:rFonts w:ascii="Arial" w:hAnsi="Arial" w:cs="Arial"/>
          <w:sz w:val="24"/>
          <w:szCs w:val="24"/>
        </w:rPr>
        <w:t>to</w:t>
      </w:r>
      <w:r w:rsidRPr="006C48D2">
        <w:rPr>
          <w:rFonts w:ascii="Arial" w:hAnsi="Arial" w:cs="Arial"/>
          <w:sz w:val="24"/>
          <w:szCs w:val="24"/>
        </w:rPr>
        <w:t xml:space="preserve"> achieve long-term success. The following stages are essential for the development of successful follower strategies: idea generation and validation, product development oversight, market launch and promotion, lifecycle management, and customer feedback integration.</w:t>
      </w:r>
    </w:p>
    <w:p w14:paraId="45E500F9" w14:textId="44B77198" w:rsidR="008901E2" w:rsidRPr="006C48D2" w:rsidRDefault="006C48D2" w:rsidP="006C48D2">
      <w:pPr>
        <w:spacing w:before="240" w:line="360" w:lineRule="auto"/>
        <w:jc w:val="both"/>
        <w:rPr>
          <w:rFonts w:ascii="Arial" w:hAnsi="Arial" w:cs="Arial"/>
          <w:b/>
          <w:bCs/>
          <w:sz w:val="24"/>
          <w:szCs w:val="24"/>
        </w:rPr>
      </w:pPr>
      <w:r w:rsidRPr="006C48D2">
        <w:rPr>
          <w:rFonts w:ascii="Arial" w:hAnsi="Arial" w:cs="Arial"/>
          <w:b/>
          <w:bCs/>
          <w:sz w:val="24"/>
          <w:szCs w:val="24"/>
        </w:rPr>
        <w:t>5.1 Idea Generation and Validation</w:t>
      </w:r>
    </w:p>
    <w:p w14:paraId="15F3FAD7" w14:textId="0C09032B" w:rsidR="006C48D2" w:rsidRDefault="00000000" w:rsidP="006C48D2">
      <w:pPr>
        <w:spacing w:before="240" w:line="360" w:lineRule="auto"/>
        <w:jc w:val="both"/>
        <w:rPr>
          <w:rFonts w:ascii="Arial" w:hAnsi="Arial" w:cs="Arial"/>
          <w:sz w:val="24"/>
          <w:szCs w:val="24"/>
        </w:rPr>
      </w:pPr>
      <w:r w:rsidRPr="006C48D2">
        <w:rPr>
          <w:rFonts w:ascii="Arial" w:hAnsi="Arial" w:cs="Arial"/>
          <w:sz w:val="24"/>
          <w:szCs w:val="24"/>
        </w:rPr>
        <w:lastRenderedPageBreak/>
        <w:t xml:space="preserve">Market insights and consumer behaviour analysis are employed by follower companies to generate novel product concepts. </w:t>
      </w:r>
      <w:r w:rsidR="003F6FE7" w:rsidRPr="006C48D2">
        <w:rPr>
          <w:rFonts w:ascii="Arial" w:hAnsi="Arial" w:cs="Arial"/>
          <w:sz w:val="24"/>
          <w:szCs w:val="24"/>
        </w:rPr>
        <w:t>To</w:t>
      </w:r>
      <w:r w:rsidRPr="006C48D2">
        <w:rPr>
          <w:rFonts w:ascii="Arial" w:hAnsi="Arial" w:cs="Arial"/>
          <w:sz w:val="24"/>
          <w:szCs w:val="24"/>
        </w:rPr>
        <w:t xml:space="preserve"> guarantee that their products are in accordance with the current market demands, they collect market data, customer feedback, and competitor performance metrics. For instance, Google's product management strategy incorporates iterative development and data-driven decision-making, which enables the company to optimise its products in response to real-time market feedback</w:t>
      </w:r>
      <w:r w:rsidR="008730A0">
        <w:rPr>
          <w:rFonts w:ascii="Arial" w:hAnsi="Arial" w:cs="Arial"/>
          <w:sz w:val="24"/>
          <w:szCs w:val="24"/>
        </w:rPr>
        <w:t xml:space="preserve"> </w:t>
      </w:r>
      <w:r w:rsidR="008730A0" w:rsidRPr="008730A0">
        <w:rPr>
          <w:rFonts w:ascii="Arial" w:hAnsi="Arial" w:cs="Arial"/>
          <w:sz w:val="24"/>
          <w:szCs w:val="24"/>
        </w:rPr>
        <w:t>(Kamat and Abraham, 2024)</w:t>
      </w:r>
      <w:r w:rsidRPr="006C48D2">
        <w:rPr>
          <w:rFonts w:ascii="Arial" w:hAnsi="Arial" w:cs="Arial"/>
          <w:sz w:val="24"/>
          <w:szCs w:val="24"/>
        </w:rPr>
        <w:t>.</w:t>
      </w:r>
    </w:p>
    <w:p w14:paraId="632ED6B0" w14:textId="6888F716" w:rsidR="008901E2" w:rsidRPr="006C48D2" w:rsidRDefault="006C48D2" w:rsidP="006C48D2">
      <w:pPr>
        <w:spacing w:before="240" w:line="360" w:lineRule="auto"/>
        <w:jc w:val="both"/>
        <w:rPr>
          <w:rFonts w:ascii="Arial" w:hAnsi="Arial" w:cs="Arial"/>
          <w:b/>
          <w:bCs/>
          <w:sz w:val="24"/>
          <w:szCs w:val="24"/>
        </w:rPr>
      </w:pPr>
      <w:r w:rsidRPr="006C48D2">
        <w:rPr>
          <w:rFonts w:ascii="Arial" w:hAnsi="Arial" w:cs="Arial"/>
          <w:b/>
          <w:bCs/>
          <w:sz w:val="24"/>
          <w:szCs w:val="24"/>
        </w:rPr>
        <w:t>5.2 Product Development Supervision</w:t>
      </w:r>
    </w:p>
    <w:p w14:paraId="16EF1B25" w14:textId="320EA79F" w:rsidR="008901E2" w:rsidRPr="006C48D2" w:rsidRDefault="00000000" w:rsidP="006C48D2">
      <w:pPr>
        <w:spacing w:before="240" w:line="360" w:lineRule="auto"/>
        <w:jc w:val="both"/>
        <w:rPr>
          <w:rFonts w:ascii="Arial" w:hAnsi="Arial" w:cs="Arial"/>
          <w:sz w:val="24"/>
          <w:szCs w:val="24"/>
        </w:rPr>
      </w:pPr>
      <w:r w:rsidRPr="006C48D2">
        <w:rPr>
          <w:rFonts w:ascii="Arial" w:hAnsi="Arial" w:cs="Arial"/>
          <w:sz w:val="24"/>
          <w:szCs w:val="24"/>
        </w:rPr>
        <w:t xml:space="preserve">In the development stage, disciples prioritise the improvement of product quality and the reduction of costs by implementing existing technologies and optimising production methods. Tesla's approach of integrating advanced technology with manufacturing efficiency illustrates how </w:t>
      </w:r>
      <w:r w:rsidR="008730A0">
        <w:rPr>
          <w:rFonts w:ascii="Arial" w:hAnsi="Arial" w:cs="Arial"/>
          <w:sz w:val="24"/>
          <w:szCs w:val="24"/>
        </w:rPr>
        <w:t>followers</w:t>
      </w:r>
      <w:r w:rsidRPr="006C48D2">
        <w:rPr>
          <w:rFonts w:ascii="Arial" w:hAnsi="Arial" w:cs="Arial"/>
          <w:sz w:val="24"/>
          <w:szCs w:val="24"/>
        </w:rPr>
        <w:t xml:space="preserve"> can enhance operational efficiency and refine product features</w:t>
      </w:r>
      <w:r w:rsidR="008730A0">
        <w:rPr>
          <w:rFonts w:ascii="Arial" w:hAnsi="Arial" w:cs="Arial"/>
          <w:sz w:val="24"/>
          <w:szCs w:val="24"/>
        </w:rPr>
        <w:t xml:space="preserve"> </w:t>
      </w:r>
      <w:r w:rsidR="008730A0" w:rsidRPr="008730A0">
        <w:rPr>
          <w:rFonts w:ascii="Arial" w:hAnsi="Arial" w:cs="Arial"/>
          <w:sz w:val="24"/>
          <w:szCs w:val="24"/>
        </w:rPr>
        <w:t xml:space="preserve">(Li </w:t>
      </w:r>
      <w:r w:rsidR="008730A0" w:rsidRPr="008730A0">
        <w:rPr>
          <w:rFonts w:ascii="Arial" w:hAnsi="Arial" w:cs="Arial"/>
          <w:i/>
          <w:iCs/>
          <w:sz w:val="24"/>
          <w:szCs w:val="24"/>
        </w:rPr>
        <w:t>et al.</w:t>
      </w:r>
      <w:r w:rsidR="008730A0" w:rsidRPr="008730A0">
        <w:rPr>
          <w:rFonts w:ascii="Arial" w:hAnsi="Arial" w:cs="Arial"/>
          <w:sz w:val="24"/>
          <w:szCs w:val="24"/>
        </w:rPr>
        <w:t>, 2024)</w:t>
      </w:r>
      <w:r w:rsidRPr="006C48D2">
        <w:rPr>
          <w:rFonts w:ascii="Arial" w:hAnsi="Arial" w:cs="Arial"/>
          <w:sz w:val="24"/>
          <w:szCs w:val="24"/>
        </w:rPr>
        <w:t>. Additionally, followers participate in cross-functional collaboration, which involves product managers, engineers, and marketers to guarantee product-market fit.</w:t>
      </w:r>
    </w:p>
    <w:p w14:paraId="6DF121EC" w14:textId="7B0A0181" w:rsidR="008901E2" w:rsidRPr="006C48D2" w:rsidRDefault="006C48D2" w:rsidP="006C48D2">
      <w:pPr>
        <w:spacing w:before="240" w:line="360" w:lineRule="auto"/>
        <w:jc w:val="both"/>
        <w:rPr>
          <w:rFonts w:ascii="Arial" w:hAnsi="Arial" w:cs="Arial"/>
          <w:b/>
          <w:bCs/>
          <w:sz w:val="24"/>
          <w:szCs w:val="24"/>
        </w:rPr>
      </w:pPr>
      <w:r w:rsidRPr="006C48D2">
        <w:rPr>
          <w:rFonts w:ascii="Arial" w:hAnsi="Arial" w:cs="Arial"/>
          <w:b/>
          <w:bCs/>
          <w:sz w:val="24"/>
          <w:szCs w:val="24"/>
        </w:rPr>
        <w:t>5.3 Market Entry and Promotion</w:t>
      </w:r>
    </w:p>
    <w:p w14:paraId="56AF3F83" w14:textId="649A6D82" w:rsidR="008901E2" w:rsidRPr="006C48D2" w:rsidRDefault="003F6FE7" w:rsidP="006C48D2">
      <w:pPr>
        <w:spacing w:before="240" w:line="360" w:lineRule="auto"/>
        <w:jc w:val="both"/>
        <w:rPr>
          <w:rFonts w:ascii="Arial" w:hAnsi="Arial" w:cs="Arial"/>
          <w:sz w:val="24"/>
          <w:szCs w:val="24"/>
        </w:rPr>
      </w:pPr>
      <w:r w:rsidRPr="006C48D2">
        <w:rPr>
          <w:rFonts w:ascii="Arial" w:hAnsi="Arial" w:cs="Arial"/>
          <w:sz w:val="24"/>
          <w:szCs w:val="24"/>
        </w:rPr>
        <w:t>To rapidly expand their market share, follower companies frequently implement aggressive pricing and targeted promotional strategies. Samsung's approach of introducing enhanced smartphone models at competitive prices is a prime example of how followers can entice price-sensitive customers while maintaining high product quality</w:t>
      </w:r>
      <w:r w:rsidR="000C00E7">
        <w:rPr>
          <w:rFonts w:ascii="Arial" w:hAnsi="Arial" w:cs="Arial"/>
          <w:sz w:val="24"/>
          <w:szCs w:val="24"/>
        </w:rPr>
        <w:t xml:space="preserve"> </w:t>
      </w:r>
      <w:r w:rsidR="000C00E7" w:rsidRPr="000C00E7">
        <w:rPr>
          <w:rFonts w:ascii="Arial" w:hAnsi="Arial" w:cs="Arial"/>
          <w:sz w:val="24"/>
          <w:szCs w:val="24"/>
        </w:rPr>
        <w:t xml:space="preserve">(Madani </w:t>
      </w:r>
      <w:r w:rsidR="000C00E7" w:rsidRPr="000C00E7">
        <w:rPr>
          <w:rFonts w:ascii="Arial" w:hAnsi="Arial" w:cs="Arial"/>
          <w:i/>
          <w:iCs/>
          <w:sz w:val="24"/>
          <w:szCs w:val="24"/>
        </w:rPr>
        <w:t>et al.</w:t>
      </w:r>
      <w:r w:rsidR="000C00E7" w:rsidRPr="000C00E7">
        <w:rPr>
          <w:rFonts w:ascii="Arial" w:hAnsi="Arial" w:cs="Arial"/>
          <w:sz w:val="24"/>
          <w:szCs w:val="24"/>
        </w:rPr>
        <w:t>, 2014)</w:t>
      </w:r>
      <w:r w:rsidRPr="006C48D2">
        <w:rPr>
          <w:rFonts w:ascii="Arial" w:hAnsi="Arial" w:cs="Arial"/>
          <w:sz w:val="24"/>
          <w:szCs w:val="24"/>
        </w:rPr>
        <w:t>. Netflix's dynamic content strategy, which entails the release of content in accordance with customer viewing patterns, illustrates how follower firms can leverage data insights to customise market strategies</w:t>
      </w:r>
      <w:r w:rsidR="000C00E7">
        <w:rPr>
          <w:rFonts w:ascii="Arial" w:hAnsi="Arial" w:cs="Arial"/>
          <w:sz w:val="24"/>
          <w:szCs w:val="24"/>
        </w:rPr>
        <w:t xml:space="preserve"> </w:t>
      </w:r>
      <w:r w:rsidR="000C00E7" w:rsidRPr="000C00E7">
        <w:rPr>
          <w:rFonts w:ascii="Arial" w:hAnsi="Arial" w:cs="Arial"/>
          <w:sz w:val="24"/>
          <w:szCs w:val="24"/>
        </w:rPr>
        <w:t>(Neglur and Ps, 2024)</w:t>
      </w:r>
      <w:r w:rsidRPr="006C48D2">
        <w:rPr>
          <w:rFonts w:ascii="Arial" w:hAnsi="Arial" w:cs="Arial"/>
          <w:sz w:val="24"/>
          <w:szCs w:val="24"/>
        </w:rPr>
        <w:t>.</w:t>
      </w:r>
    </w:p>
    <w:p w14:paraId="1C246A45" w14:textId="6AA14800" w:rsidR="008901E2" w:rsidRPr="006C48D2" w:rsidRDefault="006C48D2" w:rsidP="006C48D2">
      <w:pPr>
        <w:spacing w:before="240" w:line="360" w:lineRule="auto"/>
        <w:jc w:val="both"/>
        <w:rPr>
          <w:rFonts w:ascii="Arial" w:hAnsi="Arial" w:cs="Arial"/>
          <w:b/>
          <w:bCs/>
          <w:sz w:val="24"/>
          <w:szCs w:val="24"/>
        </w:rPr>
      </w:pPr>
      <w:r w:rsidRPr="006C48D2">
        <w:rPr>
          <w:rFonts w:ascii="Arial" w:hAnsi="Arial" w:cs="Arial"/>
          <w:b/>
          <w:bCs/>
          <w:sz w:val="24"/>
          <w:szCs w:val="24"/>
        </w:rPr>
        <w:t>5.4 Lifecycle Management</w:t>
      </w:r>
    </w:p>
    <w:p w14:paraId="3C0D9F33" w14:textId="1DCE55E9" w:rsidR="008901E2" w:rsidRPr="006C48D2" w:rsidRDefault="00000000" w:rsidP="006C48D2">
      <w:pPr>
        <w:spacing w:before="240" w:line="360" w:lineRule="auto"/>
        <w:jc w:val="both"/>
        <w:rPr>
          <w:rFonts w:ascii="Arial" w:hAnsi="Arial" w:cs="Arial"/>
          <w:sz w:val="24"/>
          <w:szCs w:val="24"/>
        </w:rPr>
      </w:pPr>
      <w:r w:rsidRPr="006C48D2">
        <w:rPr>
          <w:rFonts w:ascii="Arial" w:hAnsi="Arial" w:cs="Arial"/>
          <w:sz w:val="24"/>
          <w:szCs w:val="24"/>
        </w:rPr>
        <w:t>Successful follower companies prioritise the extension of product lifespans through the introduction of incremental enhancements and the expansion of product lines. For example, Apple's consistent enhancement of the iPhone through regular updates and feature enhancements demonstrates how followers can maintain the relevance of a product over time</w:t>
      </w:r>
      <w:r w:rsidR="000C00E7">
        <w:rPr>
          <w:rFonts w:ascii="Arial" w:hAnsi="Arial" w:cs="Arial"/>
          <w:sz w:val="24"/>
          <w:szCs w:val="24"/>
        </w:rPr>
        <w:t xml:space="preserve"> </w:t>
      </w:r>
      <w:r w:rsidR="000C00E7" w:rsidRPr="000C00E7">
        <w:rPr>
          <w:rFonts w:ascii="Arial" w:hAnsi="Arial" w:cs="Arial"/>
          <w:sz w:val="24"/>
          <w:szCs w:val="24"/>
        </w:rPr>
        <w:t>(Aryo Consulting Group, 2025)</w:t>
      </w:r>
      <w:r w:rsidRPr="006C48D2">
        <w:rPr>
          <w:rFonts w:ascii="Arial" w:hAnsi="Arial" w:cs="Arial"/>
          <w:sz w:val="24"/>
          <w:szCs w:val="24"/>
        </w:rPr>
        <w:t xml:space="preserve">. Strategic resource allocation, which </w:t>
      </w:r>
      <w:r w:rsidRPr="006C48D2">
        <w:rPr>
          <w:rFonts w:ascii="Arial" w:hAnsi="Arial" w:cs="Arial"/>
          <w:sz w:val="24"/>
          <w:szCs w:val="24"/>
        </w:rPr>
        <w:lastRenderedPageBreak/>
        <w:t>encompasses technological advancements and customer service enhancements, enables follower firms to preserve profitability and customer loyalty.</w:t>
      </w:r>
    </w:p>
    <w:p w14:paraId="71A141F7" w14:textId="48540D61" w:rsidR="008901E2" w:rsidRPr="006C48D2" w:rsidRDefault="00000000" w:rsidP="006C48D2">
      <w:pPr>
        <w:spacing w:before="240" w:line="360" w:lineRule="auto"/>
        <w:jc w:val="both"/>
        <w:rPr>
          <w:rFonts w:ascii="Arial" w:hAnsi="Arial" w:cs="Arial"/>
          <w:b/>
          <w:bCs/>
          <w:sz w:val="24"/>
          <w:szCs w:val="24"/>
        </w:rPr>
      </w:pPr>
      <w:r w:rsidRPr="006C48D2">
        <w:rPr>
          <w:rFonts w:ascii="Arial" w:hAnsi="Arial" w:cs="Arial"/>
          <w:b/>
          <w:bCs/>
          <w:sz w:val="24"/>
          <w:szCs w:val="24"/>
        </w:rPr>
        <w:t>5.</w:t>
      </w:r>
      <w:r w:rsidR="006C48D2" w:rsidRPr="006C48D2">
        <w:rPr>
          <w:rFonts w:ascii="Arial" w:hAnsi="Arial" w:cs="Arial"/>
          <w:b/>
          <w:bCs/>
          <w:sz w:val="24"/>
          <w:szCs w:val="24"/>
        </w:rPr>
        <w:t>5</w:t>
      </w:r>
      <w:r w:rsidRPr="006C48D2">
        <w:rPr>
          <w:rFonts w:ascii="Arial" w:hAnsi="Arial" w:cs="Arial"/>
          <w:b/>
          <w:bCs/>
          <w:sz w:val="24"/>
          <w:szCs w:val="24"/>
        </w:rPr>
        <w:t xml:space="preserve"> Customer Feedback Integration</w:t>
      </w:r>
    </w:p>
    <w:p w14:paraId="526C83C9" w14:textId="50B9EED8" w:rsidR="008901E2" w:rsidRPr="006C48D2" w:rsidRDefault="00000000" w:rsidP="006C48D2">
      <w:pPr>
        <w:spacing w:before="240" w:line="360" w:lineRule="auto"/>
        <w:jc w:val="both"/>
        <w:rPr>
          <w:rFonts w:ascii="Arial" w:hAnsi="Arial" w:cs="Arial"/>
          <w:sz w:val="24"/>
          <w:szCs w:val="24"/>
        </w:rPr>
      </w:pPr>
      <w:r w:rsidRPr="006C48D2">
        <w:rPr>
          <w:rFonts w:ascii="Arial" w:hAnsi="Arial" w:cs="Arial"/>
          <w:sz w:val="24"/>
          <w:szCs w:val="24"/>
        </w:rPr>
        <w:t>The product lifecycle strategies of follower companies are significantly influenced by customer feedback. Amazon's customer-centric strategy, which involves the use of real-time data and customer evaluations to improve service delivery and refine product offerings, serves as an example of how follower firms can adjust to evolving market demands</w:t>
      </w:r>
      <w:r w:rsidR="000C00E7">
        <w:rPr>
          <w:rFonts w:ascii="Arial" w:hAnsi="Arial" w:cs="Arial"/>
          <w:sz w:val="24"/>
          <w:szCs w:val="24"/>
        </w:rPr>
        <w:t xml:space="preserve"> </w:t>
      </w:r>
      <w:r w:rsidR="000C00E7" w:rsidRPr="000C00E7">
        <w:rPr>
          <w:rFonts w:ascii="Arial" w:hAnsi="Arial" w:cs="Arial"/>
          <w:sz w:val="24"/>
          <w:szCs w:val="24"/>
        </w:rPr>
        <w:t>(Amazon Web Services, 2025)</w:t>
      </w:r>
      <w:r w:rsidRPr="006C48D2">
        <w:rPr>
          <w:rFonts w:ascii="Arial" w:hAnsi="Arial" w:cs="Arial"/>
          <w:sz w:val="24"/>
          <w:szCs w:val="24"/>
        </w:rPr>
        <w:t xml:space="preserve">. This iterative process enables </w:t>
      </w:r>
      <w:r w:rsidR="008730A0">
        <w:rPr>
          <w:rFonts w:ascii="Arial" w:hAnsi="Arial" w:cs="Arial"/>
          <w:sz w:val="24"/>
          <w:szCs w:val="24"/>
        </w:rPr>
        <w:t>followers</w:t>
      </w:r>
      <w:r w:rsidRPr="006C48D2">
        <w:rPr>
          <w:rFonts w:ascii="Arial" w:hAnsi="Arial" w:cs="Arial"/>
          <w:sz w:val="24"/>
          <w:szCs w:val="24"/>
        </w:rPr>
        <w:t xml:space="preserve"> to introduce superior products and sustain a competitive advantage over time.</w:t>
      </w:r>
    </w:p>
    <w:p w14:paraId="029B0D2D" w14:textId="77777777" w:rsidR="008901E2" w:rsidRPr="006C48D2" w:rsidRDefault="00000000" w:rsidP="006C48D2">
      <w:pPr>
        <w:spacing w:before="240" w:line="360" w:lineRule="auto"/>
        <w:jc w:val="both"/>
        <w:rPr>
          <w:rFonts w:ascii="Arial" w:hAnsi="Arial" w:cs="Arial"/>
          <w:b/>
          <w:bCs/>
          <w:sz w:val="24"/>
          <w:szCs w:val="24"/>
        </w:rPr>
      </w:pPr>
      <w:r w:rsidRPr="006C48D2">
        <w:rPr>
          <w:rFonts w:ascii="Arial" w:hAnsi="Arial" w:cs="Arial"/>
          <w:b/>
          <w:bCs/>
          <w:sz w:val="24"/>
          <w:szCs w:val="24"/>
        </w:rPr>
        <w:t>6. Comparative Analysis of Pioneer vs. Follower Strategies</w:t>
      </w:r>
    </w:p>
    <w:p w14:paraId="0D6F5A46" w14:textId="59B825F0" w:rsidR="008901E2" w:rsidRPr="006C48D2" w:rsidRDefault="003F6FE7" w:rsidP="006C48D2">
      <w:pPr>
        <w:spacing w:before="240" w:line="360" w:lineRule="auto"/>
        <w:jc w:val="both"/>
        <w:rPr>
          <w:rFonts w:ascii="Arial" w:hAnsi="Arial" w:cs="Arial"/>
          <w:sz w:val="24"/>
          <w:szCs w:val="24"/>
        </w:rPr>
      </w:pPr>
      <w:r w:rsidRPr="006C48D2">
        <w:rPr>
          <w:rFonts w:ascii="Arial" w:hAnsi="Arial" w:cs="Arial"/>
          <w:sz w:val="24"/>
          <w:szCs w:val="24"/>
        </w:rPr>
        <w:t>To establish and maintain competitive advantages, pioneer and follower companies implement distinct market strategies. Valuable insights into the effectiveness and limitations of these strategies are gained by comprehending the comparative dynamics between them.</w:t>
      </w:r>
    </w:p>
    <w:p w14:paraId="03E6FA36" w14:textId="3980C770" w:rsidR="008901E2" w:rsidRPr="006C48D2" w:rsidRDefault="006C48D2" w:rsidP="006C48D2">
      <w:pPr>
        <w:spacing w:before="240" w:line="360" w:lineRule="auto"/>
        <w:jc w:val="both"/>
        <w:rPr>
          <w:rFonts w:ascii="Arial" w:hAnsi="Arial" w:cs="Arial"/>
          <w:b/>
          <w:bCs/>
          <w:sz w:val="24"/>
          <w:szCs w:val="24"/>
        </w:rPr>
      </w:pPr>
      <w:r w:rsidRPr="006C48D2">
        <w:rPr>
          <w:rFonts w:ascii="Arial" w:hAnsi="Arial" w:cs="Arial"/>
          <w:b/>
          <w:bCs/>
          <w:sz w:val="24"/>
          <w:szCs w:val="24"/>
        </w:rPr>
        <w:t>6.1 Competitive Advantage and Market Entry</w:t>
      </w:r>
    </w:p>
    <w:p w14:paraId="4F19A7BB" w14:textId="60C4AD79" w:rsidR="008901E2" w:rsidRDefault="00000000" w:rsidP="006C48D2">
      <w:pPr>
        <w:spacing w:before="240" w:line="360" w:lineRule="auto"/>
        <w:jc w:val="both"/>
        <w:rPr>
          <w:rFonts w:ascii="Arial" w:hAnsi="Arial" w:cs="Arial"/>
          <w:sz w:val="24"/>
          <w:szCs w:val="24"/>
        </w:rPr>
      </w:pPr>
      <w:r w:rsidRPr="006C48D2">
        <w:rPr>
          <w:rFonts w:ascii="Arial" w:hAnsi="Arial" w:cs="Arial"/>
          <w:sz w:val="24"/>
          <w:szCs w:val="24"/>
        </w:rPr>
        <w:t xml:space="preserve">Pioneer companies </w:t>
      </w:r>
      <w:r w:rsidR="003F6FE7" w:rsidRPr="006C48D2">
        <w:rPr>
          <w:rFonts w:ascii="Arial" w:hAnsi="Arial" w:cs="Arial"/>
          <w:sz w:val="24"/>
          <w:szCs w:val="24"/>
        </w:rPr>
        <w:t>can</w:t>
      </w:r>
      <w:r w:rsidRPr="006C48D2">
        <w:rPr>
          <w:rFonts w:ascii="Arial" w:hAnsi="Arial" w:cs="Arial"/>
          <w:sz w:val="24"/>
          <w:szCs w:val="24"/>
        </w:rPr>
        <w:t xml:space="preserve"> establish strong brand recognition, technological leadership, and client loyalty </w:t>
      </w:r>
      <w:r w:rsidR="003F6FE7" w:rsidRPr="006C48D2">
        <w:rPr>
          <w:rFonts w:ascii="Arial" w:hAnsi="Arial" w:cs="Arial"/>
          <w:sz w:val="24"/>
          <w:szCs w:val="24"/>
        </w:rPr>
        <w:t>because of</w:t>
      </w:r>
      <w:r w:rsidRPr="006C48D2">
        <w:rPr>
          <w:rFonts w:ascii="Arial" w:hAnsi="Arial" w:cs="Arial"/>
          <w:sz w:val="24"/>
          <w:szCs w:val="24"/>
        </w:rPr>
        <w:t xml:space="preserve"> their early market entry. </w:t>
      </w:r>
      <w:r w:rsidR="000C00E7">
        <w:rPr>
          <w:rFonts w:ascii="Arial" w:hAnsi="Arial" w:cs="Arial"/>
          <w:sz w:val="24"/>
          <w:szCs w:val="24"/>
        </w:rPr>
        <w:t>E</w:t>
      </w:r>
      <w:r w:rsidRPr="006C48D2">
        <w:rPr>
          <w:rFonts w:ascii="Arial" w:hAnsi="Arial" w:cs="Arial"/>
          <w:sz w:val="24"/>
          <w:szCs w:val="24"/>
        </w:rPr>
        <w:t>arly adopters frequently establish industry standards and impose switching costs on consumers, thereby achieving long-term advantages</w:t>
      </w:r>
      <w:r w:rsidR="000C00E7">
        <w:rPr>
          <w:rFonts w:ascii="Arial" w:hAnsi="Arial" w:cs="Arial"/>
          <w:sz w:val="24"/>
          <w:szCs w:val="24"/>
        </w:rPr>
        <w:t xml:space="preserve"> </w:t>
      </w:r>
      <w:r w:rsidR="000C00E7" w:rsidRPr="000C00E7">
        <w:rPr>
          <w:rFonts w:ascii="Arial" w:hAnsi="Arial" w:cs="Arial"/>
          <w:sz w:val="24"/>
          <w:szCs w:val="24"/>
        </w:rPr>
        <w:t>(Kerin, Varadarajan and Peterson, 1992)</w:t>
      </w:r>
      <w:r w:rsidRPr="006C48D2">
        <w:rPr>
          <w:rFonts w:ascii="Arial" w:hAnsi="Arial" w:cs="Arial"/>
          <w:sz w:val="24"/>
          <w:szCs w:val="24"/>
        </w:rPr>
        <w:t>. For example, Apple's success in the tablet market is a direct result of the iPad's early introduction, which enabled the company to establish technological standards and user experiences.</w:t>
      </w:r>
    </w:p>
    <w:p w14:paraId="53B55400" w14:textId="0A7D0E5B" w:rsidR="00584017" w:rsidRPr="00584017" w:rsidRDefault="00584017" w:rsidP="00584017">
      <w:pPr>
        <w:spacing w:before="240" w:line="360" w:lineRule="auto"/>
        <w:jc w:val="center"/>
        <w:rPr>
          <w:rFonts w:ascii="Arial" w:hAnsi="Arial" w:cs="Arial"/>
          <w:i/>
          <w:iCs/>
        </w:rPr>
      </w:pPr>
      <w:r w:rsidRPr="00584017">
        <w:rPr>
          <w:i/>
          <w:iCs/>
          <w:noProof/>
        </w:rPr>
        <w:lastRenderedPageBreak/>
        <w:drawing>
          <wp:inline distT="0" distB="0" distL="0" distR="0" wp14:anchorId="23E01F47" wp14:editId="4702F0D5">
            <wp:extent cx="5731510" cy="3271520"/>
            <wp:effectExtent l="0" t="0" r="2540" b="5080"/>
            <wp:docPr id="1566946158" name="Picture 2" descr="First-Mover vs. Follower Strategies – BusinessInnovationManagement.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irst-Mover vs. Follower Strategies – BusinessInnovationManagement.com"/>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3271520"/>
                    </a:xfrm>
                    <a:prstGeom prst="rect">
                      <a:avLst/>
                    </a:prstGeom>
                    <a:noFill/>
                    <a:ln>
                      <a:noFill/>
                    </a:ln>
                  </pic:spPr>
                </pic:pic>
              </a:graphicData>
            </a:graphic>
          </wp:inline>
        </w:drawing>
      </w:r>
    </w:p>
    <w:p w14:paraId="5BFB75BF" w14:textId="42FBC6D3" w:rsidR="00584017" w:rsidRPr="00584017" w:rsidRDefault="00584017" w:rsidP="00584017">
      <w:pPr>
        <w:spacing w:before="240" w:line="360" w:lineRule="auto"/>
        <w:jc w:val="center"/>
        <w:rPr>
          <w:rFonts w:ascii="Arial" w:hAnsi="Arial" w:cs="Arial"/>
          <w:i/>
          <w:iCs/>
        </w:rPr>
      </w:pPr>
      <w:r w:rsidRPr="00584017">
        <w:rPr>
          <w:rFonts w:ascii="Arial" w:hAnsi="Arial" w:cs="Arial"/>
          <w:i/>
          <w:iCs/>
        </w:rPr>
        <w:t>Source: https://businessinnovationmanagement.com/2020/09/01/first-mover-vs-follower-strategies/</w:t>
      </w:r>
    </w:p>
    <w:p w14:paraId="2644A107" w14:textId="699C504C" w:rsidR="008901E2" w:rsidRPr="006C48D2" w:rsidRDefault="00000000" w:rsidP="006C48D2">
      <w:pPr>
        <w:spacing w:before="240" w:line="360" w:lineRule="auto"/>
        <w:jc w:val="both"/>
        <w:rPr>
          <w:rFonts w:ascii="Arial" w:hAnsi="Arial" w:cs="Arial"/>
          <w:sz w:val="24"/>
          <w:szCs w:val="24"/>
        </w:rPr>
      </w:pPr>
      <w:r w:rsidRPr="006C48D2">
        <w:rPr>
          <w:rFonts w:ascii="Arial" w:hAnsi="Arial" w:cs="Arial"/>
          <w:sz w:val="24"/>
          <w:szCs w:val="24"/>
        </w:rPr>
        <w:t xml:space="preserve">Conversely, pioneer strategies are observed and enhanced by </w:t>
      </w:r>
      <w:r w:rsidR="000C00E7">
        <w:rPr>
          <w:rFonts w:ascii="Arial" w:hAnsi="Arial" w:cs="Arial"/>
          <w:sz w:val="24"/>
          <w:szCs w:val="24"/>
        </w:rPr>
        <w:t>follower</w:t>
      </w:r>
      <w:r w:rsidRPr="006C48D2">
        <w:rPr>
          <w:rFonts w:ascii="Arial" w:hAnsi="Arial" w:cs="Arial"/>
          <w:sz w:val="24"/>
          <w:szCs w:val="24"/>
        </w:rPr>
        <w:t xml:space="preserve"> companies. Samsung and Xiaomi have achieved success in the smartphone market by incorporating established technologies and improving product features at a reduced cost. This alleviates the research and development (R&amp;D) burden and enables competitors to introduce competitively priced, refined products to the market.</w:t>
      </w:r>
    </w:p>
    <w:p w14:paraId="31E25931" w14:textId="06A9C87B" w:rsidR="008901E2" w:rsidRPr="006C48D2" w:rsidRDefault="006C48D2" w:rsidP="006C48D2">
      <w:pPr>
        <w:spacing w:before="240" w:line="360" w:lineRule="auto"/>
        <w:jc w:val="both"/>
        <w:rPr>
          <w:rFonts w:ascii="Arial" w:hAnsi="Arial" w:cs="Arial"/>
          <w:b/>
          <w:bCs/>
          <w:sz w:val="24"/>
          <w:szCs w:val="24"/>
        </w:rPr>
      </w:pPr>
      <w:r w:rsidRPr="006C48D2">
        <w:rPr>
          <w:rFonts w:ascii="Arial" w:hAnsi="Arial" w:cs="Arial"/>
          <w:b/>
          <w:bCs/>
          <w:sz w:val="24"/>
          <w:szCs w:val="24"/>
        </w:rPr>
        <w:t>6.2 Investment and Cost Structure</w:t>
      </w:r>
    </w:p>
    <w:p w14:paraId="538489DC" w14:textId="6F1B0B09" w:rsidR="008901E2" w:rsidRPr="006C48D2" w:rsidRDefault="00000000" w:rsidP="006C48D2">
      <w:pPr>
        <w:spacing w:before="240" w:line="360" w:lineRule="auto"/>
        <w:jc w:val="both"/>
        <w:rPr>
          <w:rFonts w:ascii="Arial" w:hAnsi="Arial" w:cs="Arial"/>
          <w:sz w:val="24"/>
          <w:szCs w:val="24"/>
        </w:rPr>
      </w:pPr>
      <w:r w:rsidRPr="006C48D2">
        <w:rPr>
          <w:rFonts w:ascii="Arial" w:hAnsi="Arial" w:cs="Arial"/>
          <w:sz w:val="24"/>
          <w:szCs w:val="24"/>
        </w:rPr>
        <w:t>Pioneers are confronted with increased R&amp;D expenses, which are estimated to account for 20% to 30% of the total revenue of high-tech industries. Market education, technological innovation, and infrastructure development comprise the initial expenses</w:t>
      </w:r>
      <w:r w:rsidR="000C00E7">
        <w:rPr>
          <w:rFonts w:ascii="Arial" w:hAnsi="Arial" w:cs="Arial"/>
          <w:sz w:val="24"/>
          <w:szCs w:val="24"/>
        </w:rPr>
        <w:t xml:space="preserve"> </w:t>
      </w:r>
      <w:r w:rsidR="000C00E7" w:rsidRPr="000C00E7">
        <w:rPr>
          <w:rFonts w:ascii="Arial" w:hAnsi="Arial" w:cs="Arial"/>
          <w:sz w:val="24"/>
          <w:szCs w:val="24"/>
        </w:rPr>
        <w:t>(Relecura, 2024)</w:t>
      </w:r>
      <w:r w:rsidRPr="006C48D2">
        <w:rPr>
          <w:rFonts w:ascii="Arial" w:hAnsi="Arial" w:cs="Arial"/>
          <w:sz w:val="24"/>
          <w:szCs w:val="24"/>
        </w:rPr>
        <w:t>. The high costs partially counteract the first-mover advantage, which increases financial vulnerability in the event of a product failure.</w:t>
      </w:r>
    </w:p>
    <w:p w14:paraId="1EA9ADB1" w14:textId="79D9C5DD" w:rsidR="008901E2" w:rsidRPr="006C48D2" w:rsidRDefault="00000000" w:rsidP="006C48D2">
      <w:pPr>
        <w:spacing w:before="240" w:line="360" w:lineRule="auto"/>
        <w:jc w:val="both"/>
        <w:rPr>
          <w:rFonts w:ascii="Arial" w:hAnsi="Arial" w:cs="Arial"/>
          <w:sz w:val="24"/>
          <w:szCs w:val="24"/>
        </w:rPr>
      </w:pPr>
      <w:r w:rsidRPr="006C48D2">
        <w:rPr>
          <w:rFonts w:ascii="Arial" w:hAnsi="Arial" w:cs="Arial"/>
          <w:sz w:val="24"/>
          <w:szCs w:val="24"/>
        </w:rPr>
        <w:t>Efficiencies in cost are advantageous to followers. Followers can concentrate on incremental innovations and cost optimisation, as pioneers have already introduced the market to the product category.</w:t>
      </w:r>
      <w:r w:rsidR="000C00E7">
        <w:rPr>
          <w:rFonts w:ascii="Arial" w:hAnsi="Arial" w:cs="Arial"/>
          <w:sz w:val="24"/>
          <w:szCs w:val="24"/>
        </w:rPr>
        <w:t xml:space="preserve"> S</w:t>
      </w:r>
      <w:r w:rsidRPr="006C48D2">
        <w:rPr>
          <w:rFonts w:ascii="Arial" w:hAnsi="Arial" w:cs="Arial"/>
          <w:sz w:val="24"/>
          <w:szCs w:val="24"/>
        </w:rPr>
        <w:t>uccessful follower firms frequently reduce production costs by optimising manufacturing processes and incorporating existing technologies</w:t>
      </w:r>
      <w:r w:rsidR="000C00E7">
        <w:rPr>
          <w:rFonts w:ascii="Arial" w:hAnsi="Arial" w:cs="Arial"/>
          <w:sz w:val="24"/>
          <w:szCs w:val="24"/>
        </w:rPr>
        <w:t xml:space="preserve"> </w:t>
      </w:r>
      <w:r w:rsidR="000C00E7" w:rsidRPr="000C00E7">
        <w:rPr>
          <w:rFonts w:ascii="Arial" w:hAnsi="Arial" w:cs="Arial"/>
          <w:sz w:val="24"/>
          <w:szCs w:val="24"/>
        </w:rPr>
        <w:t>(Parry and Sarma, 2019)</w:t>
      </w:r>
      <w:r w:rsidRPr="006C48D2">
        <w:rPr>
          <w:rFonts w:ascii="Arial" w:hAnsi="Arial" w:cs="Arial"/>
          <w:sz w:val="24"/>
          <w:szCs w:val="24"/>
        </w:rPr>
        <w:t>.</w:t>
      </w:r>
    </w:p>
    <w:p w14:paraId="6E7920EF" w14:textId="4F6BE920" w:rsidR="008901E2" w:rsidRPr="006C48D2" w:rsidRDefault="006C48D2" w:rsidP="006C48D2">
      <w:pPr>
        <w:spacing w:before="240" w:line="360" w:lineRule="auto"/>
        <w:jc w:val="both"/>
        <w:rPr>
          <w:rFonts w:ascii="Arial" w:hAnsi="Arial" w:cs="Arial"/>
          <w:b/>
          <w:bCs/>
          <w:sz w:val="24"/>
          <w:szCs w:val="24"/>
        </w:rPr>
      </w:pPr>
      <w:r w:rsidRPr="006C48D2">
        <w:rPr>
          <w:rFonts w:ascii="Arial" w:hAnsi="Arial" w:cs="Arial"/>
          <w:b/>
          <w:bCs/>
          <w:sz w:val="24"/>
          <w:szCs w:val="24"/>
        </w:rPr>
        <w:lastRenderedPageBreak/>
        <w:t>6.3 Customer Acquisition and Retention</w:t>
      </w:r>
    </w:p>
    <w:p w14:paraId="37F17586" w14:textId="35907CC5" w:rsidR="008901E2" w:rsidRPr="006C48D2" w:rsidRDefault="00000000" w:rsidP="006C48D2">
      <w:pPr>
        <w:spacing w:before="240" w:line="360" w:lineRule="auto"/>
        <w:jc w:val="both"/>
        <w:rPr>
          <w:rFonts w:ascii="Arial" w:hAnsi="Arial" w:cs="Arial"/>
          <w:sz w:val="24"/>
          <w:szCs w:val="24"/>
        </w:rPr>
      </w:pPr>
      <w:r w:rsidRPr="006C48D2">
        <w:rPr>
          <w:rFonts w:ascii="Arial" w:hAnsi="Arial" w:cs="Arial"/>
          <w:sz w:val="24"/>
          <w:szCs w:val="24"/>
        </w:rPr>
        <w:t xml:space="preserve">Pioneers possess the advantage of influencing consumer preferences and securing early adopters. Nevertheless, customer retention is significantly influenced by transition costs. According to </w:t>
      </w:r>
      <w:r w:rsidR="00AF1141" w:rsidRPr="00AF1141">
        <w:rPr>
          <w:rFonts w:ascii="Arial" w:hAnsi="Arial" w:cs="Arial"/>
          <w:sz w:val="24"/>
          <w:szCs w:val="24"/>
        </w:rPr>
        <w:t>Parry and Sarma (2019)</w:t>
      </w:r>
      <w:r w:rsidRPr="006C48D2">
        <w:rPr>
          <w:rFonts w:ascii="Arial" w:hAnsi="Arial" w:cs="Arial"/>
          <w:sz w:val="24"/>
          <w:szCs w:val="24"/>
        </w:rPr>
        <w:t>, the perceived cost of switching is substantially increased by the comparison difficulty between pioneer and follower products, which in turn reinforces customer loyalty to pioneer brands.</w:t>
      </w:r>
    </w:p>
    <w:p w14:paraId="45366388" w14:textId="77777777" w:rsidR="008901E2" w:rsidRPr="006C48D2" w:rsidRDefault="00000000" w:rsidP="006C48D2">
      <w:pPr>
        <w:spacing w:before="240" w:line="360" w:lineRule="auto"/>
        <w:jc w:val="both"/>
        <w:rPr>
          <w:rFonts w:ascii="Arial" w:hAnsi="Arial" w:cs="Arial"/>
          <w:sz w:val="24"/>
          <w:szCs w:val="24"/>
        </w:rPr>
      </w:pPr>
      <w:r w:rsidRPr="006C48D2">
        <w:rPr>
          <w:rFonts w:ascii="Arial" w:hAnsi="Arial" w:cs="Arial"/>
          <w:sz w:val="24"/>
          <w:szCs w:val="24"/>
        </w:rPr>
        <w:t>Switchers are attracted to followers by exploiting customer dissatisfaction and product deficiencies. For example, Samsung and Huawei, manufacturers of Android-based tablets, have leveraged the perceived constraints in Apple's ecosystem to provide more customisable and open platforms. Despite the high transition costs, this strategy has allowed followers to capture market share from pioneers.</w:t>
      </w:r>
    </w:p>
    <w:p w14:paraId="529527AE" w14:textId="0DA0F854" w:rsidR="008901E2" w:rsidRPr="006C48D2" w:rsidRDefault="006C48D2" w:rsidP="006C48D2">
      <w:pPr>
        <w:spacing w:before="240" w:line="360" w:lineRule="auto"/>
        <w:jc w:val="both"/>
        <w:rPr>
          <w:rFonts w:ascii="Arial" w:hAnsi="Arial" w:cs="Arial"/>
          <w:b/>
          <w:bCs/>
          <w:sz w:val="24"/>
          <w:szCs w:val="24"/>
        </w:rPr>
      </w:pPr>
      <w:r w:rsidRPr="006C48D2">
        <w:rPr>
          <w:rFonts w:ascii="Arial" w:hAnsi="Arial" w:cs="Arial"/>
          <w:b/>
          <w:bCs/>
          <w:sz w:val="24"/>
          <w:szCs w:val="24"/>
        </w:rPr>
        <w:t>6.4 Innovation and Adaptability</w:t>
      </w:r>
    </w:p>
    <w:p w14:paraId="3F201ECB" w14:textId="08C83730" w:rsidR="008901E2" w:rsidRPr="006C48D2" w:rsidRDefault="00000000" w:rsidP="006C48D2">
      <w:pPr>
        <w:spacing w:before="240" w:line="360" w:lineRule="auto"/>
        <w:jc w:val="both"/>
        <w:rPr>
          <w:rFonts w:ascii="Arial" w:hAnsi="Arial" w:cs="Arial"/>
          <w:sz w:val="24"/>
          <w:szCs w:val="24"/>
        </w:rPr>
      </w:pPr>
      <w:r w:rsidRPr="006C48D2">
        <w:rPr>
          <w:rFonts w:ascii="Arial" w:hAnsi="Arial" w:cs="Arial"/>
          <w:sz w:val="24"/>
          <w:szCs w:val="24"/>
        </w:rPr>
        <w:t>Pioneers are frequently constrained by their initial product architecture and consumer expectations. Continuous innovation and strategic adaptation are necessary to sustain the first-mover advantage over time. For instance, Tesla maintains its position as a market leader in the electric vehicle sector by investing significantly in autonomous driving capabilities and next-generation battery technology</w:t>
      </w:r>
      <w:r w:rsidR="00AF1141">
        <w:rPr>
          <w:rFonts w:ascii="Arial" w:hAnsi="Arial" w:cs="Arial"/>
          <w:sz w:val="24"/>
          <w:szCs w:val="24"/>
        </w:rPr>
        <w:t xml:space="preserve"> </w:t>
      </w:r>
      <w:r w:rsidR="00AF1141" w:rsidRPr="00AF1141">
        <w:rPr>
          <w:rFonts w:ascii="Arial" w:hAnsi="Arial" w:cs="Arial"/>
          <w:sz w:val="24"/>
          <w:szCs w:val="24"/>
        </w:rPr>
        <w:t xml:space="preserve">(Li </w:t>
      </w:r>
      <w:r w:rsidR="00AF1141" w:rsidRPr="00AF1141">
        <w:rPr>
          <w:rFonts w:ascii="Arial" w:hAnsi="Arial" w:cs="Arial"/>
          <w:i/>
          <w:iCs/>
          <w:sz w:val="24"/>
          <w:szCs w:val="24"/>
        </w:rPr>
        <w:t>et al.</w:t>
      </w:r>
      <w:r w:rsidR="00AF1141" w:rsidRPr="00AF1141">
        <w:rPr>
          <w:rFonts w:ascii="Arial" w:hAnsi="Arial" w:cs="Arial"/>
          <w:sz w:val="24"/>
          <w:szCs w:val="24"/>
        </w:rPr>
        <w:t>, 2024)</w:t>
      </w:r>
      <w:r w:rsidRPr="006C48D2">
        <w:rPr>
          <w:rFonts w:ascii="Arial" w:hAnsi="Arial" w:cs="Arial"/>
          <w:sz w:val="24"/>
          <w:szCs w:val="24"/>
        </w:rPr>
        <w:t>.</w:t>
      </w:r>
    </w:p>
    <w:p w14:paraId="4E4A30C1" w14:textId="0D283787" w:rsidR="008901E2" w:rsidRPr="006C48D2" w:rsidRDefault="00000000" w:rsidP="006C48D2">
      <w:pPr>
        <w:spacing w:before="240" w:line="360" w:lineRule="auto"/>
        <w:jc w:val="both"/>
        <w:rPr>
          <w:rFonts w:ascii="Arial" w:hAnsi="Arial" w:cs="Arial"/>
          <w:sz w:val="24"/>
          <w:szCs w:val="24"/>
        </w:rPr>
      </w:pPr>
      <w:r w:rsidRPr="006C48D2">
        <w:rPr>
          <w:rFonts w:ascii="Arial" w:hAnsi="Arial" w:cs="Arial"/>
          <w:sz w:val="24"/>
          <w:szCs w:val="24"/>
        </w:rPr>
        <w:t xml:space="preserve">Conversely, followers are granted increased adaptability. They </w:t>
      </w:r>
      <w:r w:rsidR="003F6FE7" w:rsidRPr="006C48D2">
        <w:rPr>
          <w:rFonts w:ascii="Arial" w:hAnsi="Arial" w:cs="Arial"/>
          <w:sz w:val="24"/>
          <w:szCs w:val="24"/>
        </w:rPr>
        <w:t>can</w:t>
      </w:r>
      <w:r w:rsidRPr="006C48D2">
        <w:rPr>
          <w:rFonts w:ascii="Arial" w:hAnsi="Arial" w:cs="Arial"/>
          <w:sz w:val="24"/>
          <w:szCs w:val="24"/>
        </w:rPr>
        <w:t xml:space="preserve"> introduce enhanced variants of products in response to market feedback and technological advancements. Initially a follower in the video streaming market, Netflix surpassed early pioneers such as Hulu by implementing a data-driven content strategy and investing in original programming</w:t>
      </w:r>
      <w:r w:rsidR="00AF1141">
        <w:rPr>
          <w:rFonts w:ascii="Arial" w:hAnsi="Arial" w:cs="Arial"/>
          <w:sz w:val="24"/>
          <w:szCs w:val="24"/>
        </w:rPr>
        <w:t xml:space="preserve"> </w:t>
      </w:r>
      <w:r w:rsidR="00AF1141" w:rsidRPr="00AF1141">
        <w:rPr>
          <w:rFonts w:ascii="Arial" w:hAnsi="Arial" w:cs="Arial"/>
          <w:sz w:val="24"/>
          <w:szCs w:val="24"/>
        </w:rPr>
        <w:t>(Neglur and Ps, 2024)</w:t>
      </w:r>
      <w:r w:rsidRPr="006C48D2">
        <w:rPr>
          <w:rFonts w:ascii="Arial" w:hAnsi="Arial" w:cs="Arial"/>
          <w:sz w:val="24"/>
          <w:szCs w:val="24"/>
        </w:rPr>
        <w:t>.</w:t>
      </w:r>
    </w:p>
    <w:p w14:paraId="3C230E1B" w14:textId="77777777" w:rsidR="008901E2" w:rsidRPr="006C48D2" w:rsidRDefault="00000000" w:rsidP="006C48D2">
      <w:pPr>
        <w:spacing w:before="240" w:line="360" w:lineRule="auto"/>
        <w:jc w:val="both"/>
        <w:rPr>
          <w:rFonts w:ascii="Arial" w:hAnsi="Arial" w:cs="Arial"/>
          <w:b/>
          <w:bCs/>
          <w:sz w:val="24"/>
          <w:szCs w:val="24"/>
        </w:rPr>
      </w:pPr>
      <w:r w:rsidRPr="006C48D2">
        <w:rPr>
          <w:rFonts w:ascii="Arial" w:hAnsi="Arial" w:cs="Arial"/>
          <w:b/>
          <w:bCs/>
          <w:sz w:val="24"/>
          <w:szCs w:val="24"/>
        </w:rPr>
        <w:t>7. Conclusion</w:t>
      </w:r>
    </w:p>
    <w:p w14:paraId="27E0E386" w14:textId="77777777" w:rsidR="008901E2" w:rsidRPr="006C48D2" w:rsidRDefault="00000000" w:rsidP="006C48D2">
      <w:pPr>
        <w:spacing w:before="240" w:line="360" w:lineRule="auto"/>
        <w:jc w:val="both"/>
        <w:rPr>
          <w:rFonts w:ascii="Arial" w:hAnsi="Arial" w:cs="Arial"/>
          <w:sz w:val="24"/>
          <w:szCs w:val="24"/>
        </w:rPr>
      </w:pPr>
      <w:r w:rsidRPr="006C48D2">
        <w:rPr>
          <w:rFonts w:ascii="Arial" w:hAnsi="Arial" w:cs="Arial"/>
          <w:sz w:val="24"/>
          <w:szCs w:val="24"/>
        </w:rPr>
        <w:t xml:space="preserve">In summary, the attainment of market success is facilitated by both pioneer and follower strategies, which present unique advantages and obstacles. Early market entry provides pioneer companies with the opportunity to establish consumer loyalty, secure technological leadership, and shape industry standards. Nevertheless, these benefits are accompanied by the danger of technological obsolescence, market uncertainty, and high research and development costs. Apple and Tesla have </w:t>
      </w:r>
      <w:r w:rsidRPr="006C48D2">
        <w:rPr>
          <w:rFonts w:ascii="Arial" w:hAnsi="Arial" w:cs="Arial"/>
          <w:sz w:val="24"/>
          <w:szCs w:val="24"/>
        </w:rPr>
        <w:lastRenderedPageBreak/>
        <w:t>exhibited the potential for long-term dominance by continuously innovating to maintain a competitive edge and leveraging first-mover advantages.</w:t>
      </w:r>
    </w:p>
    <w:p w14:paraId="79854A9E" w14:textId="77777777" w:rsidR="008901E2" w:rsidRDefault="00000000" w:rsidP="006C48D2">
      <w:pPr>
        <w:spacing w:before="240" w:line="360" w:lineRule="auto"/>
        <w:jc w:val="both"/>
        <w:rPr>
          <w:rFonts w:ascii="Arial" w:hAnsi="Arial" w:cs="Arial"/>
          <w:sz w:val="24"/>
          <w:szCs w:val="24"/>
        </w:rPr>
      </w:pPr>
      <w:r w:rsidRPr="006C48D2">
        <w:rPr>
          <w:rFonts w:ascii="Arial" w:hAnsi="Arial" w:cs="Arial"/>
          <w:sz w:val="24"/>
          <w:szCs w:val="24"/>
        </w:rPr>
        <w:t>In contrast, follower companies experience the advantages of reduced development costs, enhanced market insights, and the capacity to enhance existing products. Samsung and Netflix have achieved market leadership by leveraging cost efficiency, strategic market positioning, and product improvements, as well as learning from the successes and errors of pioneers. Ultimately, the decision between pioneer and follower strategies is contingent upon a company's capacity to innovate and adapt over time, as well as industry dynamics and competitive pressures.</w:t>
      </w:r>
    </w:p>
    <w:p w14:paraId="0590C0B0" w14:textId="77777777" w:rsidR="0039193C" w:rsidRDefault="0039193C" w:rsidP="006C48D2">
      <w:pPr>
        <w:spacing w:before="240" w:line="360" w:lineRule="auto"/>
        <w:jc w:val="both"/>
        <w:rPr>
          <w:rFonts w:ascii="Arial" w:hAnsi="Arial" w:cs="Arial"/>
          <w:sz w:val="24"/>
          <w:szCs w:val="24"/>
        </w:rPr>
      </w:pPr>
    </w:p>
    <w:p w14:paraId="42B80D79" w14:textId="77777777" w:rsidR="0039193C" w:rsidRDefault="0039193C" w:rsidP="006C48D2">
      <w:pPr>
        <w:spacing w:before="240" w:line="360" w:lineRule="auto"/>
        <w:jc w:val="both"/>
        <w:rPr>
          <w:rFonts w:ascii="Arial" w:hAnsi="Arial" w:cs="Arial"/>
          <w:sz w:val="24"/>
          <w:szCs w:val="24"/>
        </w:rPr>
      </w:pPr>
    </w:p>
    <w:p w14:paraId="037F622B" w14:textId="77777777" w:rsidR="0039193C" w:rsidRDefault="0039193C" w:rsidP="006C48D2">
      <w:pPr>
        <w:spacing w:before="240" w:line="360" w:lineRule="auto"/>
        <w:jc w:val="both"/>
        <w:rPr>
          <w:rFonts w:ascii="Arial" w:hAnsi="Arial" w:cs="Arial"/>
          <w:sz w:val="24"/>
          <w:szCs w:val="24"/>
        </w:rPr>
      </w:pPr>
    </w:p>
    <w:p w14:paraId="30513A39" w14:textId="77777777" w:rsidR="0039193C" w:rsidRDefault="0039193C" w:rsidP="006C48D2">
      <w:pPr>
        <w:spacing w:before="240" w:line="360" w:lineRule="auto"/>
        <w:jc w:val="both"/>
        <w:rPr>
          <w:rFonts w:ascii="Arial" w:hAnsi="Arial" w:cs="Arial"/>
          <w:sz w:val="24"/>
          <w:szCs w:val="24"/>
        </w:rPr>
      </w:pPr>
    </w:p>
    <w:p w14:paraId="48A8D4F3" w14:textId="77777777" w:rsidR="0039193C" w:rsidRDefault="0039193C" w:rsidP="006C48D2">
      <w:pPr>
        <w:spacing w:before="240" w:line="360" w:lineRule="auto"/>
        <w:jc w:val="both"/>
        <w:rPr>
          <w:rFonts w:ascii="Arial" w:hAnsi="Arial" w:cs="Arial"/>
          <w:sz w:val="24"/>
          <w:szCs w:val="24"/>
        </w:rPr>
      </w:pPr>
    </w:p>
    <w:p w14:paraId="2A6929D4" w14:textId="77777777" w:rsidR="0039193C" w:rsidRDefault="0039193C" w:rsidP="006C48D2">
      <w:pPr>
        <w:spacing w:before="240" w:line="360" w:lineRule="auto"/>
        <w:jc w:val="both"/>
        <w:rPr>
          <w:rFonts w:ascii="Arial" w:hAnsi="Arial" w:cs="Arial"/>
          <w:sz w:val="24"/>
          <w:szCs w:val="24"/>
        </w:rPr>
      </w:pPr>
    </w:p>
    <w:p w14:paraId="1F31CB4E" w14:textId="77777777" w:rsidR="0039193C" w:rsidRDefault="0039193C" w:rsidP="006C48D2">
      <w:pPr>
        <w:spacing w:before="240" w:line="360" w:lineRule="auto"/>
        <w:jc w:val="both"/>
        <w:rPr>
          <w:rFonts w:ascii="Arial" w:hAnsi="Arial" w:cs="Arial"/>
          <w:sz w:val="24"/>
          <w:szCs w:val="24"/>
        </w:rPr>
      </w:pPr>
    </w:p>
    <w:p w14:paraId="48A88C1D" w14:textId="77777777" w:rsidR="0039193C" w:rsidRDefault="0039193C" w:rsidP="006C48D2">
      <w:pPr>
        <w:spacing w:before="240" w:line="360" w:lineRule="auto"/>
        <w:jc w:val="both"/>
        <w:rPr>
          <w:rFonts w:ascii="Arial" w:hAnsi="Arial" w:cs="Arial"/>
          <w:sz w:val="24"/>
          <w:szCs w:val="24"/>
        </w:rPr>
      </w:pPr>
    </w:p>
    <w:p w14:paraId="6C085B19" w14:textId="77777777" w:rsidR="0039193C" w:rsidRDefault="0039193C" w:rsidP="006C48D2">
      <w:pPr>
        <w:spacing w:before="240" w:line="360" w:lineRule="auto"/>
        <w:jc w:val="both"/>
        <w:rPr>
          <w:rFonts w:ascii="Arial" w:hAnsi="Arial" w:cs="Arial"/>
          <w:sz w:val="24"/>
          <w:szCs w:val="24"/>
        </w:rPr>
      </w:pPr>
    </w:p>
    <w:p w14:paraId="4DC46998" w14:textId="77777777" w:rsidR="0039193C" w:rsidRDefault="0039193C" w:rsidP="006C48D2">
      <w:pPr>
        <w:spacing w:before="240" w:line="360" w:lineRule="auto"/>
        <w:jc w:val="both"/>
        <w:rPr>
          <w:rFonts w:ascii="Arial" w:hAnsi="Arial" w:cs="Arial"/>
          <w:sz w:val="24"/>
          <w:szCs w:val="24"/>
        </w:rPr>
      </w:pPr>
    </w:p>
    <w:p w14:paraId="2BE0B9BF" w14:textId="77777777" w:rsidR="0039193C" w:rsidRDefault="0039193C" w:rsidP="006C48D2">
      <w:pPr>
        <w:spacing w:before="240" w:line="360" w:lineRule="auto"/>
        <w:jc w:val="both"/>
        <w:rPr>
          <w:rFonts w:ascii="Arial" w:hAnsi="Arial" w:cs="Arial"/>
          <w:sz w:val="24"/>
          <w:szCs w:val="24"/>
        </w:rPr>
      </w:pPr>
    </w:p>
    <w:p w14:paraId="03CF7380" w14:textId="77777777" w:rsidR="0039193C" w:rsidRDefault="0039193C" w:rsidP="006C48D2">
      <w:pPr>
        <w:spacing w:before="240" w:line="360" w:lineRule="auto"/>
        <w:jc w:val="both"/>
        <w:rPr>
          <w:rFonts w:ascii="Arial" w:hAnsi="Arial" w:cs="Arial"/>
          <w:sz w:val="24"/>
          <w:szCs w:val="24"/>
        </w:rPr>
      </w:pPr>
    </w:p>
    <w:p w14:paraId="2331D94A" w14:textId="77777777" w:rsidR="0039193C" w:rsidRDefault="0039193C" w:rsidP="006C48D2">
      <w:pPr>
        <w:spacing w:before="240" w:line="360" w:lineRule="auto"/>
        <w:jc w:val="both"/>
        <w:rPr>
          <w:rFonts w:ascii="Arial" w:hAnsi="Arial" w:cs="Arial"/>
          <w:sz w:val="24"/>
          <w:szCs w:val="24"/>
        </w:rPr>
      </w:pPr>
    </w:p>
    <w:p w14:paraId="52C28AB2" w14:textId="77777777" w:rsidR="0039193C" w:rsidRDefault="0039193C" w:rsidP="006C48D2">
      <w:pPr>
        <w:spacing w:before="240" w:line="360" w:lineRule="auto"/>
        <w:jc w:val="both"/>
        <w:rPr>
          <w:rFonts w:ascii="Arial" w:hAnsi="Arial" w:cs="Arial"/>
          <w:sz w:val="24"/>
          <w:szCs w:val="24"/>
        </w:rPr>
      </w:pPr>
    </w:p>
    <w:p w14:paraId="664836CF" w14:textId="77777777" w:rsidR="0039193C" w:rsidRDefault="0039193C" w:rsidP="006C48D2">
      <w:pPr>
        <w:spacing w:before="240" w:line="360" w:lineRule="auto"/>
        <w:jc w:val="both"/>
        <w:rPr>
          <w:rFonts w:ascii="Arial" w:hAnsi="Arial" w:cs="Arial"/>
          <w:sz w:val="24"/>
          <w:szCs w:val="24"/>
        </w:rPr>
      </w:pPr>
    </w:p>
    <w:p w14:paraId="278FA3A1" w14:textId="04F5BF8C" w:rsidR="006C48D2" w:rsidRDefault="006C48D2" w:rsidP="006C48D2">
      <w:pPr>
        <w:spacing w:before="240" w:line="360" w:lineRule="auto"/>
        <w:jc w:val="both"/>
        <w:rPr>
          <w:rFonts w:ascii="Arial" w:hAnsi="Arial" w:cs="Arial"/>
          <w:b/>
          <w:bCs/>
          <w:sz w:val="24"/>
          <w:szCs w:val="24"/>
        </w:rPr>
      </w:pPr>
      <w:r w:rsidRPr="006C48D2">
        <w:rPr>
          <w:rFonts w:ascii="Arial" w:hAnsi="Arial" w:cs="Arial"/>
          <w:b/>
          <w:bCs/>
          <w:sz w:val="24"/>
          <w:szCs w:val="24"/>
        </w:rPr>
        <w:lastRenderedPageBreak/>
        <w:t>References</w:t>
      </w:r>
    </w:p>
    <w:p w14:paraId="23E810C7" w14:textId="77777777" w:rsidR="00AF1141" w:rsidRPr="003C56FA" w:rsidRDefault="00AF1141" w:rsidP="00AF1141">
      <w:pPr>
        <w:spacing w:before="240" w:after="160" w:line="360" w:lineRule="auto"/>
        <w:rPr>
          <w:rFonts w:ascii="Arial" w:hAnsi="Arial" w:cs="Arial"/>
          <w:sz w:val="24"/>
          <w:szCs w:val="24"/>
        </w:rPr>
      </w:pPr>
      <w:r w:rsidRPr="003C56FA">
        <w:rPr>
          <w:rFonts w:ascii="Arial" w:hAnsi="Arial" w:cs="Arial"/>
          <w:sz w:val="24"/>
          <w:szCs w:val="24"/>
        </w:rPr>
        <w:t xml:space="preserve">Amazon Web Services (2025) </w:t>
      </w:r>
      <w:r w:rsidRPr="003C56FA">
        <w:rPr>
          <w:rFonts w:ascii="Arial" w:hAnsi="Arial" w:cs="Arial"/>
          <w:i/>
          <w:iCs/>
          <w:sz w:val="24"/>
          <w:szCs w:val="24"/>
        </w:rPr>
        <w:t>The Imperatives of Customer-Centric Innovation | AWS Executive Insights</w:t>
      </w:r>
      <w:r w:rsidRPr="003C56FA">
        <w:rPr>
          <w:rFonts w:ascii="Arial" w:hAnsi="Arial" w:cs="Arial"/>
          <w:sz w:val="24"/>
          <w:szCs w:val="24"/>
        </w:rPr>
        <w:t>. https://aws.amazon.com/executive-insights/content/the-imperatives-of-customer-centric-innovation/ (Accessed: March 26, 2025).</w:t>
      </w:r>
    </w:p>
    <w:p w14:paraId="18D86DE6" w14:textId="77777777" w:rsidR="00AF1141" w:rsidRPr="00AF1141" w:rsidRDefault="00AF1141" w:rsidP="00AF1141">
      <w:pPr>
        <w:spacing w:before="240" w:line="360" w:lineRule="auto"/>
        <w:rPr>
          <w:rFonts w:ascii="Arial" w:hAnsi="Arial" w:cs="Arial"/>
          <w:sz w:val="24"/>
          <w:szCs w:val="24"/>
        </w:rPr>
      </w:pPr>
      <w:r w:rsidRPr="00AF1141">
        <w:rPr>
          <w:rFonts w:ascii="Arial" w:hAnsi="Arial" w:cs="Arial"/>
          <w:sz w:val="24"/>
          <w:szCs w:val="24"/>
        </w:rPr>
        <w:t>Arena, G. (2018). First-mover advantage and competitive dynamics: a study in the automotive industry.</w:t>
      </w:r>
    </w:p>
    <w:p w14:paraId="41FCCE98" w14:textId="77777777" w:rsidR="00AF1141" w:rsidRPr="003C56FA" w:rsidRDefault="00AF1141" w:rsidP="00AF1141">
      <w:pPr>
        <w:spacing w:before="240" w:after="160" w:line="360" w:lineRule="auto"/>
        <w:rPr>
          <w:rFonts w:ascii="Arial" w:hAnsi="Arial" w:cs="Arial"/>
          <w:sz w:val="24"/>
          <w:szCs w:val="24"/>
        </w:rPr>
      </w:pPr>
      <w:r w:rsidRPr="003C56FA">
        <w:rPr>
          <w:rFonts w:ascii="Arial" w:hAnsi="Arial" w:cs="Arial"/>
          <w:sz w:val="24"/>
          <w:szCs w:val="24"/>
        </w:rPr>
        <w:t xml:space="preserve">Aryo Consulting Group (2025) 'Apple’s Product Ecosystem Strategy,' </w:t>
      </w:r>
      <w:r w:rsidRPr="003C56FA">
        <w:rPr>
          <w:rFonts w:ascii="Arial" w:hAnsi="Arial" w:cs="Arial"/>
          <w:i/>
          <w:iCs/>
          <w:sz w:val="24"/>
          <w:szCs w:val="24"/>
        </w:rPr>
        <w:t>Aryo Consulting Group</w:t>
      </w:r>
      <w:r w:rsidRPr="003C56FA">
        <w:rPr>
          <w:rFonts w:ascii="Arial" w:hAnsi="Arial" w:cs="Arial"/>
          <w:sz w:val="24"/>
          <w:szCs w:val="24"/>
        </w:rPr>
        <w:t>, 7 March. https://aryocg.com/apples-product-ecosystem-strategy-key-insights/ (Accessed: March 26, 2025).</w:t>
      </w:r>
    </w:p>
    <w:p w14:paraId="1A8E8659" w14:textId="77777777" w:rsidR="00AF1141" w:rsidRPr="00861B04" w:rsidRDefault="00AF1141" w:rsidP="00AF1141">
      <w:pPr>
        <w:spacing w:before="240" w:after="160" w:line="360" w:lineRule="auto"/>
        <w:rPr>
          <w:rFonts w:ascii="Arial" w:hAnsi="Arial" w:cs="Arial"/>
          <w:sz w:val="24"/>
          <w:szCs w:val="24"/>
        </w:rPr>
      </w:pPr>
      <w:r w:rsidRPr="00861B04">
        <w:rPr>
          <w:rFonts w:ascii="Arial" w:hAnsi="Arial" w:cs="Arial"/>
          <w:sz w:val="24"/>
          <w:szCs w:val="24"/>
        </w:rPr>
        <w:t xml:space="preserve">Huang, J., Chou, T. and Lee, G. (2010) 'Imitative innovation strategies,' </w:t>
      </w:r>
      <w:r w:rsidRPr="00861B04">
        <w:rPr>
          <w:rFonts w:ascii="Arial" w:hAnsi="Arial" w:cs="Arial"/>
          <w:i/>
          <w:iCs/>
          <w:sz w:val="24"/>
          <w:szCs w:val="24"/>
        </w:rPr>
        <w:t>Management Decision</w:t>
      </w:r>
      <w:r w:rsidRPr="00861B04">
        <w:rPr>
          <w:rFonts w:ascii="Arial" w:hAnsi="Arial" w:cs="Arial"/>
          <w:sz w:val="24"/>
          <w:szCs w:val="24"/>
        </w:rPr>
        <w:t>, 48(6), pp. 952–975. https://doi.org/10.1108/00251741011053488.</w:t>
      </w:r>
    </w:p>
    <w:p w14:paraId="68C4B1BD" w14:textId="77777777" w:rsidR="00AF1141" w:rsidRPr="001049B3" w:rsidRDefault="00AF1141" w:rsidP="00AF1141">
      <w:pPr>
        <w:spacing w:before="240" w:after="160" w:line="360" w:lineRule="auto"/>
        <w:rPr>
          <w:rFonts w:ascii="Arial" w:hAnsi="Arial" w:cs="Arial"/>
          <w:sz w:val="24"/>
          <w:szCs w:val="24"/>
        </w:rPr>
      </w:pPr>
      <w:r w:rsidRPr="001049B3">
        <w:rPr>
          <w:rFonts w:ascii="Arial" w:hAnsi="Arial" w:cs="Arial"/>
          <w:sz w:val="24"/>
          <w:szCs w:val="24"/>
        </w:rPr>
        <w:t xml:space="preserve">Kamat, D. and Abraham, T. (2024) 'Google’s product management approach,' </w:t>
      </w:r>
      <w:r w:rsidRPr="001049B3">
        <w:rPr>
          <w:rFonts w:ascii="Arial" w:hAnsi="Arial" w:cs="Arial"/>
          <w:i/>
          <w:iCs/>
          <w:sz w:val="24"/>
          <w:szCs w:val="24"/>
        </w:rPr>
        <w:t>Google Cloud Blog</w:t>
      </w:r>
      <w:r w:rsidRPr="001049B3">
        <w:rPr>
          <w:rFonts w:ascii="Arial" w:hAnsi="Arial" w:cs="Arial"/>
          <w:sz w:val="24"/>
          <w:szCs w:val="24"/>
        </w:rPr>
        <w:t>, 10 December. https://cloud.google.com/transform/how-to-apply-google-product-management-practices-to-your-business.</w:t>
      </w:r>
    </w:p>
    <w:p w14:paraId="5CE37C58" w14:textId="77777777" w:rsidR="00AF1141" w:rsidRPr="003C56FA" w:rsidRDefault="00AF1141" w:rsidP="00AF1141">
      <w:pPr>
        <w:spacing w:before="240" w:after="160" w:line="360" w:lineRule="auto"/>
        <w:rPr>
          <w:rFonts w:ascii="Arial" w:hAnsi="Arial" w:cs="Arial"/>
          <w:sz w:val="24"/>
          <w:szCs w:val="24"/>
        </w:rPr>
      </w:pPr>
      <w:r w:rsidRPr="003C56FA">
        <w:rPr>
          <w:rFonts w:ascii="Arial" w:hAnsi="Arial" w:cs="Arial"/>
          <w:sz w:val="24"/>
          <w:szCs w:val="24"/>
        </w:rPr>
        <w:t xml:space="preserve">Kerin, R.A., Varadarajan, P.R. and Peterson, R.A. (1992) 'First-Mover advantage: a synthesis, conceptual framework, and research propositions,' </w:t>
      </w:r>
      <w:r w:rsidRPr="003C56FA">
        <w:rPr>
          <w:rFonts w:ascii="Arial" w:hAnsi="Arial" w:cs="Arial"/>
          <w:i/>
          <w:iCs/>
          <w:sz w:val="24"/>
          <w:szCs w:val="24"/>
        </w:rPr>
        <w:t>Journal of Marketing</w:t>
      </w:r>
      <w:r w:rsidRPr="003C56FA">
        <w:rPr>
          <w:rFonts w:ascii="Arial" w:hAnsi="Arial" w:cs="Arial"/>
          <w:sz w:val="24"/>
          <w:szCs w:val="24"/>
        </w:rPr>
        <w:t>, 56(4), pp. 33–52. https://doi.org/10.1177/002224299205600404.</w:t>
      </w:r>
    </w:p>
    <w:p w14:paraId="1E263043" w14:textId="77777777" w:rsidR="00AF1141" w:rsidRPr="001049B3" w:rsidRDefault="00AF1141" w:rsidP="00AF1141">
      <w:pPr>
        <w:spacing w:before="240" w:after="160" w:line="360" w:lineRule="auto"/>
        <w:rPr>
          <w:rFonts w:ascii="Arial" w:hAnsi="Arial" w:cs="Arial"/>
          <w:sz w:val="24"/>
          <w:szCs w:val="24"/>
        </w:rPr>
      </w:pPr>
      <w:r w:rsidRPr="001049B3">
        <w:rPr>
          <w:rFonts w:ascii="Arial" w:hAnsi="Arial" w:cs="Arial"/>
          <w:sz w:val="24"/>
          <w:szCs w:val="24"/>
        </w:rPr>
        <w:t xml:space="preserve">Leitão, J., De Brito, S. and Pereira, D. (2024) 'Organizational ambidexterity, open innovation and innovation outputs: How do followers and low-flyer EU countries innovate?' </w:t>
      </w:r>
      <w:r w:rsidRPr="001049B3">
        <w:rPr>
          <w:rFonts w:ascii="Arial" w:hAnsi="Arial" w:cs="Arial"/>
          <w:i/>
          <w:iCs/>
          <w:sz w:val="24"/>
          <w:szCs w:val="24"/>
        </w:rPr>
        <w:t>International Journal of Innovation Studies</w:t>
      </w:r>
      <w:r w:rsidRPr="001049B3">
        <w:rPr>
          <w:rFonts w:ascii="Arial" w:hAnsi="Arial" w:cs="Arial"/>
          <w:sz w:val="24"/>
          <w:szCs w:val="24"/>
        </w:rPr>
        <w:t>, 8(2), pp. 186–235. https://doi.org/10.1016/j.ijis.2024.01.001.</w:t>
      </w:r>
    </w:p>
    <w:p w14:paraId="3A162A38" w14:textId="77777777" w:rsidR="00AF1141" w:rsidRPr="001049B3" w:rsidRDefault="00AF1141" w:rsidP="00AF1141">
      <w:pPr>
        <w:spacing w:before="240" w:after="160" w:line="360" w:lineRule="auto"/>
        <w:rPr>
          <w:rFonts w:ascii="Arial" w:hAnsi="Arial" w:cs="Arial"/>
          <w:sz w:val="24"/>
          <w:szCs w:val="24"/>
        </w:rPr>
      </w:pPr>
      <w:r w:rsidRPr="001049B3">
        <w:rPr>
          <w:rFonts w:ascii="Arial" w:hAnsi="Arial" w:cs="Arial"/>
          <w:sz w:val="24"/>
          <w:szCs w:val="24"/>
        </w:rPr>
        <w:t xml:space="preserve">Li, C. </w:t>
      </w:r>
      <w:r w:rsidRPr="001049B3">
        <w:rPr>
          <w:rFonts w:ascii="Arial" w:hAnsi="Arial" w:cs="Arial"/>
          <w:i/>
          <w:iCs/>
          <w:sz w:val="24"/>
          <w:szCs w:val="24"/>
        </w:rPr>
        <w:t>et al.</w:t>
      </w:r>
      <w:r w:rsidRPr="001049B3">
        <w:rPr>
          <w:rFonts w:ascii="Arial" w:hAnsi="Arial" w:cs="Arial"/>
          <w:sz w:val="24"/>
          <w:szCs w:val="24"/>
        </w:rPr>
        <w:t xml:space="preserve"> (2024) 'Tesla’s product improvement strategies in the electric vehicle market,' </w:t>
      </w:r>
      <w:r w:rsidRPr="001049B3">
        <w:rPr>
          <w:rFonts w:ascii="Arial" w:hAnsi="Arial" w:cs="Arial"/>
          <w:i/>
          <w:iCs/>
          <w:sz w:val="24"/>
          <w:szCs w:val="24"/>
        </w:rPr>
        <w:t>Advances in Economics Management and Political Sciences</w:t>
      </w:r>
      <w:r w:rsidRPr="001049B3">
        <w:rPr>
          <w:rFonts w:ascii="Arial" w:hAnsi="Arial" w:cs="Arial"/>
          <w:sz w:val="24"/>
          <w:szCs w:val="24"/>
        </w:rPr>
        <w:t>, 92(1), pp. 177–185. https://doi.org/10.54254/2754-1169/92/20231197.</w:t>
      </w:r>
    </w:p>
    <w:p w14:paraId="7F5E82CD" w14:textId="77777777" w:rsidR="00AF1141" w:rsidRPr="00AF1141" w:rsidRDefault="00AF1141" w:rsidP="00AF1141">
      <w:pPr>
        <w:spacing w:before="240" w:line="360" w:lineRule="auto"/>
        <w:rPr>
          <w:rFonts w:ascii="Arial" w:hAnsi="Arial" w:cs="Arial"/>
          <w:sz w:val="24"/>
          <w:szCs w:val="24"/>
        </w:rPr>
      </w:pPr>
      <w:r w:rsidRPr="00AF1141">
        <w:rPr>
          <w:rFonts w:ascii="Arial" w:hAnsi="Arial" w:cs="Arial"/>
          <w:sz w:val="24"/>
          <w:szCs w:val="24"/>
        </w:rPr>
        <w:t xml:space="preserve">Liu, Z. (2023). The relationship between innovation and strategy. In </w:t>
      </w:r>
      <w:r w:rsidRPr="00AF1141">
        <w:rPr>
          <w:rFonts w:ascii="Arial" w:hAnsi="Arial" w:cs="Arial"/>
          <w:i/>
          <w:iCs/>
          <w:sz w:val="24"/>
          <w:szCs w:val="24"/>
        </w:rPr>
        <w:t>SHS Web of Conferences</w:t>
      </w:r>
      <w:r w:rsidRPr="00AF1141">
        <w:rPr>
          <w:rFonts w:ascii="Arial" w:hAnsi="Arial" w:cs="Arial"/>
          <w:sz w:val="24"/>
          <w:szCs w:val="24"/>
        </w:rPr>
        <w:t xml:space="preserve"> (Vol. 178, p. 03018). EDP Sciences.</w:t>
      </w:r>
    </w:p>
    <w:p w14:paraId="67CCF838" w14:textId="77777777" w:rsidR="00AF1141" w:rsidRPr="003C56FA" w:rsidRDefault="00AF1141" w:rsidP="00AF1141">
      <w:pPr>
        <w:spacing w:before="240" w:after="160" w:line="360" w:lineRule="auto"/>
        <w:rPr>
          <w:rFonts w:ascii="Arial" w:hAnsi="Arial" w:cs="Arial"/>
          <w:sz w:val="24"/>
          <w:szCs w:val="24"/>
        </w:rPr>
      </w:pPr>
      <w:r w:rsidRPr="003C56FA">
        <w:rPr>
          <w:rFonts w:ascii="Arial" w:hAnsi="Arial" w:cs="Arial"/>
          <w:sz w:val="24"/>
          <w:szCs w:val="24"/>
        </w:rPr>
        <w:t xml:space="preserve">Madani, F. </w:t>
      </w:r>
      <w:r w:rsidRPr="003C56FA">
        <w:rPr>
          <w:rFonts w:ascii="Arial" w:hAnsi="Arial" w:cs="Arial"/>
          <w:i/>
          <w:iCs/>
          <w:sz w:val="24"/>
          <w:szCs w:val="24"/>
        </w:rPr>
        <w:t>et al.</w:t>
      </w:r>
      <w:r w:rsidRPr="003C56FA">
        <w:rPr>
          <w:rFonts w:ascii="Arial" w:hAnsi="Arial" w:cs="Arial"/>
          <w:sz w:val="24"/>
          <w:szCs w:val="24"/>
        </w:rPr>
        <w:t xml:space="preserve"> (2014) 'Samsung’s innovation strategy in smart phones market,' </w:t>
      </w:r>
      <w:r w:rsidRPr="003C56FA">
        <w:rPr>
          <w:rFonts w:ascii="Arial" w:hAnsi="Arial" w:cs="Arial"/>
          <w:i/>
          <w:iCs/>
          <w:sz w:val="24"/>
          <w:szCs w:val="24"/>
        </w:rPr>
        <w:t>SSRN Electronic Journal</w:t>
      </w:r>
      <w:r w:rsidRPr="003C56FA">
        <w:rPr>
          <w:rFonts w:ascii="Arial" w:hAnsi="Arial" w:cs="Arial"/>
          <w:sz w:val="24"/>
          <w:szCs w:val="24"/>
        </w:rPr>
        <w:t xml:space="preserve"> [Preprint]. https://doi.org/10.2139/ssrn.3023595.</w:t>
      </w:r>
    </w:p>
    <w:p w14:paraId="3D5B5F06" w14:textId="77777777" w:rsidR="00AF1141" w:rsidRPr="001049B3" w:rsidRDefault="00AF1141" w:rsidP="00AF1141">
      <w:pPr>
        <w:spacing w:before="240" w:after="160" w:line="360" w:lineRule="auto"/>
        <w:rPr>
          <w:rFonts w:ascii="Arial" w:hAnsi="Arial" w:cs="Arial"/>
          <w:sz w:val="24"/>
          <w:szCs w:val="24"/>
        </w:rPr>
      </w:pPr>
      <w:r w:rsidRPr="001049B3">
        <w:rPr>
          <w:rFonts w:ascii="Arial" w:hAnsi="Arial" w:cs="Arial"/>
          <w:sz w:val="24"/>
          <w:szCs w:val="24"/>
        </w:rPr>
        <w:lastRenderedPageBreak/>
        <w:t xml:space="preserve">Markides, C.C. and Geroski, P.A. (2004) </w:t>
      </w:r>
      <w:r w:rsidRPr="001049B3">
        <w:rPr>
          <w:rFonts w:ascii="Arial" w:hAnsi="Arial" w:cs="Arial"/>
          <w:i/>
          <w:iCs/>
          <w:sz w:val="24"/>
          <w:szCs w:val="24"/>
        </w:rPr>
        <w:t>Fast second: How Smart Companies Bypass Radical Innovation to Enter and Dominate New Markets</w:t>
      </w:r>
      <w:r w:rsidRPr="001049B3">
        <w:rPr>
          <w:rFonts w:ascii="Arial" w:hAnsi="Arial" w:cs="Arial"/>
          <w:sz w:val="24"/>
          <w:szCs w:val="24"/>
        </w:rPr>
        <w:t>. John Wiley &amp; Sons.</w:t>
      </w:r>
    </w:p>
    <w:p w14:paraId="75594B7C" w14:textId="77777777" w:rsidR="00AF1141" w:rsidRPr="001A516C" w:rsidRDefault="00AF1141" w:rsidP="00AF1141">
      <w:pPr>
        <w:spacing w:before="240" w:after="160" w:line="360" w:lineRule="auto"/>
        <w:rPr>
          <w:rFonts w:ascii="Arial" w:hAnsi="Arial" w:cs="Arial"/>
          <w:sz w:val="24"/>
          <w:szCs w:val="24"/>
        </w:rPr>
      </w:pPr>
      <w:r w:rsidRPr="001A516C">
        <w:rPr>
          <w:rFonts w:ascii="Arial" w:hAnsi="Arial" w:cs="Arial"/>
          <w:sz w:val="24"/>
          <w:szCs w:val="24"/>
        </w:rPr>
        <w:t xml:space="preserve">Montgomery, D.B. and Lieberman, M.L. (1991) 'To Pioneer or Follow? Strategy of Entry Order,' </w:t>
      </w:r>
      <w:r w:rsidRPr="001A516C">
        <w:rPr>
          <w:rFonts w:ascii="Arial" w:hAnsi="Arial" w:cs="Arial"/>
          <w:i/>
          <w:iCs/>
          <w:sz w:val="24"/>
          <w:szCs w:val="24"/>
        </w:rPr>
        <w:t>Graduate School of Business, Stanford University</w:t>
      </w:r>
      <w:r w:rsidRPr="001A516C">
        <w:rPr>
          <w:rFonts w:ascii="Arial" w:hAnsi="Arial" w:cs="Arial"/>
          <w:sz w:val="24"/>
          <w:szCs w:val="24"/>
        </w:rPr>
        <w:t>, 2. https://ink.library.smu.edu.sg/lkcsb_research/1663/.</w:t>
      </w:r>
    </w:p>
    <w:p w14:paraId="7DB1B9DF" w14:textId="77777777" w:rsidR="00AF1141" w:rsidRPr="00861B04" w:rsidRDefault="00AF1141" w:rsidP="00AF1141">
      <w:pPr>
        <w:spacing w:before="240" w:after="160" w:line="360" w:lineRule="auto"/>
        <w:rPr>
          <w:rFonts w:ascii="Arial" w:hAnsi="Arial" w:cs="Arial"/>
          <w:sz w:val="24"/>
          <w:szCs w:val="24"/>
        </w:rPr>
      </w:pPr>
      <w:r w:rsidRPr="00861B04">
        <w:rPr>
          <w:rFonts w:ascii="Arial" w:hAnsi="Arial" w:cs="Arial"/>
          <w:sz w:val="24"/>
          <w:szCs w:val="24"/>
        </w:rPr>
        <w:t xml:space="preserve">Mueller, D.C. and Tilton, J.E. (1969) 'Research and development costs as a barrier to entry,' </w:t>
      </w:r>
      <w:r w:rsidRPr="00861B04">
        <w:rPr>
          <w:rFonts w:ascii="Arial" w:hAnsi="Arial" w:cs="Arial"/>
          <w:i/>
          <w:iCs/>
          <w:sz w:val="24"/>
          <w:szCs w:val="24"/>
        </w:rPr>
        <w:t>Canadian Journal of Economics/Revue Canadienne D Économique</w:t>
      </w:r>
      <w:r w:rsidRPr="00861B04">
        <w:rPr>
          <w:rFonts w:ascii="Arial" w:hAnsi="Arial" w:cs="Arial"/>
          <w:sz w:val="24"/>
          <w:szCs w:val="24"/>
        </w:rPr>
        <w:t>, 2(4), p. 570. https://doi.org/10.2307/133844.</w:t>
      </w:r>
    </w:p>
    <w:p w14:paraId="26349A85" w14:textId="77777777" w:rsidR="00AF1141" w:rsidRPr="003C56FA" w:rsidRDefault="00AF1141" w:rsidP="00AF1141">
      <w:pPr>
        <w:spacing w:before="240" w:after="160" w:line="360" w:lineRule="auto"/>
        <w:rPr>
          <w:rFonts w:ascii="Arial" w:hAnsi="Arial" w:cs="Arial"/>
          <w:sz w:val="24"/>
          <w:szCs w:val="24"/>
        </w:rPr>
      </w:pPr>
      <w:r w:rsidRPr="003C56FA">
        <w:rPr>
          <w:rFonts w:ascii="Arial" w:hAnsi="Arial" w:cs="Arial"/>
          <w:sz w:val="24"/>
          <w:szCs w:val="24"/>
        </w:rPr>
        <w:t xml:space="preserve">Neglur, I.S. and Ps, R. (2024) 'Keeping viewers hooked: Netflix’s innovative strategies for reducing churn,' </w:t>
      </w:r>
      <w:r w:rsidRPr="003C56FA">
        <w:rPr>
          <w:rFonts w:ascii="Arial" w:hAnsi="Arial" w:cs="Arial"/>
          <w:i/>
          <w:iCs/>
          <w:sz w:val="24"/>
          <w:szCs w:val="24"/>
        </w:rPr>
        <w:t>Journal of Information Technology Teaching Cases</w:t>
      </w:r>
      <w:r w:rsidRPr="003C56FA">
        <w:rPr>
          <w:rFonts w:ascii="Arial" w:hAnsi="Arial" w:cs="Arial"/>
          <w:sz w:val="24"/>
          <w:szCs w:val="24"/>
        </w:rPr>
        <w:t xml:space="preserve"> [Preprint]. https://doi.org/10.1177/20438869241296895.</w:t>
      </w:r>
    </w:p>
    <w:p w14:paraId="4B18B98E" w14:textId="77777777" w:rsidR="00AF1141" w:rsidRPr="00AF1141" w:rsidRDefault="00AF1141" w:rsidP="00AF1141">
      <w:pPr>
        <w:spacing w:before="240" w:after="160" w:line="360" w:lineRule="auto"/>
        <w:rPr>
          <w:rFonts w:ascii="Arial" w:hAnsi="Arial" w:cs="Arial"/>
          <w:sz w:val="24"/>
          <w:szCs w:val="24"/>
        </w:rPr>
      </w:pPr>
      <w:r w:rsidRPr="003C56FA">
        <w:rPr>
          <w:rFonts w:ascii="Arial" w:hAnsi="Arial" w:cs="Arial"/>
          <w:sz w:val="24"/>
          <w:szCs w:val="24"/>
        </w:rPr>
        <w:t xml:space="preserve">Parry, M.E. and Sarma, S. (2019) 'The impact of pioneer adopter characteristics and perceptions on the perceived costs of switching to a follower product,' </w:t>
      </w:r>
      <w:r w:rsidRPr="003C56FA">
        <w:rPr>
          <w:rFonts w:ascii="Arial" w:hAnsi="Arial" w:cs="Arial"/>
          <w:i/>
          <w:iCs/>
          <w:sz w:val="24"/>
          <w:szCs w:val="24"/>
        </w:rPr>
        <w:t>Asia Pacific Journal of Marketing and Logistics</w:t>
      </w:r>
      <w:r w:rsidRPr="003C56FA">
        <w:rPr>
          <w:rFonts w:ascii="Arial" w:hAnsi="Arial" w:cs="Arial"/>
          <w:sz w:val="24"/>
          <w:szCs w:val="24"/>
        </w:rPr>
        <w:t>, 31(4), pp. 875–897. https://doi.org/10.1108/apjml-03-2018-0113.</w:t>
      </w:r>
    </w:p>
    <w:p w14:paraId="0E93633E" w14:textId="77777777" w:rsidR="00AF1141" w:rsidRPr="003C56FA" w:rsidRDefault="00AF1141" w:rsidP="00AF1141">
      <w:pPr>
        <w:spacing w:before="240" w:after="160" w:line="360" w:lineRule="auto"/>
        <w:rPr>
          <w:rFonts w:ascii="Arial" w:hAnsi="Arial" w:cs="Arial"/>
          <w:sz w:val="24"/>
          <w:szCs w:val="24"/>
        </w:rPr>
      </w:pPr>
      <w:r w:rsidRPr="003C56FA">
        <w:rPr>
          <w:rFonts w:ascii="Arial" w:hAnsi="Arial" w:cs="Arial"/>
          <w:sz w:val="24"/>
          <w:szCs w:val="24"/>
        </w:rPr>
        <w:t xml:space="preserve">Relecura (2024) </w:t>
      </w:r>
      <w:r w:rsidRPr="003C56FA">
        <w:rPr>
          <w:rFonts w:ascii="Arial" w:hAnsi="Arial" w:cs="Arial"/>
          <w:i/>
          <w:iCs/>
          <w:sz w:val="24"/>
          <w:szCs w:val="24"/>
        </w:rPr>
        <w:t>Striking the balance: How much should your business spend on R&amp;D?</w:t>
      </w:r>
      <w:r w:rsidRPr="003C56FA">
        <w:rPr>
          <w:rFonts w:ascii="Arial" w:hAnsi="Arial" w:cs="Arial"/>
          <w:sz w:val="24"/>
          <w:szCs w:val="24"/>
        </w:rPr>
        <w:t xml:space="preserve"> https://relecura.ai/striking-the-balance-how-much-should-your-business-spend-on-rd/ (Accessed: March 26, 2025).</w:t>
      </w:r>
    </w:p>
    <w:p w14:paraId="4752EF28" w14:textId="77777777" w:rsidR="00AF1141" w:rsidRPr="001A516C" w:rsidRDefault="00AF1141" w:rsidP="00AF1141">
      <w:pPr>
        <w:spacing w:before="240" w:after="160" w:line="360" w:lineRule="auto"/>
        <w:rPr>
          <w:rFonts w:ascii="Arial" w:hAnsi="Arial" w:cs="Arial"/>
          <w:sz w:val="24"/>
          <w:szCs w:val="24"/>
        </w:rPr>
      </w:pPr>
      <w:r w:rsidRPr="001A516C">
        <w:rPr>
          <w:rFonts w:ascii="Arial" w:hAnsi="Arial" w:cs="Arial"/>
          <w:sz w:val="24"/>
          <w:szCs w:val="24"/>
        </w:rPr>
        <w:t xml:space="preserve">Robinson, W.T., Kalyanaram, G. and Urban, G.L. (1994) 'First-mover advantages from pioneering new markets: A survey of empirical evidence,' </w:t>
      </w:r>
      <w:r w:rsidRPr="001A516C">
        <w:rPr>
          <w:rFonts w:ascii="Arial" w:hAnsi="Arial" w:cs="Arial"/>
          <w:i/>
          <w:iCs/>
          <w:sz w:val="24"/>
          <w:szCs w:val="24"/>
        </w:rPr>
        <w:t>Review of Industrial Organization</w:t>
      </w:r>
      <w:r w:rsidRPr="001A516C">
        <w:rPr>
          <w:rFonts w:ascii="Arial" w:hAnsi="Arial" w:cs="Arial"/>
          <w:sz w:val="24"/>
          <w:szCs w:val="24"/>
        </w:rPr>
        <w:t>, 9(1), pp. 1–23. https://doi.org/10.1007/bf01024216.</w:t>
      </w:r>
    </w:p>
    <w:p w14:paraId="53AD9CC2" w14:textId="77777777" w:rsidR="00AF1141" w:rsidRPr="001049B3" w:rsidRDefault="00AF1141" w:rsidP="00AF1141">
      <w:pPr>
        <w:spacing w:before="240" w:after="160" w:line="360" w:lineRule="auto"/>
        <w:rPr>
          <w:rFonts w:ascii="Arial" w:hAnsi="Arial" w:cs="Arial"/>
          <w:sz w:val="24"/>
          <w:szCs w:val="24"/>
        </w:rPr>
      </w:pPr>
      <w:r w:rsidRPr="001049B3">
        <w:rPr>
          <w:rFonts w:ascii="Arial" w:hAnsi="Arial" w:cs="Arial"/>
          <w:sz w:val="24"/>
          <w:szCs w:val="24"/>
        </w:rPr>
        <w:t xml:space="preserve">Shankar, V. (2006) 'Proactive and reactive product line strategies: asymmetries between market leaders and followers,' </w:t>
      </w:r>
      <w:r w:rsidRPr="001049B3">
        <w:rPr>
          <w:rFonts w:ascii="Arial" w:hAnsi="Arial" w:cs="Arial"/>
          <w:i/>
          <w:iCs/>
          <w:sz w:val="24"/>
          <w:szCs w:val="24"/>
        </w:rPr>
        <w:t>Management Science</w:t>
      </w:r>
      <w:r w:rsidRPr="001049B3">
        <w:rPr>
          <w:rFonts w:ascii="Arial" w:hAnsi="Arial" w:cs="Arial"/>
          <w:sz w:val="24"/>
          <w:szCs w:val="24"/>
        </w:rPr>
        <w:t>, 52(2), pp. 276–292. https://doi.org/10.1287/mnsc.1050.0443.</w:t>
      </w:r>
    </w:p>
    <w:p w14:paraId="4663A667" w14:textId="77777777" w:rsidR="00AF1141" w:rsidRPr="00861B04" w:rsidRDefault="00AF1141" w:rsidP="00AF1141">
      <w:pPr>
        <w:spacing w:before="240" w:after="160" w:line="360" w:lineRule="auto"/>
        <w:rPr>
          <w:rFonts w:ascii="Arial" w:hAnsi="Arial" w:cs="Arial"/>
          <w:sz w:val="24"/>
          <w:szCs w:val="24"/>
        </w:rPr>
      </w:pPr>
      <w:r w:rsidRPr="00861B04">
        <w:rPr>
          <w:rFonts w:ascii="Arial" w:hAnsi="Arial" w:cs="Arial"/>
          <w:sz w:val="24"/>
          <w:szCs w:val="24"/>
        </w:rPr>
        <w:t xml:space="preserve">Shankar, V., Carpenter, G.S. and Krishnamurthi, L. (1998) 'Late Mover Advantage: How innovative late entrants outsell pioneers,' </w:t>
      </w:r>
      <w:r w:rsidRPr="00861B04">
        <w:rPr>
          <w:rFonts w:ascii="Arial" w:hAnsi="Arial" w:cs="Arial"/>
          <w:i/>
          <w:iCs/>
          <w:sz w:val="24"/>
          <w:szCs w:val="24"/>
        </w:rPr>
        <w:t>Journal of Marketing Research</w:t>
      </w:r>
      <w:r w:rsidRPr="00861B04">
        <w:rPr>
          <w:rFonts w:ascii="Arial" w:hAnsi="Arial" w:cs="Arial"/>
          <w:sz w:val="24"/>
          <w:szCs w:val="24"/>
        </w:rPr>
        <w:t>, 35(1), p. 54. https://doi.org/10.2307/3151930.</w:t>
      </w:r>
    </w:p>
    <w:p w14:paraId="77F394C8" w14:textId="77777777" w:rsidR="00AF1141" w:rsidRPr="00861B04" w:rsidRDefault="00AF1141" w:rsidP="00AF1141">
      <w:pPr>
        <w:spacing w:before="240" w:after="160" w:line="360" w:lineRule="auto"/>
        <w:rPr>
          <w:rFonts w:ascii="Arial" w:hAnsi="Arial" w:cs="Arial"/>
          <w:sz w:val="24"/>
          <w:szCs w:val="24"/>
        </w:rPr>
      </w:pPr>
      <w:r w:rsidRPr="00861B04">
        <w:rPr>
          <w:rFonts w:ascii="Arial" w:hAnsi="Arial" w:cs="Arial"/>
          <w:sz w:val="24"/>
          <w:szCs w:val="24"/>
        </w:rPr>
        <w:lastRenderedPageBreak/>
        <w:t xml:space="preserve">Whitlock, J. (2013) 'The value of active followership,' </w:t>
      </w:r>
      <w:r w:rsidRPr="00861B04">
        <w:rPr>
          <w:rFonts w:ascii="Arial" w:hAnsi="Arial" w:cs="Arial"/>
          <w:i/>
          <w:iCs/>
          <w:sz w:val="24"/>
          <w:szCs w:val="24"/>
        </w:rPr>
        <w:t>Nursing Management</w:t>
      </w:r>
      <w:r w:rsidRPr="00861B04">
        <w:rPr>
          <w:rFonts w:ascii="Arial" w:hAnsi="Arial" w:cs="Arial"/>
          <w:sz w:val="24"/>
          <w:szCs w:val="24"/>
        </w:rPr>
        <w:t>, 20(2), pp. 20–23. https://doi.org/10.7748/nm2013.05.20.2.20.e677.</w:t>
      </w:r>
    </w:p>
    <w:p w14:paraId="569FB4EA" w14:textId="77777777" w:rsidR="00AF1141" w:rsidRPr="00861B04" w:rsidRDefault="00AF1141" w:rsidP="00AF1141">
      <w:pPr>
        <w:spacing w:before="240" w:after="160" w:line="360" w:lineRule="auto"/>
        <w:rPr>
          <w:rFonts w:ascii="Arial" w:hAnsi="Arial" w:cs="Arial"/>
          <w:sz w:val="24"/>
          <w:szCs w:val="24"/>
        </w:rPr>
      </w:pPr>
      <w:r w:rsidRPr="00861B04">
        <w:rPr>
          <w:rFonts w:ascii="Arial" w:hAnsi="Arial" w:cs="Arial"/>
          <w:sz w:val="24"/>
          <w:szCs w:val="24"/>
        </w:rPr>
        <w:t xml:space="preserve">Zahra, S.A., Nash, S. and Bickford, D.J. (1995) 'Transforming technological pioneering into competitive advantage,' </w:t>
      </w:r>
      <w:r w:rsidRPr="00861B04">
        <w:rPr>
          <w:rFonts w:ascii="Arial" w:hAnsi="Arial" w:cs="Arial"/>
          <w:i/>
          <w:iCs/>
          <w:sz w:val="24"/>
          <w:szCs w:val="24"/>
        </w:rPr>
        <w:t>Academy of Management Perspectives</w:t>
      </w:r>
      <w:r w:rsidRPr="00861B04">
        <w:rPr>
          <w:rFonts w:ascii="Arial" w:hAnsi="Arial" w:cs="Arial"/>
          <w:sz w:val="24"/>
          <w:szCs w:val="24"/>
        </w:rPr>
        <w:t>, 9(1), pp. 17–31. https://doi.org/10.5465/ame.1995.9503133481.</w:t>
      </w:r>
    </w:p>
    <w:p w14:paraId="6E00F4A0" w14:textId="77777777" w:rsidR="008901E2" w:rsidRPr="006C48D2" w:rsidRDefault="008901E2" w:rsidP="006C48D2">
      <w:pPr>
        <w:spacing w:before="240" w:line="360" w:lineRule="auto"/>
        <w:jc w:val="both"/>
        <w:rPr>
          <w:rFonts w:ascii="Arial" w:hAnsi="Arial" w:cs="Arial"/>
          <w:sz w:val="24"/>
          <w:szCs w:val="24"/>
        </w:rPr>
      </w:pPr>
    </w:p>
    <w:sectPr w:rsidR="008901E2" w:rsidRPr="006C48D2" w:rsidSect="006C48D2">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8A36E1" w14:textId="77777777" w:rsidR="0098671E" w:rsidRDefault="0098671E" w:rsidP="00EB7329">
      <w:r>
        <w:separator/>
      </w:r>
    </w:p>
  </w:endnote>
  <w:endnote w:type="continuationSeparator" w:id="0">
    <w:p w14:paraId="29F5900F" w14:textId="77777777" w:rsidR="0098671E" w:rsidRDefault="0098671E" w:rsidP="00EB73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altName w:val="Arial"/>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Arial Unicode MS">
    <w:panose1 w:val="020B0604020202020204"/>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38631057"/>
      <w:docPartObj>
        <w:docPartGallery w:val="Page Numbers (Bottom of Page)"/>
        <w:docPartUnique/>
      </w:docPartObj>
    </w:sdtPr>
    <w:sdtContent>
      <w:p w14:paraId="6536B509" w14:textId="0AB00D21" w:rsidR="003F6FE7" w:rsidRDefault="003F6FE7">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410E2504" w14:textId="77777777" w:rsidR="003F6FE7" w:rsidRDefault="003F6F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36EC7B" w14:textId="77777777" w:rsidR="0098671E" w:rsidRDefault="0098671E" w:rsidP="00EB7329">
      <w:r>
        <w:separator/>
      </w:r>
    </w:p>
  </w:footnote>
  <w:footnote w:type="continuationSeparator" w:id="0">
    <w:p w14:paraId="49CB7760" w14:textId="77777777" w:rsidR="0098671E" w:rsidRDefault="0098671E" w:rsidP="00EB73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A05CF5"/>
    <w:multiLevelType w:val="hybridMultilevel"/>
    <w:tmpl w:val="FCEA5EAA"/>
    <w:lvl w:ilvl="0" w:tplc="34E23CEE">
      <w:start w:val="1"/>
      <w:numFmt w:val="bullet"/>
      <w:lvlText w:val="●"/>
      <w:lvlJc w:val="left"/>
      <w:pPr>
        <w:ind w:left="720" w:hanging="360"/>
      </w:pPr>
    </w:lvl>
    <w:lvl w:ilvl="1" w:tplc="E8D6F3A8">
      <w:start w:val="1"/>
      <w:numFmt w:val="bullet"/>
      <w:lvlText w:val="○"/>
      <w:lvlJc w:val="left"/>
      <w:pPr>
        <w:ind w:left="1440" w:hanging="360"/>
      </w:pPr>
    </w:lvl>
    <w:lvl w:ilvl="2" w:tplc="FBB884D0">
      <w:start w:val="1"/>
      <w:numFmt w:val="bullet"/>
      <w:lvlText w:val="■"/>
      <w:lvlJc w:val="left"/>
      <w:pPr>
        <w:ind w:left="2160" w:hanging="360"/>
      </w:pPr>
    </w:lvl>
    <w:lvl w:ilvl="3" w:tplc="BF28D66A">
      <w:start w:val="1"/>
      <w:numFmt w:val="bullet"/>
      <w:lvlText w:val="●"/>
      <w:lvlJc w:val="left"/>
      <w:pPr>
        <w:ind w:left="2880" w:hanging="360"/>
      </w:pPr>
    </w:lvl>
    <w:lvl w:ilvl="4" w:tplc="50426F58">
      <w:start w:val="1"/>
      <w:numFmt w:val="bullet"/>
      <w:lvlText w:val="○"/>
      <w:lvlJc w:val="left"/>
      <w:pPr>
        <w:ind w:left="3600" w:hanging="360"/>
      </w:pPr>
    </w:lvl>
    <w:lvl w:ilvl="5" w:tplc="F8E28C50">
      <w:start w:val="1"/>
      <w:numFmt w:val="bullet"/>
      <w:lvlText w:val="■"/>
      <w:lvlJc w:val="left"/>
      <w:pPr>
        <w:ind w:left="4320" w:hanging="360"/>
      </w:pPr>
    </w:lvl>
    <w:lvl w:ilvl="6" w:tplc="53E83DF2">
      <w:start w:val="1"/>
      <w:numFmt w:val="bullet"/>
      <w:lvlText w:val="●"/>
      <w:lvlJc w:val="left"/>
      <w:pPr>
        <w:ind w:left="5040" w:hanging="360"/>
      </w:pPr>
    </w:lvl>
    <w:lvl w:ilvl="7" w:tplc="EAEE4C84">
      <w:start w:val="1"/>
      <w:numFmt w:val="bullet"/>
      <w:lvlText w:val="●"/>
      <w:lvlJc w:val="left"/>
      <w:pPr>
        <w:ind w:left="5760" w:hanging="360"/>
      </w:pPr>
    </w:lvl>
    <w:lvl w:ilvl="8" w:tplc="F588E3CC">
      <w:start w:val="1"/>
      <w:numFmt w:val="bullet"/>
      <w:lvlText w:val="●"/>
      <w:lvlJc w:val="left"/>
      <w:pPr>
        <w:ind w:left="6480" w:hanging="360"/>
      </w:pPr>
    </w:lvl>
  </w:abstractNum>
  <w:num w:numId="1" w16cid:durableId="1909922495">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removePersonalInformation/>
  <w:removeDateAndTime/>
  <w:displayBackgroundShap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901E2"/>
    <w:rsid w:val="000C00E7"/>
    <w:rsid w:val="00162BCA"/>
    <w:rsid w:val="00225198"/>
    <w:rsid w:val="0039193C"/>
    <w:rsid w:val="003F6FE7"/>
    <w:rsid w:val="004075B2"/>
    <w:rsid w:val="005671DD"/>
    <w:rsid w:val="00584017"/>
    <w:rsid w:val="006C48D2"/>
    <w:rsid w:val="006D3BAF"/>
    <w:rsid w:val="008730A0"/>
    <w:rsid w:val="008855E5"/>
    <w:rsid w:val="008901E2"/>
    <w:rsid w:val="0098671E"/>
    <w:rsid w:val="009A373B"/>
    <w:rsid w:val="00AF1141"/>
    <w:rsid w:val="00EB732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5B8D9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IN"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paragraph" w:styleId="NoSpacing">
    <w:name w:val="No Spacing"/>
    <w:link w:val="NoSpacingChar"/>
    <w:uiPriority w:val="1"/>
    <w:qFormat/>
    <w:rsid w:val="006C48D2"/>
    <w:rPr>
      <w:rFonts w:asciiTheme="minorHAnsi" w:eastAsiaTheme="minorEastAsia" w:hAnsiTheme="minorHAnsi" w:cstheme="minorBidi"/>
      <w:sz w:val="22"/>
      <w:szCs w:val="22"/>
      <w:lang w:val="en-US" w:eastAsia="en-US"/>
    </w:rPr>
  </w:style>
  <w:style w:type="character" w:customStyle="1" w:styleId="NoSpacingChar">
    <w:name w:val="No Spacing Char"/>
    <w:basedOn w:val="DefaultParagraphFont"/>
    <w:link w:val="NoSpacing"/>
    <w:uiPriority w:val="1"/>
    <w:rsid w:val="006C48D2"/>
    <w:rPr>
      <w:rFonts w:asciiTheme="minorHAnsi" w:eastAsiaTheme="minorEastAsia" w:hAnsiTheme="minorHAnsi" w:cstheme="minorBidi"/>
      <w:sz w:val="22"/>
      <w:szCs w:val="22"/>
      <w:lang w:val="en-US" w:eastAsia="en-US"/>
    </w:rPr>
  </w:style>
  <w:style w:type="paragraph" w:styleId="Header">
    <w:name w:val="header"/>
    <w:basedOn w:val="Normal"/>
    <w:link w:val="HeaderChar"/>
    <w:uiPriority w:val="99"/>
    <w:unhideWhenUsed/>
    <w:rsid w:val="00EB7329"/>
    <w:pPr>
      <w:tabs>
        <w:tab w:val="center" w:pos="4513"/>
        <w:tab w:val="right" w:pos="9026"/>
      </w:tabs>
    </w:pPr>
  </w:style>
  <w:style w:type="character" w:customStyle="1" w:styleId="HeaderChar">
    <w:name w:val="Header Char"/>
    <w:basedOn w:val="DefaultParagraphFont"/>
    <w:link w:val="Header"/>
    <w:uiPriority w:val="99"/>
    <w:rsid w:val="00EB7329"/>
  </w:style>
  <w:style w:type="paragraph" w:styleId="Footer">
    <w:name w:val="footer"/>
    <w:basedOn w:val="Normal"/>
    <w:link w:val="FooterChar"/>
    <w:uiPriority w:val="99"/>
    <w:unhideWhenUsed/>
    <w:rsid w:val="00EB7329"/>
    <w:pPr>
      <w:tabs>
        <w:tab w:val="center" w:pos="4513"/>
        <w:tab w:val="right" w:pos="9026"/>
      </w:tabs>
    </w:pPr>
  </w:style>
  <w:style w:type="character" w:customStyle="1" w:styleId="FooterChar">
    <w:name w:val="Footer Char"/>
    <w:basedOn w:val="DefaultParagraphFont"/>
    <w:link w:val="Footer"/>
    <w:uiPriority w:val="99"/>
    <w:rsid w:val="00EB732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341179">
      <w:bodyDiv w:val="1"/>
      <w:marLeft w:val="0"/>
      <w:marRight w:val="0"/>
      <w:marTop w:val="0"/>
      <w:marBottom w:val="0"/>
      <w:divBdr>
        <w:top w:val="none" w:sz="0" w:space="0" w:color="auto"/>
        <w:left w:val="none" w:sz="0" w:space="0" w:color="auto"/>
        <w:bottom w:val="none" w:sz="0" w:space="0" w:color="auto"/>
        <w:right w:val="none" w:sz="0" w:space="0" w:color="auto"/>
      </w:divBdr>
    </w:div>
    <w:div w:id="61950380">
      <w:bodyDiv w:val="1"/>
      <w:marLeft w:val="0"/>
      <w:marRight w:val="0"/>
      <w:marTop w:val="0"/>
      <w:marBottom w:val="0"/>
      <w:divBdr>
        <w:top w:val="none" w:sz="0" w:space="0" w:color="auto"/>
        <w:left w:val="none" w:sz="0" w:space="0" w:color="auto"/>
        <w:bottom w:val="none" w:sz="0" w:space="0" w:color="auto"/>
        <w:right w:val="none" w:sz="0" w:space="0" w:color="auto"/>
      </w:divBdr>
    </w:div>
    <w:div w:id="68968446">
      <w:bodyDiv w:val="1"/>
      <w:marLeft w:val="0"/>
      <w:marRight w:val="0"/>
      <w:marTop w:val="0"/>
      <w:marBottom w:val="0"/>
      <w:divBdr>
        <w:top w:val="none" w:sz="0" w:space="0" w:color="auto"/>
        <w:left w:val="none" w:sz="0" w:space="0" w:color="auto"/>
        <w:bottom w:val="none" w:sz="0" w:space="0" w:color="auto"/>
        <w:right w:val="none" w:sz="0" w:space="0" w:color="auto"/>
      </w:divBdr>
    </w:div>
    <w:div w:id="120652070">
      <w:bodyDiv w:val="1"/>
      <w:marLeft w:val="0"/>
      <w:marRight w:val="0"/>
      <w:marTop w:val="0"/>
      <w:marBottom w:val="0"/>
      <w:divBdr>
        <w:top w:val="none" w:sz="0" w:space="0" w:color="auto"/>
        <w:left w:val="none" w:sz="0" w:space="0" w:color="auto"/>
        <w:bottom w:val="none" w:sz="0" w:space="0" w:color="auto"/>
        <w:right w:val="none" w:sz="0" w:space="0" w:color="auto"/>
      </w:divBdr>
    </w:div>
    <w:div w:id="131683018">
      <w:bodyDiv w:val="1"/>
      <w:marLeft w:val="0"/>
      <w:marRight w:val="0"/>
      <w:marTop w:val="0"/>
      <w:marBottom w:val="0"/>
      <w:divBdr>
        <w:top w:val="none" w:sz="0" w:space="0" w:color="auto"/>
        <w:left w:val="none" w:sz="0" w:space="0" w:color="auto"/>
        <w:bottom w:val="none" w:sz="0" w:space="0" w:color="auto"/>
        <w:right w:val="none" w:sz="0" w:space="0" w:color="auto"/>
      </w:divBdr>
    </w:div>
    <w:div w:id="181017744">
      <w:bodyDiv w:val="1"/>
      <w:marLeft w:val="0"/>
      <w:marRight w:val="0"/>
      <w:marTop w:val="0"/>
      <w:marBottom w:val="0"/>
      <w:divBdr>
        <w:top w:val="none" w:sz="0" w:space="0" w:color="auto"/>
        <w:left w:val="none" w:sz="0" w:space="0" w:color="auto"/>
        <w:bottom w:val="none" w:sz="0" w:space="0" w:color="auto"/>
        <w:right w:val="none" w:sz="0" w:space="0" w:color="auto"/>
      </w:divBdr>
    </w:div>
    <w:div w:id="257762604">
      <w:bodyDiv w:val="1"/>
      <w:marLeft w:val="0"/>
      <w:marRight w:val="0"/>
      <w:marTop w:val="0"/>
      <w:marBottom w:val="0"/>
      <w:divBdr>
        <w:top w:val="none" w:sz="0" w:space="0" w:color="auto"/>
        <w:left w:val="none" w:sz="0" w:space="0" w:color="auto"/>
        <w:bottom w:val="none" w:sz="0" w:space="0" w:color="auto"/>
        <w:right w:val="none" w:sz="0" w:space="0" w:color="auto"/>
      </w:divBdr>
    </w:div>
    <w:div w:id="268969860">
      <w:bodyDiv w:val="1"/>
      <w:marLeft w:val="0"/>
      <w:marRight w:val="0"/>
      <w:marTop w:val="0"/>
      <w:marBottom w:val="0"/>
      <w:divBdr>
        <w:top w:val="none" w:sz="0" w:space="0" w:color="auto"/>
        <w:left w:val="none" w:sz="0" w:space="0" w:color="auto"/>
        <w:bottom w:val="none" w:sz="0" w:space="0" w:color="auto"/>
        <w:right w:val="none" w:sz="0" w:space="0" w:color="auto"/>
      </w:divBdr>
    </w:div>
    <w:div w:id="336885297">
      <w:bodyDiv w:val="1"/>
      <w:marLeft w:val="0"/>
      <w:marRight w:val="0"/>
      <w:marTop w:val="0"/>
      <w:marBottom w:val="0"/>
      <w:divBdr>
        <w:top w:val="none" w:sz="0" w:space="0" w:color="auto"/>
        <w:left w:val="none" w:sz="0" w:space="0" w:color="auto"/>
        <w:bottom w:val="none" w:sz="0" w:space="0" w:color="auto"/>
        <w:right w:val="none" w:sz="0" w:space="0" w:color="auto"/>
      </w:divBdr>
    </w:div>
    <w:div w:id="348067961">
      <w:bodyDiv w:val="1"/>
      <w:marLeft w:val="0"/>
      <w:marRight w:val="0"/>
      <w:marTop w:val="0"/>
      <w:marBottom w:val="0"/>
      <w:divBdr>
        <w:top w:val="none" w:sz="0" w:space="0" w:color="auto"/>
        <w:left w:val="none" w:sz="0" w:space="0" w:color="auto"/>
        <w:bottom w:val="none" w:sz="0" w:space="0" w:color="auto"/>
        <w:right w:val="none" w:sz="0" w:space="0" w:color="auto"/>
      </w:divBdr>
    </w:div>
    <w:div w:id="463423121">
      <w:bodyDiv w:val="1"/>
      <w:marLeft w:val="0"/>
      <w:marRight w:val="0"/>
      <w:marTop w:val="0"/>
      <w:marBottom w:val="0"/>
      <w:divBdr>
        <w:top w:val="none" w:sz="0" w:space="0" w:color="auto"/>
        <w:left w:val="none" w:sz="0" w:space="0" w:color="auto"/>
        <w:bottom w:val="none" w:sz="0" w:space="0" w:color="auto"/>
        <w:right w:val="none" w:sz="0" w:space="0" w:color="auto"/>
      </w:divBdr>
    </w:div>
    <w:div w:id="468474114">
      <w:bodyDiv w:val="1"/>
      <w:marLeft w:val="0"/>
      <w:marRight w:val="0"/>
      <w:marTop w:val="0"/>
      <w:marBottom w:val="0"/>
      <w:divBdr>
        <w:top w:val="none" w:sz="0" w:space="0" w:color="auto"/>
        <w:left w:val="none" w:sz="0" w:space="0" w:color="auto"/>
        <w:bottom w:val="none" w:sz="0" w:space="0" w:color="auto"/>
        <w:right w:val="none" w:sz="0" w:space="0" w:color="auto"/>
      </w:divBdr>
    </w:div>
    <w:div w:id="474612135">
      <w:bodyDiv w:val="1"/>
      <w:marLeft w:val="0"/>
      <w:marRight w:val="0"/>
      <w:marTop w:val="0"/>
      <w:marBottom w:val="0"/>
      <w:divBdr>
        <w:top w:val="none" w:sz="0" w:space="0" w:color="auto"/>
        <w:left w:val="none" w:sz="0" w:space="0" w:color="auto"/>
        <w:bottom w:val="none" w:sz="0" w:space="0" w:color="auto"/>
        <w:right w:val="none" w:sz="0" w:space="0" w:color="auto"/>
      </w:divBdr>
    </w:div>
    <w:div w:id="496920587">
      <w:bodyDiv w:val="1"/>
      <w:marLeft w:val="0"/>
      <w:marRight w:val="0"/>
      <w:marTop w:val="0"/>
      <w:marBottom w:val="0"/>
      <w:divBdr>
        <w:top w:val="none" w:sz="0" w:space="0" w:color="auto"/>
        <w:left w:val="none" w:sz="0" w:space="0" w:color="auto"/>
        <w:bottom w:val="none" w:sz="0" w:space="0" w:color="auto"/>
        <w:right w:val="none" w:sz="0" w:space="0" w:color="auto"/>
      </w:divBdr>
    </w:div>
    <w:div w:id="528180452">
      <w:bodyDiv w:val="1"/>
      <w:marLeft w:val="0"/>
      <w:marRight w:val="0"/>
      <w:marTop w:val="0"/>
      <w:marBottom w:val="0"/>
      <w:divBdr>
        <w:top w:val="none" w:sz="0" w:space="0" w:color="auto"/>
        <w:left w:val="none" w:sz="0" w:space="0" w:color="auto"/>
        <w:bottom w:val="none" w:sz="0" w:space="0" w:color="auto"/>
        <w:right w:val="none" w:sz="0" w:space="0" w:color="auto"/>
      </w:divBdr>
    </w:div>
    <w:div w:id="534277173">
      <w:bodyDiv w:val="1"/>
      <w:marLeft w:val="0"/>
      <w:marRight w:val="0"/>
      <w:marTop w:val="0"/>
      <w:marBottom w:val="0"/>
      <w:divBdr>
        <w:top w:val="none" w:sz="0" w:space="0" w:color="auto"/>
        <w:left w:val="none" w:sz="0" w:space="0" w:color="auto"/>
        <w:bottom w:val="none" w:sz="0" w:space="0" w:color="auto"/>
        <w:right w:val="none" w:sz="0" w:space="0" w:color="auto"/>
      </w:divBdr>
    </w:div>
    <w:div w:id="564295787">
      <w:bodyDiv w:val="1"/>
      <w:marLeft w:val="0"/>
      <w:marRight w:val="0"/>
      <w:marTop w:val="0"/>
      <w:marBottom w:val="0"/>
      <w:divBdr>
        <w:top w:val="none" w:sz="0" w:space="0" w:color="auto"/>
        <w:left w:val="none" w:sz="0" w:space="0" w:color="auto"/>
        <w:bottom w:val="none" w:sz="0" w:space="0" w:color="auto"/>
        <w:right w:val="none" w:sz="0" w:space="0" w:color="auto"/>
      </w:divBdr>
    </w:div>
    <w:div w:id="569852889">
      <w:bodyDiv w:val="1"/>
      <w:marLeft w:val="0"/>
      <w:marRight w:val="0"/>
      <w:marTop w:val="0"/>
      <w:marBottom w:val="0"/>
      <w:divBdr>
        <w:top w:val="none" w:sz="0" w:space="0" w:color="auto"/>
        <w:left w:val="none" w:sz="0" w:space="0" w:color="auto"/>
        <w:bottom w:val="none" w:sz="0" w:space="0" w:color="auto"/>
        <w:right w:val="none" w:sz="0" w:space="0" w:color="auto"/>
      </w:divBdr>
    </w:div>
    <w:div w:id="572736140">
      <w:bodyDiv w:val="1"/>
      <w:marLeft w:val="0"/>
      <w:marRight w:val="0"/>
      <w:marTop w:val="0"/>
      <w:marBottom w:val="0"/>
      <w:divBdr>
        <w:top w:val="none" w:sz="0" w:space="0" w:color="auto"/>
        <w:left w:val="none" w:sz="0" w:space="0" w:color="auto"/>
        <w:bottom w:val="none" w:sz="0" w:space="0" w:color="auto"/>
        <w:right w:val="none" w:sz="0" w:space="0" w:color="auto"/>
      </w:divBdr>
    </w:div>
    <w:div w:id="579024700">
      <w:bodyDiv w:val="1"/>
      <w:marLeft w:val="0"/>
      <w:marRight w:val="0"/>
      <w:marTop w:val="0"/>
      <w:marBottom w:val="0"/>
      <w:divBdr>
        <w:top w:val="none" w:sz="0" w:space="0" w:color="auto"/>
        <w:left w:val="none" w:sz="0" w:space="0" w:color="auto"/>
        <w:bottom w:val="none" w:sz="0" w:space="0" w:color="auto"/>
        <w:right w:val="none" w:sz="0" w:space="0" w:color="auto"/>
      </w:divBdr>
    </w:div>
    <w:div w:id="630130690">
      <w:bodyDiv w:val="1"/>
      <w:marLeft w:val="0"/>
      <w:marRight w:val="0"/>
      <w:marTop w:val="0"/>
      <w:marBottom w:val="0"/>
      <w:divBdr>
        <w:top w:val="none" w:sz="0" w:space="0" w:color="auto"/>
        <w:left w:val="none" w:sz="0" w:space="0" w:color="auto"/>
        <w:bottom w:val="none" w:sz="0" w:space="0" w:color="auto"/>
        <w:right w:val="none" w:sz="0" w:space="0" w:color="auto"/>
      </w:divBdr>
    </w:div>
    <w:div w:id="633757949">
      <w:bodyDiv w:val="1"/>
      <w:marLeft w:val="0"/>
      <w:marRight w:val="0"/>
      <w:marTop w:val="0"/>
      <w:marBottom w:val="0"/>
      <w:divBdr>
        <w:top w:val="none" w:sz="0" w:space="0" w:color="auto"/>
        <w:left w:val="none" w:sz="0" w:space="0" w:color="auto"/>
        <w:bottom w:val="none" w:sz="0" w:space="0" w:color="auto"/>
        <w:right w:val="none" w:sz="0" w:space="0" w:color="auto"/>
      </w:divBdr>
    </w:div>
    <w:div w:id="696733387">
      <w:bodyDiv w:val="1"/>
      <w:marLeft w:val="0"/>
      <w:marRight w:val="0"/>
      <w:marTop w:val="0"/>
      <w:marBottom w:val="0"/>
      <w:divBdr>
        <w:top w:val="none" w:sz="0" w:space="0" w:color="auto"/>
        <w:left w:val="none" w:sz="0" w:space="0" w:color="auto"/>
        <w:bottom w:val="none" w:sz="0" w:space="0" w:color="auto"/>
        <w:right w:val="none" w:sz="0" w:space="0" w:color="auto"/>
      </w:divBdr>
    </w:div>
    <w:div w:id="714045563">
      <w:bodyDiv w:val="1"/>
      <w:marLeft w:val="0"/>
      <w:marRight w:val="0"/>
      <w:marTop w:val="0"/>
      <w:marBottom w:val="0"/>
      <w:divBdr>
        <w:top w:val="none" w:sz="0" w:space="0" w:color="auto"/>
        <w:left w:val="none" w:sz="0" w:space="0" w:color="auto"/>
        <w:bottom w:val="none" w:sz="0" w:space="0" w:color="auto"/>
        <w:right w:val="none" w:sz="0" w:space="0" w:color="auto"/>
      </w:divBdr>
    </w:div>
    <w:div w:id="718286722">
      <w:bodyDiv w:val="1"/>
      <w:marLeft w:val="0"/>
      <w:marRight w:val="0"/>
      <w:marTop w:val="0"/>
      <w:marBottom w:val="0"/>
      <w:divBdr>
        <w:top w:val="none" w:sz="0" w:space="0" w:color="auto"/>
        <w:left w:val="none" w:sz="0" w:space="0" w:color="auto"/>
        <w:bottom w:val="none" w:sz="0" w:space="0" w:color="auto"/>
        <w:right w:val="none" w:sz="0" w:space="0" w:color="auto"/>
      </w:divBdr>
    </w:div>
    <w:div w:id="742948427">
      <w:bodyDiv w:val="1"/>
      <w:marLeft w:val="0"/>
      <w:marRight w:val="0"/>
      <w:marTop w:val="0"/>
      <w:marBottom w:val="0"/>
      <w:divBdr>
        <w:top w:val="none" w:sz="0" w:space="0" w:color="auto"/>
        <w:left w:val="none" w:sz="0" w:space="0" w:color="auto"/>
        <w:bottom w:val="none" w:sz="0" w:space="0" w:color="auto"/>
        <w:right w:val="none" w:sz="0" w:space="0" w:color="auto"/>
      </w:divBdr>
    </w:div>
    <w:div w:id="758910292">
      <w:bodyDiv w:val="1"/>
      <w:marLeft w:val="0"/>
      <w:marRight w:val="0"/>
      <w:marTop w:val="0"/>
      <w:marBottom w:val="0"/>
      <w:divBdr>
        <w:top w:val="none" w:sz="0" w:space="0" w:color="auto"/>
        <w:left w:val="none" w:sz="0" w:space="0" w:color="auto"/>
        <w:bottom w:val="none" w:sz="0" w:space="0" w:color="auto"/>
        <w:right w:val="none" w:sz="0" w:space="0" w:color="auto"/>
      </w:divBdr>
    </w:div>
    <w:div w:id="788086932">
      <w:bodyDiv w:val="1"/>
      <w:marLeft w:val="0"/>
      <w:marRight w:val="0"/>
      <w:marTop w:val="0"/>
      <w:marBottom w:val="0"/>
      <w:divBdr>
        <w:top w:val="none" w:sz="0" w:space="0" w:color="auto"/>
        <w:left w:val="none" w:sz="0" w:space="0" w:color="auto"/>
        <w:bottom w:val="none" w:sz="0" w:space="0" w:color="auto"/>
        <w:right w:val="none" w:sz="0" w:space="0" w:color="auto"/>
      </w:divBdr>
    </w:div>
    <w:div w:id="806315574">
      <w:bodyDiv w:val="1"/>
      <w:marLeft w:val="0"/>
      <w:marRight w:val="0"/>
      <w:marTop w:val="0"/>
      <w:marBottom w:val="0"/>
      <w:divBdr>
        <w:top w:val="none" w:sz="0" w:space="0" w:color="auto"/>
        <w:left w:val="none" w:sz="0" w:space="0" w:color="auto"/>
        <w:bottom w:val="none" w:sz="0" w:space="0" w:color="auto"/>
        <w:right w:val="none" w:sz="0" w:space="0" w:color="auto"/>
      </w:divBdr>
    </w:div>
    <w:div w:id="839613410">
      <w:bodyDiv w:val="1"/>
      <w:marLeft w:val="0"/>
      <w:marRight w:val="0"/>
      <w:marTop w:val="0"/>
      <w:marBottom w:val="0"/>
      <w:divBdr>
        <w:top w:val="none" w:sz="0" w:space="0" w:color="auto"/>
        <w:left w:val="none" w:sz="0" w:space="0" w:color="auto"/>
        <w:bottom w:val="none" w:sz="0" w:space="0" w:color="auto"/>
        <w:right w:val="none" w:sz="0" w:space="0" w:color="auto"/>
      </w:divBdr>
    </w:div>
    <w:div w:id="855769850">
      <w:bodyDiv w:val="1"/>
      <w:marLeft w:val="0"/>
      <w:marRight w:val="0"/>
      <w:marTop w:val="0"/>
      <w:marBottom w:val="0"/>
      <w:divBdr>
        <w:top w:val="none" w:sz="0" w:space="0" w:color="auto"/>
        <w:left w:val="none" w:sz="0" w:space="0" w:color="auto"/>
        <w:bottom w:val="none" w:sz="0" w:space="0" w:color="auto"/>
        <w:right w:val="none" w:sz="0" w:space="0" w:color="auto"/>
      </w:divBdr>
    </w:div>
    <w:div w:id="864707282">
      <w:bodyDiv w:val="1"/>
      <w:marLeft w:val="0"/>
      <w:marRight w:val="0"/>
      <w:marTop w:val="0"/>
      <w:marBottom w:val="0"/>
      <w:divBdr>
        <w:top w:val="none" w:sz="0" w:space="0" w:color="auto"/>
        <w:left w:val="none" w:sz="0" w:space="0" w:color="auto"/>
        <w:bottom w:val="none" w:sz="0" w:space="0" w:color="auto"/>
        <w:right w:val="none" w:sz="0" w:space="0" w:color="auto"/>
      </w:divBdr>
    </w:div>
    <w:div w:id="918296649">
      <w:bodyDiv w:val="1"/>
      <w:marLeft w:val="0"/>
      <w:marRight w:val="0"/>
      <w:marTop w:val="0"/>
      <w:marBottom w:val="0"/>
      <w:divBdr>
        <w:top w:val="none" w:sz="0" w:space="0" w:color="auto"/>
        <w:left w:val="none" w:sz="0" w:space="0" w:color="auto"/>
        <w:bottom w:val="none" w:sz="0" w:space="0" w:color="auto"/>
        <w:right w:val="none" w:sz="0" w:space="0" w:color="auto"/>
      </w:divBdr>
    </w:div>
    <w:div w:id="965237334">
      <w:bodyDiv w:val="1"/>
      <w:marLeft w:val="0"/>
      <w:marRight w:val="0"/>
      <w:marTop w:val="0"/>
      <w:marBottom w:val="0"/>
      <w:divBdr>
        <w:top w:val="none" w:sz="0" w:space="0" w:color="auto"/>
        <w:left w:val="none" w:sz="0" w:space="0" w:color="auto"/>
        <w:bottom w:val="none" w:sz="0" w:space="0" w:color="auto"/>
        <w:right w:val="none" w:sz="0" w:space="0" w:color="auto"/>
      </w:divBdr>
    </w:div>
    <w:div w:id="1002008845">
      <w:bodyDiv w:val="1"/>
      <w:marLeft w:val="0"/>
      <w:marRight w:val="0"/>
      <w:marTop w:val="0"/>
      <w:marBottom w:val="0"/>
      <w:divBdr>
        <w:top w:val="none" w:sz="0" w:space="0" w:color="auto"/>
        <w:left w:val="none" w:sz="0" w:space="0" w:color="auto"/>
        <w:bottom w:val="none" w:sz="0" w:space="0" w:color="auto"/>
        <w:right w:val="none" w:sz="0" w:space="0" w:color="auto"/>
      </w:divBdr>
    </w:div>
    <w:div w:id="1011373504">
      <w:bodyDiv w:val="1"/>
      <w:marLeft w:val="0"/>
      <w:marRight w:val="0"/>
      <w:marTop w:val="0"/>
      <w:marBottom w:val="0"/>
      <w:divBdr>
        <w:top w:val="none" w:sz="0" w:space="0" w:color="auto"/>
        <w:left w:val="none" w:sz="0" w:space="0" w:color="auto"/>
        <w:bottom w:val="none" w:sz="0" w:space="0" w:color="auto"/>
        <w:right w:val="none" w:sz="0" w:space="0" w:color="auto"/>
      </w:divBdr>
    </w:div>
    <w:div w:id="1022361664">
      <w:bodyDiv w:val="1"/>
      <w:marLeft w:val="0"/>
      <w:marRight w:val="0"/>
      <w:marTop w:val="0"/>
      <w:marBottom w:val="0"/>
      <w:divBdr>
        <w:top w:val="none" w:sz="0" w:space="0" w:color="auto"/>
        <w:left w:val="none" w:sz="0" w:space="0" w:color="auto"/>
        <w:bottom w:val="none" w:sz="0" w:space="0" w:color="auto"/>
        <w:right w:val="none" w:sz="0" w:space="0" w:color="auto"/>
      </w:divBdr>
    </w:div>
    <w:div w:id="1043291893">
      <w:bodyDiv w:val="1"/>
      <w:marLeft w:val="0"/>
      <w:marRight w:val="0"/>
      <w:marTop w:val="0"/>
      <w:marBottom w:val="0"/>
      <w:divBdr>
        <w:top w:val="none" w:sz="0" w:space="0" w:color="auto"/>
        <w:left w:val="none" w:sz="0" w:space="0" w:color="auto"/>
        <w:bottom w:val="none" w:sz="0" w:space="0" w:color="auto"/>
        <w:right w:val="none" w:sz="0" w:space="0" w:color="auto"/>
      </w:divBdr>
    </w:div>
    <w:div w:id="1072507849">
      <w:bodyDiv w:val="1"/>
      <w:marLeft w:val="0"/>
      <w:marRight w:val="0"/>
      <w:marTop w:val="0"/>
      <w:marBottom w:val="0"/>
      <w:divBdr>
        <w:top w:val="none" w:sz="0" w:space="0" w:color="auto"/>
        <w:left w:val="none" w:sz="0" w:space="0" w:color="auto"/>
        <w:bottom w:val="none" w:sz="0" w:space="0" w:color="auto"/>
        <w:right w:val="none" w:sz="0" w:space="0" w:color="auto"/>
      </w:divBdr>
    </w:div>
    <w:div w:id="1078557286">
      <w:bodyDiv w:val="1"/>
      <w:marLeft w:val="0"/>
      <w:marRight w:val="0"/>
      <w:marTop w:val="0"/>
      <w:marBottom w:val="0"/>
      <w:divBdr>
        <w:top w:val="none" w:sz="0" w:space="0" w:color="auto"/>
        <w:left w:val="none" w:sz="0" w:space="0" w:color="auto"/>
        <w:bottom w:val="none" w:sz="0" w:space="0" w:color="auto"/>
        <w:right w:val="none" w:sz="0" w:space="0" w:color="auto"/>
      </w:divBdr>
    </w:div>
    <w:div w:id="1105150566">
      <w:bodyDiv w:val="1"/>
      <w:marLeft w:val="0"/>
      <w:marRight w:val="0"/>
      <w:marTop w:val="0"/>
      <w:marBottom w:val="0"/>
      <w:divBdr>
        <w:top w:val="none" w:sz="0" w:space="0" w:color="auto"/>
        <w:left w:val="none" w:sz="0" w:space="0" w:color="auto"/>
        <w:bottom w:val="none" w:sz="0" w:space="0" w:color="auto"/>
        <w:right w:val="none" w:sz="0" w:space="0" w:color="auto"/>
      </w:divBdr>
    </w:div>
    <w:div w:id="1179126823">
      <w:bodyDiv w:val="1"/>
      <w:marLeft w:val="0"/>
      <w:marRight w:val="0"/>
      <w:marTop w:val="0"/>
      <w:marBottom w:val="0"/>
      <w:divBdr>
        <w:top w:val="none" w:sz="0" w:space="0" w:color="auto"/>
        <w:left w:val="none" w:sz="0" w:space="0" w:color="auto"/>
        <w:bottom w:val="none" w:sz="0" w:space="0" w:color="auto"/>
        <w:right w:val="none" w:sz="0" w:space="0" w:color="auto"/>
      </w:divBdr>
    </w:div>
    <w:div w:id="1183786130">
      <w:bodyDiv w:val="1"/>
      <w:marLeft w:val="0"/>
      <w:marRight w:val="0"/>
      <w:marTop w:val="0"/>
      <w:marBottom w:val="0"/>
      <w:divBdr>
        <w:top w:val="none" w:sz="0" w:space="0" w:color="auto"/>
        <w:left w:val="none" w:sz="0" w:space="0" w:color="auto"/>
        <w:bottom w:val="none" w:sz="0" w:space="0" w:color="auto"/>
        <w:right w:val="none" w:sz="0" w:space="0" w:color="auto"/>
      </w:divBdr>
    </w:div>
    <w:div w:id="1215967363">
      <w:bodyDiv w:val="1"/>
      <w:marLeft w:val="0"/>
      <w:marRight w:val="0"/>
      <w:marTop w:val="0"/>
      <w:marBottom w:val="0"/>
      <w:divBdr>
        <w:top w:val="none" w:sz="0" w:space="0" w:color="auto"/>
        <w:left w:val="none" w:sz="0" w:space="0" w:color="auto"/>
        <w:bottom w:val="none" w:sz="0" w:space="0" w:color="auto"/>
        <w:right w:val="none" w:sz="0" w:space="0" w:color="auto"/>
      </w:divBdr>
    </w:div>
    <w:div w:id="1359815410">
      <w:bodyDiv w:val="1"/>
      <w:marLeft w:val="0"/>
      <w:marRight w:val="0"/>
      <w:marTop w:val="0"/>
      <w:marBottom w:val="0"/>
      <w:divBdr>
        <w:top w:val="none" w:sz="0" w:space="0" w:color="auto"/>
        <w:left w:val="none" w:sz="0" w:space="0" w:color="auto"/>
        <w:bottom w:val="none" w:sz="0" w:space="0" w:color="auto"/>
        <w:right w:val="none" w:sz="0" w:space="0" w:color="auto"/>
      </w:divBdr>
    </w:div>
    <w:div w:id="1388796067">
      <w:bodyDiv w:val="1"/>
      <w:marLeft w:val="0"/>
      <w:marRight w:val="0"/>
      <w:marTop w:val="0"/>
      <w:marBottom w:val="0"/>
      <w:divBdr>
        <w:top w:val="none" w:sz="0" w:space="0" w:color="auto"/>
        <w:left w:val="none" w:sz="0" w:space="0" w:color="auto"/>
        <w:bottom w:val="none" w:sz="0" w:space="0" w:color="auto"/>
        <w:right w:val="none" w:sz="0" w:space="0" w:color="auto"/>
      </w:divBdr>
    </w:div>
    <w:div w:id="1429616104">
      <w:bodyDiv w:val="1"/>
      <w:marLeft w:val="0"/>
      <w:marRight w:val="0"/>
      <w:marTop w:val="0"/>
      <w:marBottom w:val="0"/>
      <w:divBdr>
        <w:top w:val="none" w:sz="0" w:space="0" w:color="auto"/>
        <w:left w:val="none" w:sz="0" w:space="0" w:color="auto"/>
        <w:bottom w:val="none" w:sz="0" w:space="0" w:color="auto"/>
        <w:right w:val="none" w:sz="0" w:space="0" w:color="auto"/>
      </w:divBdr>
    </w:div>
    <w:div w:id="1434939966">
      <w:bodyDiv w:val="1"/>
      <w:marLeft w:val="0"/>
      <w:marRight w:val="0"/>
      <w:marTop w:val="0"/>
      <w:marBottom w:val="0"/>
      <w:divBdr>
        <w:top w:val="none" w:sz="0" w:space="0" w:color="auto"/>
        <w:left w:val="none" w:sz="0" w:space="0" w:color="auto"/>
        <w:bottom w:val="none" w:sz="0" w:space="0" w:color="auto"/>
        <w:right w:val="none" w:sz="0" w:space="0" w:color="auto"/>
      </w:divBdr>
    </w:div>
    <w:div w:id="1453130358">
      <w:bodyDiv w:val="1"/>
      <w:marLeft w:val="0"/>
      <w:marRight w:val="0"/>
      <w:marTop w:val="0"/>
      <w:marBottom w:val="0"/>
      <w:divBdr>
        <w:top w:val="none" w:sz="0" w:space="0" w:color="auto"/>
        <w:left w:val="none" w:sz="0" w:space="0" w:color="auto"/>
        <w:bottom w:val="none" w:sz="0" w:space="0" w:color="auto"/>
        <w:right w:val="none" w:sz="0" w:space="0" w:color="auto"/>
      </w:divBdr>
    </w:div>
    <w:div w:id="1473331848">
      <w:bodyDiv w:val="1"/>
      <w:marLeft w:val="0"/>
      <w:marRight w:val="0"/>
      <w:marTop w:val="0"/>
      <w:marBottom w:val="0"/>
      <w:divBdr>
        <w:top w:val="none" w:sz="0" w:space="0" w:color="auto"/>
        <w:left w:val="none" w:sz="0" w:space="0" w:color="auto"/>
        <w:bottom w:val="none" w:sz="0" w:space="0" w:color="auto"/>
        <w:right w:val="none" w:sz="0" w:space="0" w:color="auto"/>
      </w:divBdr>
    </w:div>
    <w:div w:id="1484354304">
      <w:bodyDiv w:val="1"/>
      <w:marLeft w:val="0"/>
      <w:marRight w:val="0"/>
      <w:marTop w:val="0"/>
      <w:marBottom w:val="0"/>
      <w:divBdr>
        <w:top w:val="none" w:sz="0" w:space="0" w:color="auto"/>
        <w:left w:val="none" w:sz="0" w:space="0" w:color="auto"/>
        <w:bottom w:val="none" w:sz="0" w:space="0" w:color="auto"/>
        <w:right w:val="none" w:sz="0" w:space="0" w:color="auto"/>
      </w:divBdr>
    </w:div>
    <w:div w:id="1505514972">
      <w:bodyDiv w:val="1"/>
      <w:marLeft w:val="0"/>
      <w:marRight w:val="0"/>
      <w:marTop w:val="0"/>
      <w:marBottom w:val="0"/>
      <w:divBdr>
        <w:top w:val="none" w:sz="0" w:space="0" w:color="auto"/>
        <w:left w:val="none" w:sz="0" w:space="0" w:color="auto"/>
        <w:bottom w:val="none" w:sz="0" w:space="0" w:color="auto"/>
        <w:right w:val="none" w:sz="0" w:space="0" w:color="auto"/>
      </w:divBdr>
    </w:div>
    <w:div w:id="1594123362">
      <w:bodyDiv w:val="1"/>
      <w:marLeft w:val="0"/>
      <w:marRight w:val="0"/>
      <w:marTop w:val="0"/>
      <w:marBottom w:val="0"/>
      <w:divBdr>
        <w:top w:val="none" w:sz="0" w:space="0" w:color="auto"/>
        <w:left w:val="none" w:sz="0" w:space="0" w:color="auto"/>
        <w:bottom w:val="none" w:sz="0" w:space="0" w:color="auto"/>
        <w:right w:val="none" w:sz="0" w:space="0" w:color="auto"/>
      </w:divBdr>
    </w:div>
    <w:div w:id="1688563021">
      <w:bodyDiv w:val="1"/>
      <w:marLeft w:val="0"/>
      <w:marRight w:val="0"/>
      <w:marTop w:val="0"/>
      <w:marBottom w:val="0"/>
      <w:divBdr>
        <w:top w:val="none" w:sz="0" w:space="0" w:color="auto"/>
        <w:left w:val="none" w:sz="0" w:space="0" w:color="auto"/>
        <w:bottom w:val="none" w:sz="0" w:space="0" w:color="auto"/>
        <w:right w:val="none" w:sz="0" w:space="0" w:color="auto"/>
      </w:divBdr>
    </w:div>
    <w:div w:id="1752508512">
      <w:bodyDiv w:val="1"/>
      <w:marLeft w:val="0"/>
      <w:marRight w:val="0"/>
      <w:marTop w:val="0"/>
      <w:marBottom w:val="0"/>
      <w:divBdr>
        <w:top w:val="none" w:sz="0" w:space="0" w:color="auto"/>
        <w:left w:val="none" w:sz="0" w:space="0" w:color="auto"/>
        <w:bottom w:val="none" w:sz="0" w:space="0" w:color="auto"/>
        <w:right w:val="none" w:sz="0" w:space="0" w:color="auto"/>
      </w:divBdr>
    </w:div>
    <w:div w:id="1760523514">
      <w:bodyDiv w:val="1"/>
      <w:marLeft w:val="0"/>
      <w:marRight w:val="0"/>
      <w:marTop w:val="0"/>
      <w:marBottom w:val="0"/>
      <w:divBdr>
        <w:top w:val="none" w:sz="0" w:space="0" w:color="auto"/>
        <w:left w:val="none" w:sz="0" w:space="0" w:color="auto"/>
        <w:bottom w:val="none" w:sz="0" w:space="0" w:color="auto"/>
        <w:right w:val="none" w:sz="0" w:space="0" w:color="auto"/>
      </w:divBdr>
    </w:div>
    <w:div w:id="1762950465">
      <w:bodyDiv w:val="1"/>
      <w:marLeft w:val="0"/>
      <w:marRight w:val="0"/>
      <w:marTop w:val="0"/>
      <w:marBottom w:val="0"/>
      <w:divBdr>
        <w:top w:val="none" w:sz="0" w:space="0" w:color="auto"/>
        <w:left w:val="none" w:sz="0" w:space="0" w:color="auto"/>
        <w:bottom w:val="none" w:sz="0" w:space="0" w:color="auto"/>
        <w:right w:val="none" w:sz="0" w:space="0" w:color="auto"/>
      </w:divBdr>
    </w:div>
    <w:div w:id="1765147641">
      <w:bodyDiv w:val="1"/>
      <w:marLeft w:val="0"/>
      <w:marRight w:val="0"/>
      <w:marTop w:val="0"/>
      <w:marBottom w:val="0"/>
      <w:divBdr>
        <w:top w:val="none" w:sz="0" w:space="0" w:color="auto"/>
        <w:left w:val="none" w:sz="0" w:space="0" w:color="auto"/>
        <w:bottom w:val="none" w:sz="0" w:space="0" w:color="auto"/>
        <w:right w:val="none" w:sz="0" w:space="0" w:color="auto"/>
      </w:divBdr>
    </w:div>
    <w:div w:id="1780950253">
      <w:bodyDiv w:val="1"/>
      <w:marLeft w:val="0"/>
      <w:marRight w:val="0"/>
      <w:marTop w:val="0"/>
      <w:marBottom w:val="0"/>
      <w:divBdr>
        <w:top w:val="none" w:sz="0" w:space="0" w:color="auto"/>
        <w:left w:val="none" w:sz="0" w:space="0" w:color="auto"/>
        <w:bottom w:val="none" w:sz="0" w:space="0" w:color="auto"/>
        <w:right w:val="none" w:sz="0" w:space="0" w:color="auto"/>
      </w:divBdr>
    </w:div>
    <w:div w:id="1786079352">
      <w:bodyDiv w:val="1"/>
      <w:marLeft w:val="0"/>
      <w:marRight w:val="0"/>
      <w:marTop w:val="0"/>
      <w:marBottom w:val="0"/>
      <w:divBdr>
        <w:top w:val="none" w:sz="0" w:space="0" w:color="auto"/>
        <w:left w:val="none" w:sz="0" w:space="0" w:color="auto"/>
        <w:bottom w:val="none" w:sz="0" w:space="0" w:color="auto"/>
        <w:right w:val="none" w:sz="0" w:space="0" w:color="auto"/>
      </w:divBdr>
    </w:div>
    <w:div w:id="1820413770">
      <w:bodyDiv w:val="1"/>
      <w:marLeft w:val="0"/>
      <w:marRight w:val="0"/>
      <w:marTop w:val="0"/>
      <w:marBottom w:val="0"/>
      <w:divBdr>
        <w:top w:val="none" w:sz="0" w:space="0" w:color="auto"/>
        <w:left w:val="none" w:sz="0" w:space="0" w:color="auto"/>
        <w:bottom w:val="none" w:sz="0" w:space="0" w:color="auto"/>
        <w:right w:val="none" w:sz="0" w:space="0" w:color="auto"/>
      </w:divBdr>
    </w:div>
    <w:div w:id="1903711181">
      <w:bodyDiv w:val="1"/>
      <w:marLeft w:val="0"/>
      <w:marRight w:val="0"/>
      <w:marTop w:val="0"/>
      <w:marBottom w:val="0"/>
      <w:divBdr>
        <w:top w:val="none" w:sz="0" w:space="0" w:color="auto"/>
        <w:left w:val="none" w:sz="0" w:space="0" w:color="auto"/>
        <w:bottom w:val="none" w:sz="0" w:space="0" w:color="auto"/>
        <w:right w:val="none" w:sz="0" w:space="0" w:color="auto"/>
      </w:divBdr>
    </w:div>
    <w:div w:id="1998874042">
      <w:bodyDiv w:val="1"/>
      <w:marLeft w:val="0"/>
      <w:marRight w:val="0"/>
      <w:marTop w:val="0"/>
      <w:marBottom w:val="0"/>
      <w:divBdr>
        <w:top w:val="none" w:sz="0" w:space="0" w:color="auto"/>
        <w:left w:val="none" w:sz="0" w:space="0" w:color="auto"/>
        <w:bottom w:val="none" w:sz="0" w:space="0" w:color="auto"/>
        <w:right w:val="none" w:sz="0" w:space="0" w:color="auto"/>
      </w:divBdr>
    </w:div>
    <w:div w:id="2077581541">
      <w:bodyDiv w:val="1"/>
      <w:marLeft w:val="0"/>
      <w:marRight w:val="0"/>
      <w:marTop w:val="0"/>
      <w:marBottom w:val="0"/>
      <w:divBdr>
        <w:top w:val="none" w:sz="0" w:space="0" w:color="auto"/>
        <w:left w:val="none" w:sz="0" w:space="0" w:color="auto"/>
        <w:bottom w:val="none" w:sz="0" w:space="0" w:color="auto"/>
        <w:right w:val="none" w:sz="0" w:space="0" w:color="auto"/>
      </w:divBdr>
    </w:div>
    <w:div w:id="212372042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gif"/><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38018BE6AB334EF98E0759A2C1E0222C"/>
        <w:category>
          <w:name w:val="General"/>
          <w:gallery w:val="placeholder"/>
        </w:category>
        <w:types>
          <w:type w:val="bbPlcHdr"/>
        </w:types>
        <w:behaviors>
          <w:behavior w:val="content"/>
        </w:behaviors>
        <w:guid w:val="{99F8A313-4C8A-4D0A-831E-47B728B6AFB7}"/>
      </w:docPartPr>
      <w:docPartBody>
        <w:p w:rsidR="00000000" w:rsidRDefault="00E70A0C" w:rsidP="00E70A0C">
          <w:pPr>
            <w:pStyle w:val="38018BE6AB334EF98E0759A2C1E0222C"/>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altName w:val="Arial"/>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Arial Unicode MS">
    <w:panose1 w:val="020B0604020202020204"/>
    <w:charset w:val="00"/>
    <w:family w:val="roman"/>
    <w:pitch w:val="variable"/>
    <w:sig w:usb0="00000003" w:usb1="00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0A0C"/>
    <w:rsid w:val="00811860"/>
    <w:rsid w:val="008855E5"/>
    <w:rsid w:val="00E70A0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IN" w:eastAsia="en-I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33D50971C48469D9B357D673650D462">
    <w:name w:val="333D50971C48469D9B357D673650D462"/>
    <w:rsid w:val="00E70A0C"/>
  </w:style>
  <w:style w:type="paragraph" w:customStyle="1" w:styleId="FF19ADB0512D40929637307BD51E57AD">
    <w:name w:val="FF19ADB0512D40929637307BD51E57AD"/>
    <w:rsid w:val="00E70A0C"/>
  </w:style>
  <w:style w:type="paragraph" w:customStyle="1" w:styleId="C9216C616B094C86B9711CE902CE3E13">
    <w:name w:val="C9216C616B094C86B9711CE902CE3E13"/>
    <w:rsid w:val="00E70A0C"/>
  </w:style>
  <w:style w:type="paragraph" w:customStyle="1" w:styleId="B02D85439BFD423DBE66AC8CC72B01C2">
    <w:name w:val="B02D85439BFD423DBE66AC8CC72B01C2"/>
    <w:rsid w:val="00E70A0C"/>
  </w:style>
  <w:style w:type="paragraph" w:customStyle="1" w:styleId="DAC1785B26B849B8BF5C7398E1671714">
    <w:name w:val="DAC1785B26B849B8BF5C7398E1671714"/>
    <w:rsid w:val="00E70A0C"/>
  </w:style>
  <w:style w:type="paragraph" w:customStyle="1" w:styleId="74E61481BC854420BBE6621DF7CE9855">
    <w:name w:val="74E61481BC854420BBE6621DF7CE9855"/>
    <w:rsid w:val="00E70A0C"/>
  </w:style>
  <w:style w:type="paragraph" w:customStyle="1" w:styleId="1CD2DA1B845F4F3382330453DA581E49">
    <w:name w:val="1CD2DA1B845F4F3382330453DA581E49"/>
    <w:rsid w:val="00E70A0C"/>
  </w:style>
  <w:style w:type="paragraph" w:customStyle="1" w:styleId="183CB851A7E848CB835433C3EF2BC0FA">
    <w:name w:val="183CB851A7E848CB835433C3EF2BC0FA"/>
    <w:rsid w:val="00E70A0C"/>
  </w:style>
  <w:style w:type="paragraph" w:customStyle="1" w:styleId="9F0DCF136BA849C99504CD3238505883">
    <w:name w:val="9F0DCF136BA849C99504CD3238505883"/>
    <w:rsid w:val="00E70A0C"/>
  </w:style>
  <w:style w:type="paragraph" w:customStyle="1" w:styleId="123503F16BD74F5F9A538BA3B1E5068A">
    <w:name w:val="123503F16BD74F5F9A538BA3B1E5068A"/>
    <w:rsid w:val="00E70A0C"/>
  </w:style>
  <w:style w:type="paragraph" w:customStyle="1" w:styleId="38018BE6AB334EF98E0759A2C1E0222C">
    <w:name w:val="38018BE6AB334EF98E0759A2C1E0222C"/>
    <w:rsid w:val="00E70A0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15</Pages>
  <Words>3612</Words>
  <Characters>20589</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of Business Administration</dc:title>
  <dc:creator/>
  <cp:lastModifiedBy/>
  <cp:revision>1</cp:revision>
  <dcterms:created xsi:type="dcterms:W3CDTF">2025-03-26T11:50:00Z</dcterms:created>
  <dcterms:modified xsi:type="dcterms:W3CDTF">2025-03-26T13:16:00Z</dcterms:modified>
</cp:coreProperties>
</file>