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23B62" w14:textId="77777777" w:rsidR="00A316A9" w:rsidRPr="004A04E2" w:rsidRDefault="004A16DD" w:rsidP="004A04E2">
      <w:pPr>
        <w:spacing w:after="240"/>
        <w:rPr>
          <w:rFonts w:ascii="Calibri" w:hAnsi="Calibri" w:cs="Calibri"/>
          <w:b/>
          <w:bCs/>
          <w:sz w:val="22"/>
          <w:szCs w:val="22"/>
        </w:rPr>
      </w:pPr>
      <w:r w:rsidRPr="004A04E2">
        <w:rPr>
          <w:rFonts w:ascii="Calibri" w:hAnsi="Calibri" w:cs="Calibri"/>
          <w:b/>
          <w:bCs/>
          <w:sz w:val="22"/>
          <w:szCs w:val="22"/>
        </w:rPr>
        <w:t xml:space="preserve">Commentary on the </w:t>
      </w:r>
      <w:proofErr w:type="spellStart"/>
      <w:r w:rsidRPr="004A04E2">
        <w:rPr>
          <w:rFonts w:ascii="Calibri" w:hAnsi="Calibri" w:cs="Calibri"/>
          <w:b/>
          <w:bCs/>
          <w:i/>
          <w:iCs/>
          <w:sz w:val="22"/>
          <w:szCs w:val="22"/>
        </w:rPr>
        <w:t>Gesta</w:t>
      </w:r>
      <w:proofErr w:type="spellEnd"/>
      <w:r w:rsidRPr="004A04E2">
        <w:rPr>
          <w:rFonts w:ascii="Calibri" w:hAnsi="Calibri" w:cs="Calibri"/>
          <w:b/>
          <w:bCs/>
          <w:i/>
          <w:iCs/>
          <w:sz w:val="22"/>
          <w:szCs w:val="22"/>
        </w:rPr>
        <w:t xml:space="preserve"> </w:t>
      </w:r>
      <w:proofErr w:type="spellStart"/>
      <w:r w:rsidRPr="004A04E2">
        <w:rPr>
          <w:rFonts w:ascii="Calibri" w:hAnsi="Calibri" w:cs="Calibri"/>
          <w:b/>
          <w:bCs/>
          <w:i/>
          <w:iCs/>
          <w:sz w:val="22"/>
          <w:szCs w:val="22"/>
        </w:rPr>
        <w:t>Guillelmi</w:t>
      </w:r>
      <w:proofErr w:type="spellEnd"/>
      <w:r w:rsidRPr="004A04E2">
        <w:rPr>
          <w:rFonts w:ascii="Calibri" w:hAnsi="Calibri" w:cs="Calibri"/>
          <w:b/>
          <w:bCs/>
          <w:sz w:val="22"/>
          <w:szCs w:val="22"/>
        </w:rPr>
        <w:t xml:space="preserve"> of William of Poitiers</w:t>
      </w:r>
    </w:p>
    <w:p w14:paraId="38C66CBD" w14:textId="1243F848" w:rsidR="002C6000" w:rsidRPr="004A04E2" w:rsidRDefault="004A16DD">
      <w:pPr>
        <w:spacing w:before="60" w:after="100" w:line="360" w:lineRule="auto"/>
        <w:rPr>
          <w:rFonts w:ascii="Calibri" w:hAnsi="Calibri" w:cs="Calibri"/>
          <w:sz w:val="22"/>
          <w:szCs w:val="22"/>
        </w:rPr>
      </w:pPr>
      <w:r w:rsidRPr="004A04E2">
        <w:rPr>
          <w:rFonts w:ascii="Calibri" w:hAnsi="Calibri" w:cs="Calibri"/>
          <w:sz w:val="22"/>
          <w:szCs w:val="22"/>
        </w:rPr>
        <w:t xml:space="preserve">William of Poitiers, chaplain to William the Conqueror and himself a former trained knight, composed the </w:t>
      </w:r>
      <w:proofErr w:type="spellStart"/>
      <w:r w:rsidRPr="004A04E2">
        <w:rPr>
          <w:rFonts w:ascii="Calibri" w:hAnsi="Calibri" w:cs="Calibri"/>
          <w:i/>
          <w:iCs/>
          <w:sz w:val="22"/>
          <w:szCs w:val="22"/>
        </w:rPr>
        <w:t>Gesta</w:t>
      </w:r>
      <w:proofErr w:type="spellEnd"/>
      <w:r w:rsidRPr="004A04E2">
        <w:rPr>
          <w:rFonts w:ascii="Calibri" w:hAnsi="Calibri" w:cs="Calibri"/>
          <w:i/>
          <w:iCs/>
          <w:sz w:val="22"/>
          <w:szCs w:val="22"/>
        </w:rPr>
        <w:t xml:space="preserve"> </w:t>
      </w:r>
      <w:proofErr w:type="spellStart"/>
      <w:r w:rsidRPr="004A04E2">
        <w:rPr>
          <w:rFonts w:ascii="Calibri" w:hAnsi="Calibri" w:cs="Calibri"/>
          <w:i/>
          <w:iCs/>
          <w:sz w:val="22"/>
          <w:szCs w:val="22"/>
        </w:rPr>
        <w:t>Guillelmi</w:t>
      </w:r>
      <w:proofErr w:type="spellEnd"/>
      <w:r w:rsidRPr="004A04E2">
        <w:rPr>
          <w:rFonts w:ascii="Calibri" w:hAnsi="Calibri" w:cs="Calibri"/>
          <w:sz w:val="22"/>
          <w:szCs w:val="22"/>
        </w:rPr>
        <w:t xml:space="preserve">, or ‘Deeds of William,’ in the 1070s. It is one of the most </w:t>
      </w:r>
      <w:r w:rsidR="00D8291B" w:rsidRPr="004A04E2">
        <w:rPr>
          <w:rFonts w:ascii="Calibri" w:hAnsi="Calibri" w:cs="Calibri"/>
          <w:sz w:val="22"/>
          <w:szCs w:val="22"/>
        </w:rPr>
        <w:t>flattering and</w:t>
      </w:r>
      <w:r w:rsidRPr="004A04E2">
        <w:rPr>
          <w:rFonts w:ascii="Calibri" w:hAnsi="Calibri" w:cs="Calibri"/>
          <w:sz w:val="22"/>
          <w:szCs w:val="22"/>
        </w:rPr>
        <w:t xml:space="preserve"> partisan sources for the Norman Conquest, written by a man uniquely positioned both to know his subject and to glorify him. Emily Albu places William of Poitiers among the few Norman historians who, “especially beholden to their patrons or awestruck by conquest, defined Normans through the broad strokes of panegyric”</w:t>
      </w:r>
      <w:r w:rsidR="00F06D58" w:rsidRPr="004A04E2">
        <w:rPr>
          <w:rStyle w:val="FootnoteReference"/>
          <w:rFonts w:ascii="Calibri" w:hAnsi="Calibri" w:cs="Calibri"/>
          <w:sz w:val="22"/>
          <w:szCs w:val="22"/>
        </w:rPr>
        <w:footnoteReference w:id="1"/>
      </w:r>
      <w:r w:rsidR="00F06D58" w:rsidRPr="004A04E2">
        <w:rPr>
          <w:rFonts w:ascii="Calibri" w:hAnsi="Calibri" w:cs="Calibri"/>
          <w:sz w:val="22"/>
          <w:szCs w:val="22"/>
        </w:rPr>
        <w:t>.</w:t>
      </w:r>
      <w:r w:rsidRPr="004A04E2">
        <w:rPr>
          <w:rFonts w:ascii="Calibri" w:hAnsi="Calibri" w:cs="Calibri"/>
          <w:sz w:val="22"/>
          <w:szCs w:val="22"/>
        </w:rPr>
        <w:t xml:space="preserve"> </w:t>
      </w:r>
      <w:r w:rsidRPr="004A04E2">
        <w:rPr>
          <w:rFonts w:ascii="Calibri" w:hAnsi="Calibri" w:cs="Calibri"/>
          <w:sz w:val="22"/>
          <w:szCs w:val="22"/>
        </w:rPr>
        <w:t>The extract f</w:t>
      </w:r>
      <w:r w:rsidR="00D8291B" w:rsidRPr="004A04E2">
        <w:rPr>
          <w:rFonts w:ascii="Calibri" w:hAnsi="Calibri" w:cs="Calibri"/>
          <w:sz w:val="22"/>
          <w:szCs w:val="22"/>
        </w:rPr>
        <w:t xml:space="preserve">or this commentary </w:t>
      </w:r>
      <w:r w:rsidRPr="004A04E2">
        <w:rPr>
          <w:rFonts w:ascii="Calibri" w:hAnsi="Calibri" w:cs="Calibri"/>
          <w:sz w:val="22"/>
          <w:szCs w:val="22"/>
        </w:rPr>
        <w:t xml:space="preserve">covers Edward’s alleged promise of the English throne, Harold’s oath at Bonneville, Harold’s coronation and oath-breaking, the Battle of Hastings, William’s governance of England, and the Easter celebrations at Fécamp in 1067. It </w:t>
      </w:r>
      <w:r w:rsidR="00D8291B" w:rsidRPr="004A04E2">
        <w:rPr>
          <w:rFonts w:ascii="Calibri" w:hAnsi="Calibri" w:cs="Calibri"/>
          <w:sz w:val="22"/>
          <w:szCs w:val="22"/>
        </w:rPr>
        <w:t xml:space="preserve">is clearly intended to be viewed as a document to legitimise the campaign and </w:t>
      </w:r>
      <w:r w:rsidR="002F44A5" w:rsidRPr="004A04E2">
        <w:rPr>
          <w:rFonts w:ascii="Calibri" w:hAnsi="Calibri" w:cs="Calibri"/>
          <w:sz w:val="22"/>
          <w:szCs w:val="22"/>
        </w:rPr>
        <w:t>accension and</w:t>
      </w:r>
      <w:r w:rsidR="002C6000" w:rsidRPr="004A04E2">
        <w:rPr>
          <w:rFonts w:ascii="Calibri" w:hAnsi="Calibri" w:cs="Calibri"/>
          <w:sz w:val="22"/>
          <w:szCs w:val="22"/>
        </w:rPr>
        <w:t xml:space="preserve"> read like </w:t>
      </w:r>
      <w:r w:rsidR="00F06D58" w:rsidRPr="004A04E2">
        <w:rPr>
          <w:rFonts w:ascii="Calibri" w:hAnsi="Calibri" w:cs="Calibri"/>
          <w:sz w:val="22"/>
          <w:szCs w:val="22"/>
        </w:rPr>
        <w:t>legal brief assembling evidence</w:t>
      </w:r>
      <w:r w:rsidRPr="004A04E2">
        <w:rPr>
          <w:rFonts w:ascii="Calibri" w:hAnsi="Calibri" w:cs="Calibri"/>
          <w:sz w:val="22"/>
          <w:szCs w:val="22"/>
        </w:rPr>
        <w:t xml:space="preserve"> for William’s claim piece by piece.</w:t>
      </w:r>
      <w:r w:rsidR="002C6000" w:rsidRPr="004A04E2">
        <w:rPr>
          <w:rFonts w:ascii="Calibri" w:hAnsi="Calibri" w:cs="Calibri"/>
          <w:sz w:val="22"/>
          <w:szCs w:val="22"/>
        </w:rPr>
        <w:t xml:space="preserve"> As George Garnett discusses</w:t>
      </w:r>
    </w:p>
    <w:p w14:paraId="7470D3B8" w14:textId="6B880022" w:rsidR="002C6000" w:rsidRPr="004A04E2" w:rsidRDefault="002C6000">
      <w:pPr>
        <w:spacing w:before="60" w:after="100" w:line="360" w:lineRule="auto"/>
        <w:rPr>
          <w:rFonts w:ascii="Calibri" w:hAnsi="Calibri" w:cs="Calibri"/>
          <w:sz w:val="22"/>
          <w:szCs w:val="22"/>
        </w:rPr>
      </w:pPr>
      <w:r w:rsidRPr="004A04E2">
        <w:rPr>
          <w:rFonts w:ascii="Calibri" w:hAnsi="Calibri" w:cs="Calibri"/>
          <w:sz w:val="22"/>
          <w:szCs w:val="22"/>
        </w:rPr>
        <w:tab/>
      </w:r>
      <w:r w:rsidRPr="004A04E2">
        <w:rPr>
          <w:rFonts w:ascii="Calibri" w:hAnsi="Calibri" w:cs="Calibri"/>
          <w:sz w:val="22"/>
          <w:szCs w:val="22"/>
        </w:rPr>
        <w:t xml:space="preserve">'It was appropriate for William of Poitiers to compare the Normans at Hastings to orators in a judicial plea, for his book is not really a </w:t>
      </w:r>
      <w:r w:rsidRPr="004A04E2">
        <w:rPr>
          <w:rFonts w:ascii="Calibri" w:hAnsi="Calibri" w:cs="Calibri"/>
          <w:i/>
          <w:iCs/>
          <w:sz w:val="22"/>
          <w:szCs w:val="22"/>
        </w:rPr>
        <w:t xml:space="preserve">res </w:t>
      </w:r>
      <w:proofErr w:type="spellStart"/>
      <w:r w:rsidRPr="004A04E2">
        <w:rPr>
          <w:rFonts w:ascii="Calibri" w:hAnsi="Calibri" w:cs="Calibri"/>
          <w:i/>
          <w:iCs/>
          <w:sz w:val="22"/>
          <w:szCs w:val="22"/>
        </w:rPr>
        <w:t>gesta</w:t>
      </w:r>
      <w:proofErr w:type="spellEnd"/>
      <w:r w:rsidRPr="004A04E2">
        <w:rPr>
          <w:rFonts w:ascii="Calibri" w:hAnsi="Calibri" w:cs="Calibri"/>
          <w:sz w:val="22"/>
          <w:szCs w:val="22"/>
        </w:rPr>
        <w:t xml:space="preserve"> of William the Conqueror at all, but the exposition of a legal case.'</w:t>
      </w:r>
      <w:r w:rsidRPr="004A04E2">
        <w:rPr>
          <w:rStyle w:val="FootnoteReference"/>
          <w:rFonts w:ascii="Calibri" w:hAnsi="Calibri" w:cs="Calibri"/>
          <w:sz w:val="22"/>
          <w:szCs w:val="22"/>
        </w:rPr>
        <w:footnoteReference w:id="2"/>
      </w:r>
    </w:p>
    <w:p w14:paraId="1A259D32" w14:textId="10196ADD" w:rsidR="00A316A9" w:rsidRPr="004A04E2" w:rsidRDefault="004A16DD">
      <w:pPr>
        <w:spacing w:before="60" w:after="100" w:line="360" w:lineRule="auto"/>
        <w:rPr>
          <w:rFonts w:ascii="Calibri" w:hAnsi="Calibri" w:cs="Calibri"/>
          <w:sz w:val="22"/>
          <w:szCs w:val="22"/>
        </w:rPr>
      </w:pPr>
      <w:r w:rsidRPr="004A04E2">
        <w:rPr>
          <w:rFonts w:ascii="Calibri" w:hAnsi="Calibri" w:cs="Calibri"/>
          <w:sz w:val="22"/>
          <w:szCs w:val="22"/>
        </w:rPr>
        <w:t>The extract opens with a passage designed to leave no room for doubt. Edward “had already appointed William as his heir”</w:t>
      </w:r>
      <w:r w:rsidR="00CC3551" w:rsidRPr="004A04E2">
        <w:rPr>
          <w:rStyle w:val="FootnoteReference"/>
          <w:rFonts w:ascii="Calibri" w:hAnsi="Calibri" w:cs="Calibri"/>
          <w:sz w:val="22"/>
          <w:szCs w:val="22"/>
        </w:rPr>
        <w:footnoteReference w:id="3"/>
      </w:r>
      <w:r w:rsidRPr="004A04E2">
        <w:rPr>
          <w:rFonts w:ascii="Calibri" w:hAnsi="Calibri" w:cs="Calibri"/>
          <w:sz w:val="22"/>
          <w:szCs w:val="22"/>
        </w:rPr>
        <w:t xml:space="preserve"> and “held him in the same affection as a brother or son,”</w:t>
      </w:r>
      <w:r w:rsidR="00CC3551" w:rsidRPr="004A04E2">
        <w:rPr>
          <w:rStyle w:val="FootnoteReference"/>
          <w:rFonts w:ascii="Calibri" w:hAnsi="Calibri" w:cs="Calibri"/>
          <w:sz w:val="22"/>
          <w:szCs w:val="22"/>
        </w:rPr>
        <w:footnoteReference w:id="4"/>
      </w:r>
      <w:r w:rsidRPr="004A04E2">
        <w:rPr>
          <w:rFonts w:ascii="Calibri" w:hAnsi="Calibri" w:cs="Calibri"/>
          <w:sz w:val="22"/>
          <w:szCs w:val="22"/>
        </w:rPr>
        <w:t xml:space="preserve"> and now “gave more serious evidence of his intentions than before.”</w:t>
      </w:r>
      <w:r w:rsidR="00F06D58" w:rsidRPr="004A04E2">
        <w:rPr>
          <w:rStyle w:val="FootnoteReference"/>
          <w:rFonts w:ascii="Calibri" w:hAnsi="Calibri" w:cs="Calibri"/>
          <w:sz w:val="22"/>
          <w:szCs w:val="22"/>
        </w:rPr>
        <w:footnoteReference w:id="5"/>
      </w:r>
      <w:r w:rsidRPr="004A04E2">
        <w:rPr>
          <w:rFonts w:ascii="Calibri" w:hAnsi="Calibri" w:cs="Calibri"/>
          <w:sz w:val="22"/>
          <w:szCs w:val="22"/>
        </w:rPr>
        <w:t xml:space="preserve"> Three layers of legitimacy are stacked on top of one another</w:t>
      </w:r>
      <w:r w:rsidR="00D8291B" w:rsidRPr="004A04E2">
        <w:rPr>
          <w:rFonts w:ascii="Calibri" w:hAnsi="Calibri" w:cs="Calibri"/>
          <w:sz w:val="22"/>
          <w:szCs w:val="22"/>
        </w:rPr>
        <w:t>;</w:t>
      </w:r>
      <w:r w:rsidRPr="004A04E2">
        <w:rPr>
          <w:rFonts w:ascii="Calibri" w:hAnsi="Calibri" w:cs="Calibri"/>
          <w:sz w:val="22"/>
          <w:szCs w:val="22"/>
        </w:rPr>
        <w:t xml:space="preserve"> a prior appointment, a familial bond, and further confirmation. Edward then sends Harold to Normandy specifically “in order to confirm his promise by an oath,”</w:t>
      </w:r>
      <w:r w:rsidR="00F06D58" w:rsidRPr="004A04E2">
        <w:rPr>
          <w:rStyle w:val="FootnoteReference"/>
          <w:rFonts w:ascii="Calibri" w:hAnsi="Calibri" w:cs="Calibri"/>
          <w:sz w:val="22"/>
          <w:szCs w:val="22"/>
        </w:rPr>
        <w:footnoteReference w:id="6"/>
      </w:r>
      <w:r w:rsidRPr="004A04E2">
        <w:rPr>
          <w:rFonts w:ascii="Calibri" w:hAnsi="Calibri" w:cs="Calibri"/>
          <w:sz w:val="22"/>
          <w:szCs w:val="22"/>
        </w:rPr>
        <w:t xml:space="preserve"> and the text insists this was “a measure of the utmost wisdom because its authenticity and authority would restrain the dissensions among the whole English nation.”</w:t>
      </w:r>
      <w:r w:rsidR="00F06D58" w:rsidRPr="004A04E2">
        <w:rPr>
          <w:rStyle w:val="FootnoteReference"/>
          <w:rFonts w:ascii="Calibri" w:hAnsi="Calibri" w:cs="Calibri"/>
          <w:sz w:val="22"/>
          <w:szCs w:val="22"/>
        </w:rPr>
        <w:footnoteReference w:id="7"/>
      </w:r>
      <w:r w:rsidRPr="004A04E2">
        <w:rPr>
          <w:rFonts w:ascii="Calibri" w:hAnsi="Calibri" w:cs="Calibri"/>
          <w:sz w:val="22"/>
          <w:szCs w:val="22"/>
        </w:rPr>
        <w:t xml:space="preserve"> The word “authenticity” is </w:t>
      </w:r>
      <w:r w:rsidR="00D8291B" w:rsidRPr="004A04E2">
        <w:rPr>
          <w:rFonts w:ascii="Calibri" w:hAnsi="Calibri" w:cs="Calibri"/>
          <w:sz w:val="22"/>
          <w:szCs w:val="22"/>
        </w:rPr>
        <w:t>a key word</w:t>
      </w:r>
      <w:r w:rsidRPr="004A04E2">
        <w:rPr>
          <w:rFonts w:ascii="Calibri" w:hAnsi="Calibri" w:cs="Calibri"/>
          <w:sz w:val="22"/>
          <w:szCs w:val="22"/>
        </w:rPr>
        <w:t xml:space="preserve"> here</w:t>
      </w:r>
      <w:r w:rsidR="00D8291B" w:rsidRPr="004A04E2">
        <w:rPr>
          <w:rFonts w:ascii="Calibri" w:hAnsi="Calibri" w:cs="Calibri"/>
          <w:sz w:val="22"/>
          <w:szCs w:val="22"/>
        </w:rPr>
        <w:t>, immediately proscribing the entire process as correct and proper</w:t>
      </w:r>
      <w:r w:rsidRPr="004A04E2">
        <w:rPr>
          <w:rFonts w:ascii="Calibri" w:hAnsi="Calibri" w:cs="Calibri"/>
          <w:sz w:val="22"/>
          <w:szCs w:val="22"/>
        </w:rPr>
        <w:t>.</w:t>
      </w:r>
    </w:p>
    <w:p w14:paraId="300C4F3F" w14:textId="6967B5BA" w:rsidR="00A316A9" w:rsidRPr="004A04E2" w:rsidRDefault="004A16DD">
      <w:pPr>
        <w:spacing w:before="60" w:after="100" w:line="360" w:lineRule="auto"/>
        <w:rPr>
          <w:rFonts w:ascii="Calibri" w:hAnsi="Calibri" w:cs="Calibri"/>
          <w:sz w:val="22"/>
          <w:szCs w:val="22"/>
        </w:rPr>
      </w:pPr>
      <w:r w:rsidRPr="004A04E2">
        <w:rPr>
          <w:rFonts w:ascii="Calibri" w:hAnsi="Calibri" w:cs="Calibri"/>
          <w:sz w:val="22"/>
          <w:szCs w:val="22"/>
        </w:rPr>
        <w:t>Harold arrives, is rescued from imprisonment in Ponthieu by Duke William, and is treated with extravagant hospitality. William of Poitiers lingers over these scenes of generosity and honour, noting that William “doubtless congratulated himself on having a guest of such distinction.”</w:t>
      </w:r>
      <w:r w:rsidR="00F06D58" w:rsidRPr="004A04E2">
        <w:rPr>
          <w:rStyle w:val="FootnoteReference"/>
          <w:rFonts w:ascii="Calibri" w:hAnsi="Calibri" w:cs="Calibri"/>
          <w:sz w:val="22"/>
          <w:szCs w:val="22"/>
        </w:rPr>
        <w:footnoteReference w:id="8"/>
      </w:r>
      <w:r w:rsidRPr="004A04E2">
        <w:rPr>
          <w:rFonts w:ascii="Calibri" w:hAnsi="Calibri" w:cs="Calibri"/>
          <w:sz w:val="22"/>
          <w:szCs w:val="22"/>
        </w:rPr>
        <w:t xml:space="preserve"> The </w:t>
      </w:r>
      <w:r w:rsidRPr="004A04E2">
        <w:rPr>
          <w:rFonts w:ascii="Calibri" w:hAnsi="Calibri" w:cs="Calibri"/>
          <w:sz w:val="22"/>
          <w:szCs w:val="22"/>
        </w:rPr>
        <w:lastRenderedPageBreak/>
        <w:t>narrative technique is deliberate</w:t>
      </w:r>
      <w:r w:rsidR="00D8291B" w:rsidRPr="004A04E2">
        <w:rPr>
          <w:rFonts w:ascii="Calibri" w:hAnsi="Calibri" w:cs="Calibri"/>
          <w:sz w:val="22"/>
          <w:szCs w:val="22"/>
        </w:rPr>
        <w:t xml:space="preserve"> as</w:t>
      </w:r>
      <w:r w:rsidRPr="004A04E2">
        <w:rPr>
          <w:rFonts w:ascii="Calibri" w:hAnsi="Calibri" w:cs="Calibri"/>
          <w:sz w:val="22"/>
          <w:szCs w:val="22"/>
        </w:rPr>
        <w:t xml:space="preserve"> the more trust, warmth, and good faith </w:t>
      </w:r>
      <w:r w:rsidR="00D8291B" w:rsidRPr="004A04E2">
        <w:rPr>
          <w:rFonts w:ascii="Calibri" w:hAnsi="Calibri" w:cs="Calibri"/>
          <w:sz w:val="22"/>
          <w:szCs w:val="22"/>
        </w:rPr>
        <w:t>William is showing in these early passages</w:t>
      </w:r>
      <w:r w:rsidRPr="004A04E2">
        <w:rPr>
          <w:rFonts w:ascii="Calibri" w:hAnsi="Calibri" w:cs="Calibri"/>
          <w:sz w:val="22"/>
          <w:szCs w:val="22"/>
        </w:rPr>
        <w:t>, the more devastating the eventual betrayal becomes. At Bonneville, Harold swears his oath “according to the sacred rite of the Christians,”</w:t>
      </w:r>
      <w:r w:rsidR="00F06D58" w:rsidRPr="004A04E2">
        <w:rPr>
          <w:rStyle w:val="FootnoteReference"/>
          <w:rFonts w:ascii="Calibri" w:hAnsi="Calibri" w:cs="Calibri"/>
          <w:sz w:val="22"/>
          <w:szCs w:val="22"/>
        </w:rPr>
        <w:footnoteReference w:id="9"/>
      </w:r>
      <w:r w:rsidRPr="004A04E2">
        <w:rPr>
          <w:rFonts w:ascii="Calibri" w:hAnsi="Calibri" w:cs="Calibri"/>
          <w:sz w:val="22"/>
          <w:szCs w:val="22"/>
        </w:rPr>
        <w:t xml:space="preserve"> pronouncing “clearly and of his own free will” that he will act as William’s agent in England and secure the kingdom for him after Edward’s death. Every possible objection is pre-empte</w:t>
      </w:r>
      <w:r w:rsidR="00D8291B" w:rsidRPr="004A04E2">
        <w:rPr>
          <w:rFonts w:ascii="Calibri" w:hAnsi="Calibri" w:cs="Calibri"/>
          <w:sz w:val="22"/>
          <w:szCs w:val="22"/>
        </w:rPr>
        <w:t xml:space="preserve">d here – the </w:t>
      </w:r>
      <w:r w:rsidRPr="004A04E2">
        <w:rPr>
          <w:rFonts w:ascii="Calibri" w:hAnsi="Calibri" w:cs="Calibri"/>
          <w:sz w:val="22"/>
          <w:szCs w:val="22"/>
        </w:rPr>
        <w:t xml:space="preserve">oath was public, it was Christian, and Harold gave it freely. </w:t>
      </w:r>
      <w:r w:rsidR="00D8291B" w:rsidRPr="004A04E2">
        <w:rPr>
          <w:rFonts w:ascii="Calibri" w:hAnsi="Calibri" w:cs="Calibri"/>
          <w:sz w:val="22"/>
          <w:szCs w:val="22"/>
        </w:rPr>
        <w:t>Here again we see the legitimisation of the actions, and t</w:t>
      </w:r>
      <w:r w:rsidRPr="004A04E2">
        <w:rPr>
          <w:rFonts w:ascii="Calibri" w:hAnsi="Calibri" w:cs="Calibri"/>
          <w:sz w:val="22"/>
          <w:szCs w:val="22"/>
        </w:rPr>
        <w:t>he passage reads as though William of Poitiers is arguing before a court.</w:t>
      </w:r>
    </w:p>
    <w:p w14:paraId="00B96B93" w14:textId="3659E062" w:rsidR="00A316A9" w:rsidRPr="004A04E2" w:rsidRDefault="004A16DD">
      <w:pPr>
        <w:spacing w:before="60" w:after="100" w:line="360" w:lineRule="auto"/>
        <w:rPr>
          <w:rFonts w:ascii="Calibri" w:hAnsi="Calibri" w:cs="Calibri"/>
          <w:sz w:val="22"/>
          <w:szCs w:val="22"/>
        </w:rPr>
      </w:pPr>
      <w:r w:rsidRPr="004A04E2">
        <w:rPr>
          <w:rFonts w:ascii="Calibri" w:hAnsi="Calibri" w:cs="Calibri"/>
          <w:sz w:val="22"/>
          <w:szCs w:val="22"/>
        </w:rPr>
        <w:t>The tone shifts sharply when Harold breaks his word. “This mad Englishman could not endure to await the decision of public election, but on the woeful day when the best of all men was buried, while everyone was mourning, he violated his oath and seized the royal throne.”</w:t>
      </w:r>
      <w:r w:rsidR="00F06D58" w:rsidRPr="004A04E2">
        <w:rPr>
          <w:rStyle w:val="FootnoteReference"/>
          <w:rFonts w:ascii="Calibri" w:hAnsi="Calibri" w:cs="Calibri"/>
          <w:sz w:val="22"/>
          <w:szCs w:val="22"/>
        </w:rPr>
        <w:footnoteReference w:id="10"/>
      </w:r>
      <w:r w:rsidRPr="004A04E2">
        <w:rPr>
          <w:rFonts w:ascii="Calibri" w:hAnsi="Calibri" w:cs="Calibri"/>
          <w:sz w:val="22"/>
          <w:szCs w:val="22"/>
        </w:rPr>
        <w:t xml:space="preserve"> The language</w:t>
      </w:r>
      <w:r w:rsidR="00D8291B" w:rsidRPr="004A04E2">
        <w:rPr>
          <w:rFonts w:ascii="Calibri" w:hAnsi="Calibri" w:cs="Calibri"/>
          <w:sz w:val="22"/>
          <w:szCs w:val="22"/>
        </w:rPr>
        <w:t xml:space="preserve">, previously calm and full of </w:t>
      </w:r>
      <w:r w:rsidRPr="004A04E2">
        <w:rPr>
          <w:rFonts w:ascii="Calibri" w:hAnsi="Calibri" w:cs="Calibri"/>
          <w:sz w:val="22"/>
          <w:szCs w:val="22"/>
        </w:rPr>
        <w:t>legal precision</w:t>
      </w:r>
      <w:r w:rsidR="00D8291B" w:rsidRPr="004A04E2">
        <w:rPr>
          <w:rFonts w:ascii="Calibri" w:hAnsi="Calibri" w:cs="Calibri"/>
          <w:sz w:val="22"/>
          <w:szCs w:val="22"/>
        </w:rPr>
        <w:t>, moves</w:t>
      </w:r>
      <w:r w:rsidRPr="004A04E2">
        <w:rPr>
          <w:rFonts w:ascii="Calibri" w:hAnsi="Calibri" w:cs="Calibri"/>
          <w:sz w:val="22"/>
          <w:szCs w:val="22"/>
        </w:rPr>
        <w:t xml:space="preserve"> to moral outrage. Harold is “mad,” Edward is “the best of all men,”</w:t>
      </w:r>
      <w:r w:rsidR="00F06D58" w:rsidRPr="004A04E2">
        <w:rPr>
          <w:rStyle w:val="FootnoteReference"/>
          <w:rFonts w:ascii="Calibri" w:hAnsi="Calibri" w:cs="Calibri"/>
          <w:sz w:val="22"/>
          <w:szCs w:val="22"/>
        </w:rPr>
        <w:footnoteReference w:id="11"/>
      </w:r>
      <w:r w:rsidRPr="004A04E2">
        <w:rPr>
          <w:rFonts w:ascii="Calibri" w:hAnsi="Calibri" w:cs="Calibri"/>
          <w:sz w:val="22"/>
          <w:szCs w:val="22"/>
        </w:rPr>
        <w:t xml:space="preserve"> and the coronation happens while the nation mourns, framing it as an act of sacrilegious opportunism</w:t>
      </w:r>
      <w:r w:rsidR="00D8291B" w:rsidRPr="004A04E2">
        <w:rPr>
          <w:rFonts w:ascii="Calibri" w:hAnsi="Calibri" w:cs="Calibri"/>
          <w:sz w:val="22"/>
          <w:szCs w:val="22"/>
        </w:rPr>
        <w:t xml:space="preserve"> that is an affront to not only William but God Himself</w:t>
      </w:r>
      <w:r w:rsidRPr="004A04E2">
        <w:rPr>
          <w:rFonts w:ascii="Calibri" w:hAnsi="Calibri" w:cs="Calibri"/>
          <w:sz w:val="22"/>
          <w:szCs w:val="22"/>
        </w:rPr>
        <w:t>. Harold’s coronation by Stigand, “who had been deprived of his priestly office by the just zeal and anathema of the pope,”</w:t>
      </w:r>
      <w:r w:rsidR="00F06D58" w:rsidRPr="004A04E2">
        <w:rPr>
          <w:rStyle w:val="FootnoteReference"/>
          <w:rFonts w:ascii="Calibri" w:hAnsi="Calibri" w:cs="Calibri"/>
          <w:sz w:val="22"/>
          <w:szCs w:val="22"/>
        </w:rPr>
        <w:footnoteReference w:id="12"/>
      </w:r>
      <w:r w:rsidRPr="004A04E2">
        <w:rPr>
          <w:rFonts w:ascii="Calibri" w:hAnsi="Calibri" w:cs="Calibri"/>
          <w:sz w:val="22"/>
          <w:szCs w:val="22"/>
        </w:rPr>
        <w:t xml:space="preserve"> compounds the illegitimacy</w:t>
      </w:r>
      <w:r w:rsidR="00D8291B" w:rsidRPr="004A04E2">
        <w:rPr>
          <w:rFonts w:ascii="Calibri" w:hAnsi="Calibri" w:cs="Calibri"/>
          <w:sz w:val="22"/>
          <w:szCs w:val="22"/>
        </w:rPr>
        <w:t>;</w:t>
      </w:r>
      <w:r w:rsidRPr="004A04E2">
        <w:rPr>
          <w:rFonts w:ascii="Calibri" w:hAnsi="Calibri" w:cs="Calibri"/>
          <w:sz w:val="22"/>
          <w:szCs w:val="22"/>
        </w:rPr>
        <w:t xml:space="preserve"> </w:t>
      </w:r>
      <w:r w:rsidR="00D8291B" w:rsidRPr="004A04E2">
        <w:rPr>
          <w:rFonts w:ascii="Calibri" w:hAnsi="Calibri" w:cs="Calibri"/>
          <w:sz w:val="22"/>
          <w:szCs w:val="22"/>
        </w:rPr>
        <w:t xml:space="preserve">this is </w:t>
      </w:r>
      <w:r w:rsidRPr="004A04E2">
        <w:rPr>
          <w:rFonts w:ascii="Calibri" w:hAnsi="Calibri" w:cs="Calibri"/>
          <w:sz w:val="22"/>
          <w:szCs w:val="22"/>
        </w:rPr>
        <w:t xml:space="preserve">an oath-breaker </w:t>
      </w:r>
      <w:r w:rsidR="00D8291B" w:rsidRPr="004A04E2">
        <w:rPr>
          <w:rFonts w:ascii="Calibri" w:hAnsi="Calibri" w:cs="Calibri"/>
          <w:sz w:val="22"/>
          <w:szCs w:val="22"/>
        </w:rPr>
        <w:t xml:space="preserve">being </w:t>
      </w:r>
      <w:r w:rsidRPr="004A04E2">
        <w:rPr>
          <w:rFonts w:ascii="Calibri" w:hAnsi="Calibri" w:cs="Calibri"/>
          <w:sz w:val="22"/>
          <w:szCs w:val="22"/>
        </w:rPr>
        <w:t>crowned by a deposed archbishop.</w:t>
      </w:r>
    </w:p>
    <w:p w14:paraId="6460A890" w14:textId="6FA516D6" w:rsidR="00A316A9" w:rsidRPr="004A04E2" w:rsidRDefault="004A16DD">
      <w:pPr>
        <w:spacing w:before="60" w:after="100" w:line="360" w:lineRule="auto"/>
        <w:rPr>
          <w:rFonts w:ascii="Calibri" w:hAnsi="Calibri" w:cs="Calibri"/>
          <w:sz w:val="22"/>
          <w:szCs w:val="22"/>
        </w:rPr>
      </w:pPr>
      <w:r w:rsidRPr="004A04E2">
        <w:rPr>
          <w:rFonts w:ascii="Calibri" w:hAnsi="Calibri" w:cs="Calibri"/>
          <w:sz w:val="22"/>
          <w:szCs w:val="22"/>
        </w:rPr>
        <w:t xml:space="preserve">Whether Edward </w:t>
      </w:r>
      <w:r w:rsidR="00D8291B" w:rsidRPr="004A04E2">
        <w:rPr>
          <w:rFonts w:ascii="Calibri" w:hAnsi="Calibri" w:cs="Calibri"/>
          <w:sz w:val="22"/>
          <w:szCs w:val="22"/>
        </w:rPr>
        <w:t>promised</w:t>
      </w:r>
      <w:r w:rsidRPr="004A04E2">
        <w:rPr>
          <w:rFonts w:ascii="Calibri" w:hAnsi="Calibri" w:cs="Calibri"/>
          <w:sz w:val="22"/>
          <w:szCs w:val="22"/>
        </w:rPr>
        <w:t xml:space="preserve"> the throne to William remains one of the great unknowns of the period, since only the Norman sources make this claim</w:t>
      </w:r>
      <w:r w:rsidR="00D8291B" w:rsidRPr="004A04E2">
        <w:rPr>
          <w:rFonts w:ascii="Calibri" w:hAnsi="Calibri" w:cs="Calibri"/>
          <w:sz w:val="22"/>
          <w:szCs w:val="22"/>
        </w:rPr>
        <w:t>,</w:t>
      </w:r>
      <w:r w:rsidRPr="004A04E2">
        <w:rPr>
          <w:rFonts w:ascii="Calibri" w:hAnsi="Calibri" w:cs="Calibri"/>
          <w:sz w:val="22"/>
          <w:szCs w:val="22"/>
        </w:rPr>
        <w:t xml:space="preserve"> </w:t>
      </w:r>
      <w:r w:rsidR="00D8291B" w:rsidRPr="004A04E2">
        <w:rPr>
          <w:rFonts w:ascii="Calibri" w:hAnsi="Calibri" w:cs="Calibri"/>
          <w:sz w:val="22"/>
          <w:szCs w:val="22"/>
        </w:rPr>
        <w:t>b</w:t>
      </w:r>
      <w:r w:rsidRPr="004A04E2">
        <w:rPr>
          <w:rFonts w:ascii="Calibri" w:hAnsi="Calibri" w:cs="Calibri"/>
          <w:sz w:val="22"/>
          <w:szCs w:val="22"/>
        </w:rPr>
        <w:t xml:space="preserve">ut the rhetorical </w:t>
      </w:r>
      <w:r w:rsidR="00D8291B" w:rsidRPr="004A04E2">
        <w:rPr>
          <w:rFonts w:ascii="Calibri" w:hAnsi="Calibri" w:cs="Calibri"/>
          <w:sz w:val="22"/>
          <w:szCs w:val="22"/>
        </w:rPr>
        <w:t>structure</w:t>
      </w:r>
      <w:r w:rsidRPr="004A04E2">
        <w:rPr>
          <w:rFonts w:ascii="Calibri" w:hAnsi="Calibri" w:cs="Calibri"/>
          <w:sz w:val="22"/>
          <w:szCs w:val="22"/>
        </w:rPr>
        <w:t xml:space="preserve"> of the passage is more interesting than the question of its truthfulness. William of Poitiers constructs a case so airtight that the reader is meant to feel the injustice </w:t>
      </w:r>
      <w:r w:rsidR="00D8291B" w:rsidRPr="004A04E2">
        <w:rPr>
          <w:rFonts w:ascii="Calibri" w:hAnsi="Calibri" w:cs="Calibri"/>
          <w:sz w:val="22"/>
          <w:szCs w:val="22"/>
        </w:rPr>
        <w:t xml:space="preserve">and therefore neglect to consider if it really happened at all. </w:t>
      </w:r>
    </w:p>
    <w:p w14:paraId="19109992" w14:textId="4819CBE1" w:rsidR="00A316A9" w:rsidRPr="004A04E2" w:rsidRDefault="004A16DD">
      <w:pPr>
        <w:spacing w:before="60" w:after="100" w:line="360" w:lineRule="auto"/>
        <w:rPr>
          <w:rFonts w:ascii="Calibri" w:hAnsi="Calibri" w:cs="Calibri"/>
          <w:sz w:val="22"/>
          <w:szCs w:val="22"/>
        </w:rPr>
      </w:pPr>
      <w:r w:rsidRPr="004A04E2">
        <w:rPr>
          <w:rFonts w:ascii="Calibri" w:hAnsi="Calibri" w:cs="Calibri"/>
          <w:sz w:val="22"/>
          <w:szCs w:val="22"/>
        </w:rPr>
        <w:t xml:space="preserve">The extract’s treatment of the </w:t>
      </w:r>
      <w:r w:rsidR="002F44A5" w:rsidRPr="004A04E2">
        <w:rPr>
          <w:rFonts w:ascii="Calibri" w:hAnsi="Calibri" w:cs="Calibri"/>
          <w:sz w:val="22"/>
          <w:szCs w:val="22"/>
        </w:rPr>
        <w:t>famed B</w:t>
      </w:r>
      <w:r w:rsidRPr="004A04E2">
        <w:rPr>
          <w:rFonts w:ascii="Calibri" w:hAnsi="Calibri" w:cs="Calibri"/>
          <w:sz w:val="22"/>
          <w:szCs w:val="22"/>
        </w:rPr>
        <w:t>attle</w:t>
      </w:r>
      <w:r w:rsidR="002F44A5" w:rsidRPr="004A04E2">
        <w:rPr>
          <w:rFonts w:ascii="Calibri" w:hAnsi="Calibri" w:cs="Calibri"/>
          <w:sz w:val="22"/>
          <w:szCs w:val="22"/>
        </w:rPr>
        <w:t xml:space="preserve"> of Hastings</w:t>
      </w:r>
      <w:r w:rsidRPr="004A04E2">
        <w:rPr>
          <w:rFonts w:ascii="Calibri" w:hAnsi="Calibri" w:cs="Calibri"/>
          <w:sz w:val="22"/>
          <w:szCs w:val="22"/>
        </w:rPr>
        <w:t xml:space="preserve"> itself is brief, but it includes a striking passage of classical comparison. “Against Harold, who was such a man as poems liken to Hector or Turnus, William would have dared to fight in single combat no less than Achilles against Hector, or Aeneas against Turnus.”</w:t>
      </w:r>
      <w:r w:rsidR="00F06D58" w:rsidRPr="004A04E2">
        <w:rPr>
          <w:rStyle w:val="FootnoteReference"/>
          <w:rFonts w:ascii="Calibri" w:hAnsi="Calibri" w:cs="Calibri"/>
          <w:sz w:val="22"/>
          <w:szCs w:val="22"/>
        </w:rPr>
        <w:footnoteReference w:id="13"/>
      </w:r>
      <w:r w:rsidRPr="004A04E2">
        <w:rPr>
          <w:rFonts w:ascii="Calibri" w:hAnsi="Calibri" w:cs="Calibri"/>
          <w:sz w:val="22"/>
          <w:szCs w:val="22"/>
        </w:rPr>
        <w:t xml:space="preserve"> Harold is granted the dignity of being compared to Hector and Turnus, but these are both heroes who lose</w:t>
      </w:r>
      <w:r w:rsidR="00D8291B" w:rsidRPr="004A04E2">
        <w:rPr>
          <w:rFonts w:ascii="Calibri" w:hAnsi="Calibri" w:cs="Calibri"/>
          <w:sz w:val="22"/>
          <w:szCs w:val="22"/>
        </w:rPr>
        <w:t xml:space="preserve"> –</w:t>
      </w:r>
      <w:r w:rsidRPr="004A04E2">
        <w:rPr>
          <w:rFonts w:ascii="Calibri" w:hAnsi="Calibri" w:cs="Calibri"/>
          <w:sz w:val="22"/>
          <w:szCs w:val="22"/>
        </w:rPr>
        <w:t xml:space="preserve"> Hector is killed by Achilles, and Turnus by Aeneas. Elevating Harold only to cast him in the role of the doomed antagonist is a calculated move</w:t>
      </w:r>
      <w:r w:rsidR="00D8291B" w:rsidRPr="004A04E2">
        <w:rPr>
          <w:rFonts w:ascii="Calibri" w:hAnsi="Calibri" w:cs="Calibri"/>
          <w:sz w:val="22"/>
          <w:szCs w:val="22"/>
        </w:rPr>
        <w:t xml:space="preserve"> here.</w:t>
      </w:r>
      <w:r w:rsidRPr="004A04E2">
        <w:rPr>
          <w:rFonts w:ascii="Calibri" w:hAnsi="Calibri" w:cs="Calibri"/>
          <w:sz w:val="22"/>
          <w:szCs w:val="22"/>
        </w:rPr>
        <w:t xml:space="preserve"> William, meanwhile, is simultaneously Achilles and Aeneas, the Greek champion and the Trojan founder of Rome. The original </w:t>
      </w:r>
      <w:proofErr w:type="spellStart"/>
      <w:r w:rsidRPr="004A04E2">
        <w:rPr>
          <w:rFonts w:ascii="Calibri" w:hAnsi="Calibri" w:cs="Calibri"/>
          <w:i/>
          <w:iCs/>
          <w:sz w:val="22"/>
          <w:szCs w:val="22"/>
        </w:rPr>
        <w:t>Gesta</w:t>
      </w:r>
      <w:proofErr w:type="spellEnd"/>
      <w:r w:rsidRPr="004A04E2">
        <w:rPr>
          <w:rFonts w:ascii="Calibri" w:hAnsi="Calibri" w:cs="Calibri"/>
          <w:i/>
          <w:iCs/>
          <w:sz w:val="22"/>
          <w:szCs w:val="22"/>
        </w:rPr>
        <w:t xml:space="preserve"> </w:t>
      </w:r>
      <w:proofErr w:type="spellStart"/>
      <w:r w:rsidRPr="004A04E2">
        <w:rPr>
          <w:rFonts w:ascii="Calibri" w:hAnsi="Calibri" w:cs="Calibri"/>
          <w:i/>
          <w:iCs/>
          <w:sz w:val="22"/>
          <w:szCs w:val="22"/>
        </w:rPr>
        <w:t>Guillelmi</w:t>
      </w:r>
      <w:proofErr w:type="spellEnd"/>
      <w:r w:rsidRPr="004A04E2">
        <w:rPr>
          <w:rFonts w:ascii="Calibri" w:hAnsi="Calibri" w:cs="Calibri"/>
          <w:sz w:val="22"/>
          <w:szCs w:val="22"/>
        </w:rPr>
        <w:t xml:space="preserve"> was composed in Latin, and these classical parallels reflect William of Poitiers’ </w:t>
      </w:r>
      <w:r w:rsidR="0057739A" w:rsidRPr="004A04E2">
        <w:rPr>
          <w:rFonts w:ascii="Calibri" w:hAnsi="Calibri" w:cs="Calibri"/>
          <w:sz w:val="22"/>
          <w:szCs w:val="22"/>
        </w:rPr>
        <w:t xml:space="preserve">(and his intended audiences’) </w:t>
      </w:r>
      <w:r w:rsidRPr="004A04E2">
        <w:rPr>
          <w:rFonts w:ascii="Calibri" w:hAnsi="Calibri" w:cs="Calibri"/>
          <w:sz w:val="22"/>
          <w:szCs w:val="22"/>
        </w:rPr>
        <w:t>education</w:t>
      </w:r>
      <w:r w:rsidR="00D8291B" w:rsidRPr="004A04E2">
        <w:rPr>
          <w:rFonts w:ascii="Calibri" w:hAnsi="Calibri" w:cs="Calibri"/>
          <w:sz w:val="22"/>
          <w:szCs w:val="22"/>
        </w:rPr>
        <w:t>, with numerous references</w:t>
      </w:r>
      <w:r w:rsidRPr="004A04E2">
        <w:rPr>
          <w:rFonts w:ascii="Calibri" w:hAnsi="Calibri" w:cs="Calibri"/>
          <w:sz w:val="22"/>
          <w:szCs w:val="22"/>
        </w:rPr>
        <w:t xml:space="preserve"> </w:t>
      </w:r>
      <w:r w:rsidR="00D8291B" w:rsidRPr="004A04E2">
        <w:rPr>
          <w:rFonts w:ascii="Calibri" w:hAnsi="Calibri" w:cs="Calibri"/>
          <w:sz w:val="22"/>
          <w:szCs w:val="22"/>
        </w:rPr>
        <w:t>to</w:t>
      </w:r>
      <w:r w:rsidRPr="004A04E2">
        <w:rPr>
          <w:rFonts w:ascii="Calibri" w:hAnsi="Calibri" w:cs="Calibri"/>
          <w:sz w:val="22"/>
          <w:szCs w:val="22"/>
        </w:rPr>
        <w:t xml:space="preserve"> the old heroes, biblical, ancient, and classical, and William the Conqueror is always positioned as some perfect </w:t>
      </w:r>
      <w:r w:rsidRPr="004A04E2">
        <w:rPr>
          <w:rFonts w:ascii="Calibri" w:hAnsi="Calibri" w:cs="Calibri"/>
          <w:sz w:val="22"/>
          <w:szCs w:val="22"/>
        </w:rPr>
        <w:lastRenderedPageBreak/>
        <w:t>combination of all of them, elevated above each individual model by embodying them all at once.</w:t>
      </w:r>
      <w:r w:rsidR="002F44A5" w:rsidRPr="004A04E2">
        <w:rPr>
          <w:rFonts w:ascii="Calibri" w:hAnsi="Calibri" w:cs="Calibri"/>
          <w:sz w:val="22"/>
          <w:szCs w:val="22"/>
        </w:rPr>
        <w:t xml:space="preserve"> As Dr Emily Winkler argues, </w:t>
      </w:r>
      <w:r w:rsidR="002F44A5" w:rsidRPr="004A04E2">
        <w:rPr>
          <w:rFonts w:ascii="Calibri" w:hAnsi="Calibri" w:cs="Calibri"/>
          <w:sz w:val="22"/>
          <w:szCs w:val="22"/>
        </w:rPr>
        <w:t>William of Poitiers' classical allusions were not just decorative rhetorical flourishes but made specific moral and political points about the Conquest's legitimacy</w:t>
      </w:r>
      <w:r w:rsidR="002F44A5" w:rsidRPr="004A04E2">
        <w:rPr>
          <w:rFonts w:ascii="Calibri" w:hAnsi="Calibri" w:cs="Calibri"/>
          <w:sz w:val="22"/>
          <w:szCs w:val="22"/>
        </w:rPr>
        <w:t xml:space="preserve">, with </w:t>
      </w:r>
      <w:r w:rsidR="002F44A5" w:rsidRPr="004A04E2">
        <w:rPr>
          <w:rFonts w:ascii="Calibri" w:hAnsi="Calibri" w:cs="Calibri"/>
          <w:sz w:val="22"/>
          <w:szCs w:val="22"/>
        </w:rPr>
        <w:t>his sustained references to Caesar, Aeneas, and Theseus as deliberate components of Norman memory-making.</w:t>
      </w:r>
      <w:r w:rsidR="002F44A5" w:rsidRPr="004A04E2">
        <w:rPr>
          <w:rStyle w:val="FootnoteReference"/>
          <w:rFonts w:ascii="Calibri" w:hAnsi="Calibri" w:cs="Calibri"/>
          <w:sz w:val="22"/>
          <w:szCs w:val="22"/>
        </w:rPr>
        <w:footnoteReference w:id="14"/>
      </w:r>
    </w:p>
    <w:p w14:paraId="30F5A3FC" w14:textId="42456383" w:rsidR="00A316A9" w:rsidRPr="004A04E2" w:rsidRDefault="004A16DD">
      <w:pPr>
        <w:spacing w:before="60" w:after="100" w:line="360" w:lineRule="auto"/>
        <w:rPr>
          <w:rFonts w:ascii="Calibri" w:hAnsi="Calibri" w:cs="Calibri"/>
          <w:sz w:val="22"/>
          <w:szCs w:val="22"/>
        </w:rPr>
      </w:pPr>
      <w:r w:rsidRPr="004A04E2">
        <w:rPr>
          <w:rFonts w:ascii="Calibri" w:hAnsi="Calibri" w:cs="Calibri"/>
          <w:sz w:val="22"/>
          <w:szCs w:val="22"/>
        </w:rPr>
        <w:t>The final section of the extract moves from war to peace and from the battlefield to the business of ruling. William “forbade strife, murder, and every kind of plunder, restraining the people with arms and the arms with laws.”</w:t>
      </w:r>
      <w:r w:rsidR="00F06D58" w:rsidRPr="004A04E2">
        <w:rPr>
          <w:rStyle w:val="FootnoteReference"/>
          <w:rFonts w:ascii="Calibri" w:hAnsi="Calibri" w:cs="Calibri"/>
          <w:sz w:val="22"/>
          <w:szCs w:val="22"/>
        </w:rPr>
        <w:footnoteReference w:id="15"/>
      </w:r>
      <w:r w:rsidR="00F06D58" w:rsidRPr="004A04E2">
        <w:rPr>
          <w:rFonts w:ascii="Calibri" w:hAnsi="Calibri" w:cs="Calibri"/>
          <w:sz w:val="22"/>
          <w:szCs w:val="22"/>
        </w:rPr>
        <w:t xml:space="preserve"> </w:t>
      </w:r>
      <w:r w:rsidRPr="004A04E2">
        <w:rPr>
          <w:rFonts w:ascii="Calibri" w:hAnsi="Calibri" w:cs="Calibri"/>
          <w:sz w:val="22"/>
          <w:szCs w:val="22"/>
        </w:rPr>
        <w:t>This is a particularly neat formulation, balancing military force against legal order, and it presents William not as a conqueror holding down a hostile population but as a lawgiver bringing civilisation</w:t>
      </w:r>
      <w:r w:rsidR="0057739A" w:rsidRPr="004A04E2">
        <w:rPr>
          <w:rFonts w:ascii="Calibri" w:hAnsi="Calibri" w:cs="Calibri"/>
          <w:sz w:val="22"/>
          <w:szCs w:val="22"/>
        </w:rPr>
        <w:t xml:space="preserve"> to a land in chaos from under the prior unsanctioned ruler</w:t>
      </w:r>
      <w:r w:rsidRPr="004A04E2">
        <w:rPr>
          <w:rFonts w:ascii="Calibri" w:hAnsi="Calibri" w:cs="Calibri"/>
          <w:sz w:val="22"/>
          <w:szCs w:val="22"/>
        </w:rPr>
        <w:t>. “Women were safe from the violence with passionate men often inflict”</w:t>
      </w:r>
      <w:r w:rsidR="00F06D58" w:rsidRPr="004A04E2">
        <w:rPr>
          <w:rStyle w:val="FootnoteReference"/>
          <w:rFonts w:ascii="Calibri" w:hAnsi="Calibri" w:cs="Calibri"/>
          <w:sz w:val="22"/>
          <w:szCs w:val="22"/>
        </w:rPr>
        <w:footnoteReference w:id="16"/>
      </w:r>
      <w:r w:rsidRPr="004A04E2">
        <w:rPr>
          <w:rFonts w:ascii="Calibri" w:hAnsi="Calibri" w:cs="Calibri"/>
          <w:sz w:val="22"/>
          <w:szCs w:val="22"/>
        </w:rPr>
        <w:t xml:space="preserve"> is perhaps the most remarkable claim, given the well-documented brutality of the Norman settlement, but </w:t>
      </w:r>
      <w:r w:rsidR="0057739A" w:rsidRPr="004A04E2">
        <w:rPr>
          <w:rFonts w:ascii="Calibri" w:hAnsi="Calibri" w:cs="Calibri"/>
          <w:sz w:val="22"/>
          <w:szCs w:val="22"/>
        </w:rPr>
        <w:t xml:space="preserve">as we have seen, </w:t>
      </w:r>
      <w:r w:rsidRPr="004A04E2">
        <w:rPr>
          <w:rFonts w:ascii="Calibri" w:hAnsi="Calibri" w:cs="Calibri"/>
          <w:sz w:val="22"/>
          <w:szCs w:val="22"/>
        </w:rPr>
        <w:t>William of Poitiers is not writing history in any modern</w:t>
      </w:r>
      <w:r w:rsidR="0057739A" w:rsidRPr="004A04E2">
        <w:rPr>
          <w:rFonts w:ascii="Calibri" w:hAnsi="Calibri" w:cs="Calibri"/>
          <w:sz w:val="22"/>
          <w:szCs w:val="22"/>
        </w:rPr>
        <w:t xml:space="preserve">, balanced </w:t>
      </w:r>
      <w:r w:rsidRPr="004A04E2">
        <w:rPr>
          <w:rFonts w:ascii="Calibri" w:hAnsi="Calibri" w:cs="Calibri"/>
          <w:sz w:val="22"/>
          <w:szCs w:val="22"/>
        </w:rPr>
        <w:t>sense</w:t>
      </w:r>
      <w:r w:rsidR="0057739A" w:rsidRPr="004A04E2">
        <w:rPr>
          <w:rFonts w:ascii="Calibri" w:hAnsi="Calibri" w:cs="Calibri"/>
          <w:sz w:val="22"/>
          <w:szCs w:val="22"/>
        </w:rPr>
        <w:t xml:space="preserve"> – his goal is not necessarily to present an accurate view but more a flattering one.</w:t>
      </w:r>
    </w:p>
    <w:p w14:paraId="5AA0CEFD" w14:textId="0940F569" w:rsidR="00A316A9" w:rsidRPr="004A04E2" w:rsidRDefault="004A16DD">
      <w:pPr>
        <w:spacing w:before="60" w:after="100" w:line="360" w:lineRule="auto"/>
        <w:rPr>
          <w:rFonts w:ascii="Calibri" w:hAnsi="Calibri" w:cs="Calibri"/>
          <w:sz w:val="22"/>
          <w:szCs w:val="22"/>
        </w:rPr>
      </w:pPr>
      <w:r w:rsidRPr="004A04E2">
        <w:rPr>
          <w:rFonts w:ascii="Calibri" w:hAnsi="Calibri" w:cs="Calibri"/>
          <w:sz w:val="22"/>
          <w:szCs w:val="22"/>
        </w:rPr>
        <w:t>The extract closes at Fécamp, where William celebrates Easter 1067 “humbly standing near the choirs of the religious orders.”</w:t>
      </w:r>
      <w:r w:rsidR="00F06D58" w:rsidRPr="004A04E2">
        <w:rPr>
          <w:rStyle w:val="FootnoteReference"/>
          <w:rFonts w:ascii="Calibri" w:hAnsi="Calibri" w:cs="Calibri"/>
          <w:sz w:val="22"/>
          <w:szCs w:val="22"/>
        </w:rPr>
        <w:footnoteReference w:id="17"/>
      </w:r>
      <w:r w:rsidRPr="004A04E2">
        <w:rPr>
          <w:rFonts w:ascii="Calibri" w:hAnsi="Calibri" w:cs="Calibri"/>
          <w:sz w:val="22"/>
          <w:szCs w:val="22"/>
        </w:rPr>
        <w:t xml:space="preserve"> He even “compelled hosts of soldiers and people to leave their games and come to divine service,”</w:t>
      </w:r>
      <w:r w:rsidR="00F06D58" w:rsidRPr="004A04E2">
        <w:rPr>
          <w:rStyle w:val="FootnoteReference"/>
          <w:rFonts w:ascii="Calibri" w:hAnsi="Calibri" w:cs="Calibri"/>
          <w:sz w:val="22"/>
          <w:szCs w:val="22"/>
        </w:rPr>
        <w:footnoteReference w:id="18"/>
      </w:r>
      <w:r w:rsidRPr="004A04E2">
        <w:rPr>
          <w:rFonts w:ascii="Calibri" w:hAnsi="Calibri" w:cs="Calibri"/>
          <w:sz w:val="22"/>
          <w:szCs w:val="22"/>
        </w:rPr>
        <w:t xml:space="preserve"> reinforcing the image of a pious king who puts God before entertainment</w:t>
      </w:r>
      <w:r w:rsidR="0057739A" w:rsidRPr="004A04E2">
        <w:rPr>
          <w:rFonts w:ascii="Calibri" w:hAnsi="Calibri" w:cs="Calibri"/>
          <w:sz w:val="22"/>
          <w:szCs w:val="22"/>
        </w:rPr>
        <w:t>, and who’s command can compel the averag</w:t>
      </w:r>
      <w:r w:rsidR="00947088" w:rsidRPr="004A04E2">
        <w:rPr>
          <w:rFonts w:ascii="Calibri" w:hAnsi="Calibri" w:cs="Calibri"/>
          <w:sz w:val="22"/>
          <w:szCs w:val="22"/>
        </w:rPr>
        <w:t>e</w:t>
      </w:r>
      <w:r w:rsidR="0057739A" w:rsidRPr="004A04E2">
        <w:rPr>
          <w:rFonts w:ascii="Calibri" w:hAnsi="Calibri" w:cs="Calibri"/>
          <w:sz w:val="22"/>
          <w:szCs w:val="22"/>
        </w:rPr>
        <w:t xml:space="preserve"> man to prayer.</w:t>
      </w:r>
      <w:r w:rsidRPr="004A04E2">
        <w:rPr>
          <w:rFonts w:ascii="Calibri" w:hAnsi="Calibri" w:cs="Calibri"/>
          <w:sz w:val="22"/>
          <w:szCs w:val="22"/>
        </w:rPr>
        <w:t xml:space="preserve"> The final image is striking</w:t>
      </w:r>
      <w:r w:rsidR="0057739A" w:rsidRPr="004A04E2">
        <w:rPr>
          <w:rFonts w:ascii="Calibri" w:hAnsi="Calibri" w:cs="Calibri"/>
          <w:sz w:val="22"/>
          <w:szCs w:val="22"/>
        </w:rPr>
        <w:t>,</w:t>
      </w:r>
      <w:r w:rsidRPr="004A04E2">
        <w:rPr>
          <w:rFonts w:ascii="Calibri" w:hAnsi="Calibri" w:cs="Calibri"/>
          <w:sz w:val="22"/>
          <w:szCs w:val="22"/>
        </w:rPr>
        <w:t xml:space="preserve"> French and Norman nobles look “with curiosity at the long-haired sons of the northern lands, whose beauty the most handsome youths of ‘long-haired Gaul’ might have envied.”</w:t>
      </w:r>
      <w:r w:rsidR="00F06D58" w:rsidRPr="004A04E2">
        <w:rPr>
          <w:rStyle w:val="FootnoteReference"/>
          <w:rFonts w:ascii="Calibri" w:hAnsi="Calibri" w:cs="Calibri"/>
          <w:sz w:val="22"/>
          <w:szCs w:val="22"/>
        </w:rPr>
        <w:footnoteReference w:id="19"/>
      </w:r>
      <w:r w:rsidRPr="004A04E2">
        <w:rPr>
          <w:rFonts w:ascii="Calibri" w:hAnsi="Calibri" w:cs="Calibri"/>
          <w:sz w:val="22"/>
          <w:szCs w:val="22"/>
        </w:rPr>
        <w:t xml:space="preserve"> The English are not mocked or degraded</w:t>
      </w:r>
      <w:r w:rsidR="0057739A" w:rsidRPr="004A04E2">
        <w:rPr>
          <w:rFonts w:ascii="Calibri" w:hAnsi="Calibri" w:cs="Calibri"/>
          <w:sz w:val="22"/>
          <w:szCs w:val="22"/>
        </w:rPr>
        <w:t>, instead</w:t>
      </w:r>
      <w:r w:rsidRPr="004A04E2">
        <w:rPr>
          <w:rFonts w:ascii="Calibri" w:hAnsi="Calibri" w:cs="Calibri"/>
          <w:sz w:val="22"/>
          <w:szCs w:val="22"/>
        </w:rPr>
        <w:t xml:space="preserve"> </w:t>
      </w:r>
      <w:r w:rsidR="0057739A" w:rsidRPr="004A04E2">
        <w:rPr>
          <w:rFonts w:ascii="Calibri" w:hAnsi="Calibri" w:cs="Calibri"/>
          <w:sz w:val="22"/>
          <w:szCs w:val="22"/>
        </w:rPr>
        <w:t>t</w:t>
      </w:r>
      <w:r w:rsidRPr="004A04E2">
        <w:rPr>
          <w:rFonts w:ascii="Calibri" w:hAnsi="Calibri" w:cs="Calibri"/>
          <w:sz w:val="22"/>
          <w:szCs w:val="22"/>
        </w:rPr>
        <w:t>hey are beautiful, admired, worth looking at</w:t>
      </w:r>
      <w:r w:rsidR="00947088" w:rsidRPr="004A04E2">
        <w:rPr>
          <w:rFonts w:ascii="Calibri" w:hAnsi="Calibri" w:cs="Calibri"/>
          <w:sz w:val="22"/>
          <w:szCs w:val="22"/>
        </w:rPr>
        <w:t xml:space="preserve">, giving </w:t>
      </w:r>
      <w:r w:rsidR="00CC3551" w:rsidRPr="004A04E2">
        <w:rPr>
          <w:rFonts w:ascii="Calibri" w:hAnsi="Calibri" w:cs="Calibri"/>
          <w:sz w:val="22"/>
          <w:szCs w:val="22"/>
        </w:rPr>
        <w:t>further</w:t>
      </w:r>
      <w:r w:rsidR="00947088" w:rsidRPr="004A04E2">
        <w:rPr>
          <w:rFonts w:ascii="Calibri" w:hAnsi="Calibri" w:cs="Calibri"/>
          <w:sz w:val="22"/>
          <w:szCs w:val="22"/>
        </w:rPr>
        <w:t xml:space="preserve"> </w:t>
      </w:r>
      <w:r w:rsidR="00650272" w:rsidRPr="004A04E2">
        <w:rPr>
          <w:rFonts w:ascii="Calibri" w:hAnsi="Calibri" w:cs="Calibri"/>
          <w:sz w:val="22"/>
          <w:szCs w:val="22"/>
        </w:rPr>
        <w:t>legitimacy to the entire endeavour – this</w:t>
      </w:r>
      <w:r w:rsidRPr="004A04E2">
        <w:rPr>
          <w:rFonts w:ascii="Calibri" w:hAnsi="Calibri" w:cs="Calibri"/>
          <w:sz w:val="22"/>
          <w:szCs w:val="22"/>
        </w:rPr>
        <w:t xml:space="preserve"> </w:t>
      </w:r>
      <w:r w:rsidRPr="004A04E2">
        <w:rPr>
          <w:rFonts w:ascii="Calibri" w:hAnsi="Calibri" w:cs="Calibri"/>
          <w:sz w:val="22"/>
          <w:szCs w:val="22"/>
        </w:rPr>
        <w:t>is a conquest that has acquired something valuable, not destroyed it.</w:t>
      </w:r>
    </w:p>
    <w:p w14:paraId="1BF79D7B" w14:textId="49F5366F" w:rsidR="00A316A9" w:rsidRPr="004A04E2" w:rsidRDefault="004A16DD">
      <w:pPr>
        <w:spacing w:before="60" w:after="100" w:line="360" w:lineRule="auto"/>
        <w:rPr>
          <w:rFonts w:ascii="Calibri" w:hAnsi="Calibri" w:cs="Calibri"/>
          <w:sz w:val="22"/>
          <w:szCs w:val="22"/>
        </w:rPr>
      </w:pPr>
      <w:r w:rsidRPr="004A04E2">
        <w:rPr>
          <w:rFonts w:ascii="Calibri" w:hAnsi="Calibri" w:cs="Calibri"/>
          <w:sz w:val="22"/>
          <w:szCs w:val="22"/>
        </w:rPr>
        <w:t>Albu argues that “most historians of the Normans subverted the text of achievement and legitimization with subtexts of treacherous leaders and a lawless society”</w:t>
      </w:r>
      <w:r w:rsidR="00CC3551" w:rsidRPr="004A04E2">
        <w:rPr>
          <w:rStyle w:val="FootnoteReference"/>
          <w:rFonts w:ascii="Calibri" w:hAnsi="Calibri" w:cs="Calibri"/>
          <w:sz w:val="22"/>
          <w:szCs w:val="22"/>
        </w:rPr>
        <w:footnoteReference w:id="20"/>
      </w:r>
      <w:r w:rsidRPr="004A04E2">
        <w:rPr>
          <w:rFonts w:ascii="Calibri" w:hAnsi="Calibri" w:cs="Calibri"/>
          <w:sz w:val="22"/>
          <w:szCs w:val="22"/>
        </w:rPr>
        <w:t xml:space="preserve"> (</w:t>
      </w:r>
      <w:r w:rsidRPr="004A04E2">
        <w:rPr>
          <w:rFonts w:ascii="Calibri" w:hAnsi="Calibri" w:cs="Calibri"/>
          <w:i/>
          <w:iCs/>
          <w:sz w:val="22"/>
          <w:szCs w:val="22"/>
        </w:rPr>
        <w:t xml:space="preserve">The Normans in their </w:t>
      </w:r>
      <w:r w:rsidRPr="004A04E2">
        <w:rPr>
          <w:rFonts w:ascii="Calibri" w:hAnsi="Calibri" w:cs="Calibri"/>
          <w:i/>
          <w:iCs/>
          <w:sz w:val="22"/>
          <w:szCs w:val="22"/>
        </w:rPr>
        <w:lastRenderedPageBreak/>
        <w:t>Histories</w:t>
      </w:r>
      <w:r w:rsidRPr="004A04E2">
        <w:rPr>
          <w:rFonts w:ascii="Calibri" w:hAnsi="Calibri" w:cs="Calibri"/>
          <w:sz w:val="22"/>
          <w:szCs w:val="22"/>
        </w:rPr>
        <w:t>, Introduction)</w:t>
      </w:r>
      <w:r w:rsidR="00650272" w:rsidRPr="004A04E2">
        <w:rPr>
          <w:rFonts w:ascii="Calibri" w:hAnsi="Calibri" w:cs="Calibri"/>
          <w:sz w:val="22"/>
          <w:szCs w:val="22"/>
        </w:rPr>
        <w:t>, and here</w:t>
      </w:r>
      <w:r w:rsidRPr="004A04E2">
        <w:rPr>
          <w:rFonts w:ascii="Calibri" w:hAnsi="Calibri" w:cs="Calibri"/>
          <w:sz w:val="22"/>
          <w:szCs w:val="22"/>
        </w:rPr>
        <w:t xml:space="preserve"> William of Poitiers is the exception that proves her rule. There is no subversion here, no wolf imagery, no uncomfortable pagan undertones of the kind found in </w:t>
      </w:r>
      <w:r w:rsidR="00650272" w:rsidRPr="004A04E2">
        <w:rPr>
          <w:rFonts w:ascii="Calibri" w:hAnsi="Calibri" w:cs="Calibri"/>
          <w:sz w:val="22"/>
          <w:szCs w:val="22"/>
        </w:rPr>
        <w:t xml:space="preserve">other chroniclers such as </w:t>
      </w:r>
      <w:r w:rsidRPr="004A04E2">
        <w:rPr>
          <w:rFonts w:ascii="Calibri" w:hAnsi="Calibri" w:cs="Calibri"/>
          <w:sz w:val="22"/>
          <w:szCs w:val="22"/>
        </w:rPr>
        <w:t>William of Jumièges</w:t>
      </w:r>
      <w:r w:rsidR="00650272" w:rsidRPr="004A04E2">
        <w:rPr>
          <w:rFonts w:ascii="Calibri" w:hAnsi="Calibri" w:cs="Calibri"/>
          <w:sz w:val="22"/>
          <w:szCs w:val="22"/>
        </w:rPr>
        <w:t>.</w:t>
      </w:r>
      <w:r w:rsidRPr="004A04E2">
        <w:rPr>
          <w:rFonts w:ascii="Calibri" w:hAnsi="Calibri" w:cs="Calibri"/>
          <w:sz w:val="22"/>
          <w:szCs w:val="22"/>
        </w:rPr>
        <w:t xml:space="preserve"> The </w:t>
      </w:r>
      <w:proofErr w:type="spellStart"/>
      <w:r w:rsidRPr="004A04E2">
        <w:rPr>
          <w:rFonts w:ascii="Calibri" w:hAnsi="Calibri" w:cs="Calibri"/>
          <w:i/>
          <w:iCs/>
          <w:sz w:val="22"/>
          <w:szCs w:val="22"/>
        </w:rPr>
        <w:t>Gesta</w:t>
      </w:r>
      <w:proofErr w:type="spellEnd"/>
      <w:r w:rsidRPr="004A04E2">
        <w:rPr>
          <w:rFonts w:ascii="Calibri" w:hAnsi="Calibri" w:cs="Calibri"/>
          <w:i/>
          <w:iCs/>
          <w:sz w:val="22"/>
          <w:szCs w:val="22"/>
        </w:rPr>
        <w:t xml:space="preserve"> </w:t>
      </w:r>
      <w:proofErr w:type="spellStart"/>
      <w:r w:rsidRPr="004A04E2">
        <w:rPr>
          <w:rFonts w:ascii="Calibri" w:hAnsi="Calibri" w:cs="Calibri"/>
          <w:i/>
          <w:iCs/>
          <w:sz w:val="22"/>
          <w:szCs w:val="22"/>
        </w:rPr>
        <w:t>Guillelmi</w:t>
      </w:r>
      <w:proofErr w:type="spellEnd"/>
      <w:r w:rsidRPr="004A04E2">
        <w:rPr>
          <w:rFonts w:ascii="Calibri" w:hAnsi="Calibri" w:cs="Calibri"/>
          <w:sz w:val="22"/>
          <w:szCs w:val="22"/>
        </w:rPr>
        <w:t xml:space="preserve"> is straightforward </w:t>
      </w:r>
      <w:r w:rsidR="00650272" w:rsidRPr="004A04E2">
        <w:rPr>
          <w:rFonts w:ascii="Calibri" w:hAnsi="Calibri" w:cs="Calibri"/>
          <w:sz w:val="22"/>
          <w:szCs w:val="22"/>
        </w:rPr>
        <w:t>tribute</w:t>
      </w:r>
      <w:r w:rsidRPr="004A04E2">
        <w:rPr>
          <w:rFonts w:ascii="Calibri" w:hAnsi="Calibri" w:cs="Calibri"/>
          <w:sz w:val="22"/>
          <w:szCs w:val="22"/>
        </w:rPr>
        <w:t xml:space="preserve">, written by a man who was both chaplain and former knight, and who seems genuinely convinced of his patron’s righteousness. Its value as a source lies not in its balance </w:t>
      </w:r>
      <w:r w:rsidR="00650272" w:rsidRPr="004A04E2">
        <w:rPr>
          <w:rFonts w:ascii="Calibri" w:hAnsi="Calibri" w:cs="Calibri"/>
          <w:sz w:val="22"/>
          <w:szCs w:val="22"/>
        </w:rPr>
        <w:t xml:space="preserve">(which is obviously lacking) </w:t>
      </w:r>
      <w:r w:rsidRPr="004A04E2">
        <w:rPr>
          <w:rFonts w:ascii="Calibri" w:hAnsi="Calibri" w:cs="Calibri"/>
          <w:sz w:val="22"/>
          <w:szCs w:val="22"/>
        </w:rPr>
        <w:t>but in the sheer transparency of its method</w:t>
      </w:r>
      <w:r w:rsidR="00650272" w:rsidRPr="004A04E2">
        <w:rPr>
          <w:rFonts w:ascii="Calibri" w:hAnsi="Calibri" w:cs="Calibri"/>
          <w:sz w:val="22"/>
          <w:szCs w:val="22"/>
        </w:rPr>
        <w:t xml:space="preserve">. </w:t>
      </w:r>
      <w:r w:rsidRPr="004A04E2">
        <w:rPr>
          <w:rFonts w:ascii="Calibri" w:hAnsi="Calibri" w:cs="Calibri"/>
          <w:sz w:val="22"/>
          <w:szCs w:val="22"/>
        </w:rPr>
        <w:t>it shows exactly how Norman legitimacy was constructed, argument by argument, oath by oath, classical comparison by classical comparison. If William of Jumièges holds open the tension between Christian legitimacy and Viking inheritance, William of Poitiers simply closes it, insisting that God, law, history, and epic poetry all point in the same direction.</w:t>
      </w:r>
    </w:p>
    <w:p w14:paraId="30191D6D" w14:textId="77777777" w:rsidR="00F06D58" w:rsidRPr="004A04E2" w:rsidRDefault="00F06D58">
      <w:pPr>
        <w:pStyle w:val="Heading2"/>
        <w:spacing w:before="240"/>
        <w:rPr>
          <w:rFonts w:ascii="Calibri" w:hAnsi="Calibri" w:cs="Calibri"/>
          <w:color w:val="1F3864"/>
          <w:sz w:val="22"/>
          <w:szCs w:val="22"/>
        </w:rPr>
      </w:pPr>
    </w:p>
    <w:p w14:paraId="05612AF0" w14:textId="524B5C19" w:rsidR="00A316A9" w:rsidRPr="004A04E2" w:rsidRDefault="004A16DD">
      <w:pPr>
        <w:pStyle w:val="Heading2"/>
        <w:spacing w:before="240"/>
        <w:rPr>
          <w:rFonts w:ascii="Calibri" w:hAnsi="Calibri" w:cs="Calibri"/>
          <w:color w:val="000000" w:themeColor="text1"/>
          <w:sz w:val="22"/>
          <w:szCs w:val="22"/>
        </w:rPr>
      </w:pPr>
      <w:r w:rsidRPr="004A04E2">
        <w:rPr>
          <w:rFonts w:ascii="Calibri" w:hAnsi="Calibri" w:cs="Calibri"/>
          <w:color w:val="000000" w:themeColor="text1"/>
          <w:sz w:val="22"/>
          <w:szCs w:val="22"/>
        </w:rPr>
        <w:t>Bibliography</w:t>
      </w:r>
    </w:p>
    <w:p w14:paraId="7BB8F5F3" w14:textId="15AC0F3C" w:rsidR="00A316A9" w:rsidRPr="004A04E2" w:rsidRDefault="004A16DD">
      <w:pPr>
        <w:spacing w:before="40" w:after="40" w:line="276" w:lineRule="auto"/>
        <w:rPr>
          <w:rFonts w:ascii="Calibri" w:hAnsi="Calibri" w:cs="Calibri"/>
          <w:color w:val="000000" w:themeColor="text1"/>
          <w:sz w:val="20"/>
          <w:szCs w:val="20"/>
        </w:rPr>
      </w:pPr>
      <w:r w:rsidRPr="004A04E2">
        <w:rPr>
          <w:rFonts w:ascii="Calibri" w:hAnsi="Calibri" w:cs="Calibri"/>
          <w:color w:val="000000" w:themeColor="text1"/>
          <w:sz w:val="20"/>
          <w:szCs w:val="20"/>
        </w:rPr>
        <w:t xml:space="preserve">Albu, Emily. </w:t>
      </w:r>
      <w:r w:rsidRPr="004A04E2">
        <w:rPr>
          <w:rFonts w:ascii="Calibri" w:hAnsi="Calibri" w:cs="Calibri"/>
          <w:i/>
          <w:iCs/>
          <w:color w:val="000000" w:themeColor="text1"/>
          <w:sz w:val="20"/>
          <w:szCs w:val="20"/>
        </w:rPr>
        <w:t xml:space="preserve">The Normans in their Histories: Propaganda, Myth and Subversion </w:t>
      </w:r>
      <w:r w:rsidRPr="004A04E2">
        <w:rPr>
          <w:rFonts w:ascii="Calibri" w:hAnsi="Calibri" w:cs="Calibri"/>
          <w:color w:val="000000" w:themeColor="text1"/>
          <w:sz w:val="20"/>
          <w:szCs w:val="20"/>
        </w:rPr>
        <w:t>(Woodbridge: The Boydell Press, 2001)</w:t>
      </w:r>
      <w:r w:rsidR="00F06D58" w:rsidRPr="004A04E2">
        <w:rPr>
          <w:rFonts w:ascii="Calibri" w:hAnsi="Calibri" w:cs="Calibri"/>
          <w:color w:val="000000" w:themeColor="text1"/>
          <w:sz w:val="20"/>
          <w:szCs w:val="20"/>
        </w:rPr>
        <w:br/>
      </w:r>
    </w:p>
    <w:p w14:paraId="4493D2E0" w14:textId="2DDA67D3" w:rsidR="00DB2910" w:rsidRPr="004A04E2" w:rsidRDefault="00DB2910" w:rsidP="00DB2910">
      <w:pPr>
        <w:rPr>
          <w:rFonts w:ascii="Calibri" w:hAnsi="Calibri" w:cs="Calibri"/>
          <w:color w:val="000000" w:themeColor="text1"/>
          <w:sz w:val="20"/>
          <w:szCs w:val="20"/>
        </w:rPr>
      </w:pPr>
      <w:r w:rsidRPr="004A04E2">
        <w:rPr>
          <w:rStyle w:val="Strong"/>
          <w:rFonts w:ascii="Calibri" w:hAnsi="Calibri" w:cs="Calibri"/>
          <w:b w:val="0"/>
          <w:bCs w:val="0"/>
          <w:color w:val="000000" w:themeColor="text1"/>
          <w:sz w:val="20"/>
          <w:szCs w:val="20"/>
        </w:rPr>
        <w:t>Bates, David.</w:t>
      </w:r>
      <w:r w:rsidRPr="004A04E2">
        <w:rPr>
          <w:rFonts w:ascii="Calibri" w:hAnsi="Calibri" w:cs="Calibri"/>
          <w:color w:val="000000" w:themeColor="text1"/>
          <w:sz w:val="20"/>
          <w:szCs w:val="20"/>
        </w:rPr>
        <w:t xml:space="preserve"> </w:t>
      </w:r>
      <w:r w:rsidRPr="004A04E2">
        <w:rPr>
          <w:rStyle w:val="Emphasis"/>
          <w:rFonts w:ascii="Calibri" w:hAnsi="Calibri" w:cs="Calibri"/>
          <w:color w:val="000000" w:themeColor="text1"/>
          <w:sz w:val="20"/>
          <w:szCs w:val="20"/>
        </w:rPr>
        <w:t>Lives, Identities and Histories in the Central Middle Ages</w:t>
      </w:r>
      <w:r w:rsidRPr="004A04E2">
        <w:rPr>
          <w:rFonts w:ascii="Calibri" w:hAnsi="Calibri" w:cs="Calibri"/>
          <w:color w:val="000000" w:themeColor="text1"/>
          <w:sz w:val="20"/>
          <w:szCs w:val="20"/>
        </w:rPr>
        <w:t>, ed. by Julie Barrau and David Bates (Cambridge: Cambridge University Press, 2021)</w:t>
      </w:r>
    </w:p>
    <w:p w14:paraId="0939E557" w14:textId="77777777" w:rsidR="00DB2910" w:rsidRPr="004A04E2" w:rsidRDefault="00DB2910">
      <w:pPr>
        <w:spacing w:before="40" w:after="40" w:line="276" w:lineRule="auto"/>
        <w:rPr>
          <w:rFonts w:ascii="Calibri" w:hAnsi="Calibri" w:cs="Calibri"/>
          <w:color w:val="000000" w:themeColor="text1"/>
          <w:sz w:val="20"/>
          <w:szCs w:val="20"/>
        </w:rPr>
      </w:pPr>
    </w:p>
    <w:p w14:paraId="0A7825F3" w14:textId="04D13DE7" w:rsidR="00A316A9" w:rsidRPr="004A04E2" w:rsidRDefault="00F06D58">
      <w:pPr>
        <w:rPr>
          <w:rFonts w:ascii="Calibri" w:hAnsi="Calibri" w:cs="Calibri"/>
          <w:color w:val="000000" w:themeColor="text1"/>
          <w:sz w:val="20"/>
          <w:szCs w:val="20"/>
          <w:bdr w:val="none" w:sz="0" w:space="0" w:color="auto" w:frame="1"/>
          <w:shd w:val="clear" w:color="auto" w:fill="FFFFFF"/>
        </w:rPr>
      </w:pPr>
      <w:r w:rsidRPr="004A04E2">
        <w:rPr>
          <w:rFonts w:ascii="Calibri" w:hAnsi="Calibri" w:cs="Calibri"/>
          <w:color w:val="000000" w:themeColor="text1"/>
          <w:sz w:val="20"/>
          <w:szCs w:val="20"/>
          <w:bdr w:val="none" w:sz="0" w:space="0" w:color="auto" w:frame="1"/>
          <w:shd w:val="clear" w:color="auto" w:fill="FFFFFF"/>
        </w:rPr>
        <w:t>Garnett</w:t>
      </w:r>
      <w:r w:rsidRPr="004A04E2">
        <w:rPr>
          <w:rFonts w:ascii="Calibri" w:hAnsi="Calibri" w:cs="Calibri"/>
          <w:color w:val="000000" w:themeColor="text1"/>
          <w:sz w:val="20"/>
          <w:szCs w:val="20"/>
          <w:bdr w:val="none" w:sz="0" w:space="0" w:color="auto" w:frame="1"/>
          <w:shd w:val="clear" w:color="auto" w:fill="FFFFFF"/>
        </w:rPr>
        <w:t xml:space="preserve">, </w:t>
      </w:r>
      <w:r w:rsidRPr="004A04E2">
        <w:rPr>
          <w:rFonts w:ascii="Calibri" w:hAnsi="Calibri" w:cs="Calibri"/>
          <w:color w:val="000000" w:themeColor="text1"/>
          <w:sz w:val="20"/>
          <w:szCs w:val="20"/>
          <w:bdr w:val="none" w:sz="0" w:space="0" w:color="auto" w:frame="1"/>
          <w:shd w:val="clear" w:color="auto" w:fill="FFFFFF"/>
        </w:rPr>
        <w:t>George</w:t>
      </w:r>
      <w:r w:rsidRPr="004A04E2">
        <w:rPr>
          <w:rFonts w:ascii="Calibri" w:hAnsi="Calibri" w:cs="Calibri"/>
          <w:color w:val="000000" w:themeColor="text1"/>
          <w:sz w:val="20"/>
          <w:szCs w:val="20"/>
          <w:bdr w:val="none" w:sz="0" w:space="0" w:color="auto" w:frame="1"/>
          <w:shd w:val="clear" w:color="auto" w:fill="FFFFFF"/>
        </w:rPr>
        <w:t>.</w:t>
      </w:r>
      <w:r w:rsidRPr="004A04E2">
        <w:rPr>
          <w:rFonts w:ascii="Calibri" w:hAnsi="Calibri" w:cs="Calibri"/>
          <w:color w:val="000000" w:themeColor="text1"/>
          <w:sz w:val="20"/>
          <w:szCs w:val="20"/>
          <w:bdr w:val="none" w:sz="0" w:space="0" w:color="auto" w:frame="1"/>
          <w:shd w:val="clear" w:color="auto" w:fill="FFFFFF"/>
        </w:rPr>
        <w:t xml:space="preserve"> </w:t>
      </w:r>
      <w:r w:rsidRPr="004A04E2">
        <w:rPr>
          <w:rFonts w:ascii="Calibri" w:hAnsi="Calibri" w:cs="Calibri"/>
          <w:i/>
          <w:iCs/>
          <w:color w:val="000000" w:themeColor="text1"/>
          <w:sz w:val="20"/>
          <w:szCs w:val="20"/>
          <w:bdr w:val="none" w:sz="0" w:space="0" w:color="auto" w:frame="1"/>
          <w:shd w:val="clear" w:color="auto" w:fill="FFFFFF"/>
        </w:rPr>
        <w:t>Conquered England: Kingship, Succession, and Tenure, 1066–1166</w:t>
      </w:r>
      <w:r w:rsidRPr="004A04E2">
        <w:rPr>
          <w:rFonts w:ascii="Calibri" w:hAnsi="Calibri" w:cs="Calibri"/>
          <w:color w:val="000000" w:themeColor="text1"/>
          <w:sz w:val="20"/>
          <w:szCs w:val="20"/>
          <w:bdr w:val="none" w:sz="0" w:space="0" w:color="auto" w:frame="1"/>
          <w:shd w:val="clear" w:color="auto" w:fill="FFFFFF"/>
        </w:rPr>
        <w:t xml:space="preserve"> (Oxford: Oxford University Press, 2007)</w:t>
      </w:r>
    </w:p>
    <w:p w14:paraId="4A3877D0" w14:textId="77777777" w:rsidR="00F06D58" w:rsidRPr="004A04E2" w:rsidRDefault="00F06D58">
      <w:pPr>
        <w:rPr>
          <w:rFonts w:ascii="Calibri" w:hAnsi="Calibri" w:cs="Calibri"/>
          <w:color w:val="000000" w:themeColor="text1"/>
          <w:sz w:val="20"/>
          <w:szCs w:val="20"/>
          <w:bdr w:val="none" w:sz="0" w:space="0" w:color="auto" w:frame="1"/>
          <w:shd w:val="clear" w:color="auto" w:fill="FFFFFF"/>
        </w:rPr>
      </w:pPr>
    </w:p>
    <w:p w14:paraId="4389AFC3" w14:textId="4B4ACE0B" w:rsidR="00F06D58" w:rsidRPr="004A04E2" w:rsidRDefault="00F06D58">
      <w:pPr>
        <w:rPr>
          <w:rFonts w:ascii="Calibri" w:hAnsi="Calibri" w:cs="Calibri"/>
          <w:color w:val="000000" w:themeColor="text1"/>
          <w:sz w:val="20"/>
          <w:szCs w:val="20"/>
        </w:rPr>
      </w:pPr>
      <w:r w:rsidRPr="004A04E2">
        <w:rPr>
          <w:rFonts w:ascii="Calibri" w:hAnsi="Calibri" w:cs="Calibri"/>
          <w:color w:val="000000" w:themeColor="text1"/>
          <w:sz w:val="20"/>
          <w:szCs w:val="20"/>
        </w:rPr>
        <w:t>William of Poitiers</w:t>
      </w:r>
      <w:r w:rsidRPr="004A04E2">
        <w:rPr>
          <w:rFonts w:ascii="Calibri" w:hAnsi="Calibri" w:cs="Calibri"/>
          <w:color w:val="000000" w:themeColor="text1"/>
          <w:sz w:val="20"/>
          <w:szCs w:val="20"/>
        </w:rPr>
        <w:t>.</w:t>
      </w:r>
      <w:r w:rsidRPr="004A04E2">
        <w:rPr>
          <w:rFonts w:ascii="Calibri" w:hAnsi="Calibri" w:cs="Calibri"/>
          <w:color w:val="000000" w:themeColor="text1"/>
          <w:sz w:val="20"/>
          <w:szCs w:val="20"/>
        </w:rPr>
        <w:t xml:space="preserve"> </w:t>
      </w:r>
      <w:proofErr w:type="spellStart"/>
      <w:r w:rsidRPr="004A04E2">
        <w:rPr>
          <w:rFonts w:ascii="Calibri" w:hAnsi="Calibri" w:cs="Calibri"/>
          <w:i/>
          <w:iCs/>
          <w:color w:val="000000" w:themeColor="text1"/>
          <w:sz w:val="20"/>
          <w:szCs w:val="20"/>
        </w:rPr>
        <w:t>Gesta</w:t>
      </w:r>
      <w:proofErr w:type="spellEnd"/>
      <w:r w:rsidRPr="004A04E2">
        <w:rPr>
          <w:rFonts w:ascii="Calibri" w:hAnsi="Calibri" w:cs="Calibri"/>
          <w:i/>
          <w:iCs/>
          <w:color w:val="000000" w:themeColor="text1"/>
          <w:sz w:val="20"/>
          <w:szCs w:val="20"/>
        </w:rPr>
        <w:t xml:space="preserve"> </w:t>
      </w:r>
      <w:proofErr w:type="spellStart"/>
      <w:r w:rsidRPr="004A04E2">
        <w:rPr>
          <w:rFonts w:ascii="Calibri" w:hAnsi="Calibri" w:cs="Calibri"/>
          <w:i/>
          <w:iCs/>
          <w:color w:val="000000" w:themeColor="text1"/>
          <w:sz w:val="20"/>
          <w:szCs w:val="20"/>
        </w:rPr>
        <w:t>Guillelmi</w:t>
      </w:r>
      <w:proofErr w:type="spellEnd"/>
      <w:r w:rsidRPr="004A04E2">
        <w:rPr>
          <w:rFonts w:ascii="Calibri" w:hAnsi="Calibri" w:cs="Calibri"/>
          <w:i/>
          <w:iCs/>
          <w:color w:val="000000" w:themeColor="text1"/>
          <w:sz w:val="20"/>
          <w:szCs w:val="20"/>
        </w:rPr>
        <w:t xml:space="preserve"> [1070s]</w:t>
      </w:r>
      <w:r w:rsidRPr="004A04E2">
        <w:rPr>
          <w:rFonts w:ascii="Calibri" w:hAnsi="Calibri" w:cs="Calibri"/>
          <w:color w:val="000000" w:themeColor="text1"/>
          <w:sz w:val="20"/>
          <w:szCs w:val="20"/>
        </w:rPr>
        <w:t xml:space="preserve"> 1066 Sources Handout, [https://moodle.uwtsd.ac.uk/course/view.php?id=13501]</w:t>
      </w:r>
    </w:p>
    <w:p w14:paraId="29591EE0" w14:textId="77777777" w:rsidR="00F06D58" w:rsidRPr="004A04E2" w:rsidRDefault="00F06D58" w:rsidP="00F06D58">
      <w:pPr>
        <w:rPr>
          <w:rFonts w:ascii="Calibri" w:hAnsi="Calibri" w:cs="Calibri"/>
          <w:color w:val="000000" w:themeColor="text1"/>
          <w:sz w:val="20"/>
          <w:szCs w:val="20"/>
        </w:rPr>
      </w:pPr>
    </w:p>
    <w:p w14:paraId="53ED36C1" w14:textId="5CD46A58" w:rsidR="00F06D58" w:rsidRPr="004A04E2" w:rsidRDefault="00F06D58" w:rsidP="00F06D58">
      <w:pPr>
        <w:rPr>
          <w:rFonts w:ascii="Calibri" w:hAnsi="Calibri" w:cs="Calibri"/>
          <w:color w:val="000000" w:themeColor="text1"/>
          <w:sz w:val="20"/>
          <w:szCs w:val="20"/>
        </w:rPr>
      </w:pPr>
      <w:r w:rsidRPr="004A04E2">
        <w:rPr>
          <w:rFonts w:ascii="Calibri" w:hAnsi="Calibri" w:cs="Calibri"/>
          <w:color w:val="000000" w:themeColor="text1"/>
          <w:sz w:val="20"/>
          <w:szCs w:val="20"/>
        </w:rPr>
        <w:t>Winkler</w:t>
      </w:r>
      <w:r w:rsidRPr="004A04E2">
        <w:rPr>
          <w:rFonts w:ascii="Calibri" w:hAnsi="Calibri" w:cs="Calibri"/>
          <w:color w:val="000000" w:themeColor="text1"/>
          <w:sz w:val="20"/>
          <w:szCs w:val="20"/>
        </w:rPr>
        <w:t xml:space="preserve">, </w:t>
      </w:r>
      <w:r w:rsidRPr="004A04E2">
        <w:rPr>
          <w:rFonts w:ascii="Calibri" w:hAnsi="Calibri" w:cs="Calibri"/>
          <w:color w:val="000000" w:themeColor="text1"/>
          <w:sz w:val="20"/>
          <w:szCs w:val="20"/>
        </w:rPr>
        <w:t xml:space="preserve">Emily A., </w:t>
      </w:r>
      <w:r w:rsidRPr="004A04E2">
        <w:rPr>
          <w:rFonts w:ascii="Calibri" w:hAnsi="Calibri" w:cs="Calibri"/>
          <w:i/>
          <w:iCs/>
          <w:color w:val="000000" w:themeColor="text1"/>
          <w:sz w:val="20"/>
          <w:szCs w:val="20"/>
        </w:rPr>
        <w:t>The Norman Conquest of the Classical Past: William of Poitiers, Language and History</w:t>
      </w:r>
      <w:r w:rsidR="004A04E2" w:rsidRPr="004A04E2">
        <w:rPr>
          <w:rFonts w:ascii="Calibri" w:hAnsi="Calibri" w:cs="Calibri"/>
          <w:i/>
          <w:iCs/>
          <w:color w:val="000000" w:themeColor="text1"/>
          <w:sz w:val="20"/>
          <w:szCs w:val="20"/>
        </w:rPr>
        <w:t xml:space="preserve"> </w:t>
      </w:r>
      <w:r w:rsidRPr="004A04E2">
        <w:rPr>
          <w:rFonts w:ascii="Calibri" w:hAnsi="Calibri" w:cs="Calibri"/>
          <w:color w:val="000000" w:themeColor="text1"/>
          <w:sz w:val="20"/>
          <w:szCs w:val="20"/>
        </w:rPr>
        <w:t xml:space="preserve">[https://discovery.ucl.ac.uk/id/eprint/1495348/1/Winkler_EAW%20JMH%20Article%20Open%20Access%20Deposit%202016.pdf] </w:t>
      </w:r>
    </w:p>
    <w:p w14:paraId="5F966075" w14:textId="77777777" w:rsidR="00F06D58" w:rsidRPr="004A04E2" w:rsidRDefault="00F06D58" w:rsidP="00F06D58">
      <w:pPr>
        <w:rPr>
          <w:rFonts w:ascii="Calibri" w:hAnsi="Calibri" w:cs="Calibri"/>
          <w:color w:val="000000" w:themeColor="text1"/>
          <w:sz w:val="20"/>
          <w:szCs w:val="20"/>
        </w:rPr>
      </w:pPr>
    </w:p>
    <w:p w14:paraId="3C4E1CE5" w14:textId="008B628C" w:rsidR="00DB2910" w:rsidRPr="004A04E2" w:rsidRDefault="00DB2910" w:rsidP="00F06D58">
      <w:pPr>
        <w:rPr>
          <w:rFonts w:ascii="Calibri" w:hAnsi="Calibri" w:cs="Calibri"/>
          <w:color w:val="000000" w:themeColor="text1"/>
          <w:sz w:val="20"/>
          <w:szCs w:val="20"/>
        </w:rPr>
      </w:pPr>
      <w:r w:rsidRPr="004A04E2">
        <w:rPr>
          <w:rFonts w:ascii="Calibri" w:hAnsi="Calibri" w:cs="Calibri"/>
          <w:color w:val="000000" w:themeColor="text1"/>
          <w:sz w:val="20"/>
          <w:szCs w:val="20"/>
        </w:rPr>
        <w:br/>
      </w:r>
    </w:p>
    <w:sectPr w:rsidR="00DB2910" w:rsidRPr="004A04E2">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5FE3CA" w14:textId="77777777" w:rsidR="004A16DD" w:rsidRDefault="004A16DD" w:rsidP="002C6000">
      <w:r>
        <w:separator/>
      </w:r>
    </w:p>
  </w:endnote>
  <w:endnote w:type="continuationSeparator" w:id="0">
    <w:p w14:paraId="12121EB9" w14:textId="77777777" w:rsidR="004A16DD" w:rsidRDefault="004A16DD" w:rsidP="002C60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78312E" w14:textId="77777777" w:rsidR="004A16DD" w:rsidRDefault="004A16DD" w:rsidP="002C6000">
      <w:r>
        <w:separator/>
      </w:r>
    </w:p>
  </w:footnote>
  <w:footnote w:type="continuationSeparator" w:id="0">
    <w:p w14:paraId="6AC02C67" w14:textId="77777777" w:rsidR="004A16DD" w:rsidRDefault="004A16DD" w:rsidP="002C6000">
      <w:r>
        <w:continuationSeparator/>
      </w:r>
    </w:p>
  </w:footnote>
  <w:footnote w:id="1">
    <w:p w14:paraId="037A5BBF" w14:textId="230A90CB" w:rsidR="00F06D58" w:rsidRPr="004A04E2" w:rsidRDefault="00F06D58" w:rsidP="00F06D58">
      <w:pPr>
        <w:spacing w:before="40" w:after="40" w:line="276" w:lineRule="auto"/>
        <w:rPr>
          <w:rFonts w:ascii="Calibri" w:hAnsi="Calibri" w:cs="Calibri"/>
          <w:color w:val="000000" w:themeColor="text1"/>
          <w:sz w:val="20"/>
          <w:szCs w:val="20"/>
        </w:rPr>
      </w:pPr>
      <w:r>
        <w:rPr>
          <w:rStyle w:val="FootnoteReference"/>
        </w:rPr>
        <w:footnoteRef/>
      </w:r>
      <w:r>
        <w:t xml:space="preserve"> </w:t>
      </w:r>
      <w:r w:rsidRPr="004A04E2">
        <w:rPr>
          <w:rFonts w:ascii="Calibri" w:hAnsi="Calibri" w:cs="Calibri"/>
          <w:color w:val="000000" w:themeColor="text1"/>
          <w:sz w:val="20"/>
          <w:szCs w:val="20"/>
        </w:rPr>
        <w:t xml:space="preserve">Emily Albu, </w:t>
      </w:r>
      <w:r w:rsidRPr="004A04E2">
        <w:rPr>
          <w:rFonts w:ascii="Calibri" w:hAnsi="Calibri" w:cs="Calibri"/>
          <w:i/>
          <w:iCs/>
          <w:color w:val="000000" w:themeColor="text1"/>
          <w:sz w:val="20"/>
          <w:szCs w:val="20"/>
        </w:rPr>
        <w:t>The Normans in their Histories: Propaganda, Myth and Subversion</w:t>
      </w:r>
      <w:r w:rsidRPr="004A04E2">
        <w:rPr>
          <w:rFonts w:ascii="Calibri" w:hAnsi="Calibri" w:cs="Calibri"/>
          <w:color w:val="000000" w:themeColor="text1"/>
          <w:sz w:val="20"/>
          <w:szCs w:val="20"/>
        </w:rPr>
        <w:t xml:space="preserve"> (Woodbridge: The Boydell Press, 2001) [https://moodle.uwtsd.ac.uk/course/view.php?id=13501]</w:t>
      </w:r>
    </w:p>
  </w:footnote>
  <w:footnote w:id="2">
    <w:p w14:paraId="5B7A1315" w14:textId="630FC86F" w:rsidR="002C6000" w:rsidRPr="004A04E2" w:rsidRDefault="002C6000">
      <w:pPr>
        <w:pStyle w:val="FootnoteText"/>
        <w:rPr>
          <w:rFonts w:ascii="Calibri" w:hAnsi="Calibri" w:cs="Calibri"/>
          <w:color w:val="000000" w:themeColor="text1"/>
        </w:rPr>
      </w:pPr>
      <w:r w:rsidRPr="004A04E2">
        <w:rPr>
          <w:rStyle w:val="FootnoteReference"/>
          <w:rFonts w:ascii="Calibri" w:hAnsi="Calibri" w:cs="Calibri"/>
          <w:color w:val="000000" w:themeColor="text1"/>
        </w:rPr>
        <w:footnoteRef/>
      </w:r>
      <w:r w:rsidRPr="004A04E2">
        <w:rPr>
          <w:rFonts w:ascii="Calibri" w:hAnsi="Calibri" w:cs="Calibri"/>
          <w:color w:val="000000" w:themeColor="text1"/>
        </w:rPr>
        <w:t xml:space="preserve"> </w:t>
      </w:r>
      <w:r w:rsidRPr="004A04E2">
        <w:rPr>
          <w:rFonts w:ascii="Calibri" w:hAnsi="Calibri" w:cs="Calibri"/>
          <w:color w:val="000000" w:themeColor="text1"/>
          <w:bdr w:val="none" w:sz="0" w:space="0" w:color="auto" w:frame="1"/>
          <w:shd w:val="clear" w:color="auto" w:fill="FFFFFF"/>
        </w:rPr>
        <w:t xml:space="preserve">George Garnett, </w:t>
      </w:r>
      <w:r w:rsidRPr="004A04E2">
        <w:rPr>
          <w:rFonts w:ascii="Calibri" w:hAnsi="Calibri" w:cs="Calibri"/>
          <w:i/>
          <w:iCs/>
          <w:color w:val="000000" w:themeColor="text1"/>
          <w:bdr w:val="none" w:sz="0" w:space="0" w:color="auto" w:frame="1"/>
          <w:shd w:val="clear" w:color="auto" w:fill="FFFFFF"/>
        </w:rPr>
        <w:t>Conquered England: Kingship, Succession, and Tenure, 1066–1166</w:t>
      </w:r>
      <w:r w:rsidRPr="004A04E2">
        <w:rPr>
          <w:rFonts w:ascii="Calibri" w:hAnsi="Calibri" w:cs="Calibri"/>
          <w:color w:val="000000" w:themeColor="text1"/>
          <w:bdr w:val="none" w:sz="0" w:space="0" w:color="auto" w:frame="1"/>
          <w:shd w:val="clear" w:color="auto" w:fill="FFFFFF"/>
        </w:rPr>
        <w:t xml:space="preserve"> (Oxford: Oxford University Press, 2007), Chapter </w:t>
      </w:r>
      <w:r w:rsidR="004A04E2">
        <w:rPr>
          <w:rFonts w:ascii="Calibri" w:hAnsi="Calibri" w:cs="Calibri"/>
          <w:color w:val="000000" w:themeColor="text1"/>
          <w:bdr w:val="none" w:sz="0" w:space="0" w:color="auto" w:frame="1"/>
          <w:shd w:val="clear" w:color="auto" w:fill="FFFFFF"/>
        </w:rPr>
        <w:t>1</w:t>
      </w:r>
      <w:r w:rsidRPr="004A04E2">
        <w:rPr>
          <w:rFonts w:ascii="Calibri" w:hAnsi="Calibri" w:cs="Calibri"/>
          <w:color w:val="000000" w:themeColor="text1"/>
          <w:bdr w:val="none" w:sz="0" w:space="0" w:color="auto" w:frame="1"/>
          <w:shd w:val="clear" w:color="auto" w:fill="FFFFFF"/>
        </w:rPr>
        <w:t xml:space="preserve"> [</w:t>
      </w:r>
      <w:hyperlink r:id="rId1" w:history="1">
        <w:r w:rsidRPr="004A04E2">
          <w:rPr>
            <w:rStyle w:val="Hyperlink"/>
            <w:rFonts w:ascii="Calibri" w:hAnsi="Calibri" w:cs="Calibri"/>
            <w:color w:val="000000" w:themeColor="text1"/>
            <w:u w:val="none"/>
            <w:bdr w:val="none" w:sz="0" w:space="0" w:color="auto" w:frame="1"/>
            <w:shd w:val="clear" w:color="auto" w:fill="FFFFFF"/>
          </w:rPr>
          <w:t>https://doi-org.uwtsd.idm.oclc.org/10.1093/acprof:oso/9780198207931.003.0001</w:t>
        </w:r>
      </w:hyperlink>
      <w:r w:rsidRPr="004A04E2">
        <w:rPr>
          <w:rFonts w:ascii="Calibri" w:hAnsi="Calibri" w:cs="Calibri"/>
          <w:color w:val="000000" w:themeColor="text1"/>
          <w:shd w:val="clear" w:color="auto" w:fill="FFFFFF"/>
        </w:rPr>
        <w:t>]</w:t>
      </w:r>
      <w:r w:rsidRPr="004A04E2">
        <w:rPr>
          <w:rFonts w:ascii="Calibri" w:hAnsi="Calibri" w:cs="Calibri"/>
          <w:color w:val="000000" w:themeColor="text1"/>
          <w:shd w:val="clear" w:color="auto" w:fill="FFFFFF"/>
        </w:rPr>
        <w:t> </w:t>
      </w:r>
      <w:r w:rsidRPr="004A04E2">
        <w:rPr>
          <w:rStyle w:val="accessed-date"/>
          <w:rFonts w:ascii="Calibri" w:hAnsi="Calibri" w:cs="Calibri"/>
          <w:color w:val="000000" w:themeColor="text1"/>
          <w:bdr w:val="none" w:sz="0" w:space="0" w:color="auto" w:frame="1"/>
          <w:shd w:val="clear" w:color="auto" w:fill="FFFFFF"/>
        </w:rPr>
        <w:t xml:space="preserve">accessed </w:t>
      </w:r>
      <w:r w:rsidRPr="004A04E2">
        <w:rPr>
          <w:rStyle w:val="accessed-date"/>
          <w:rFonts w:ascii="Calibri" w:hAnsi="Calibri" w:cs="Calibri"/>
          <w:color w:val="000000" w:themeColor="text1"/>
          <w:bdr w:val="none" w:sz="0" w:space="0" w:color="auto" w:frame="1"/>
          <w:shd w:val="clear" w:color="auto" w:fill="FFFFFF"/>
        </w:rPr>
        <w:t>2</w:t>
      </w:r>
      <w:r w:rsidRPr="004A04E2">
        <w:rPr>
          <w:rStyle w:val="accessed-date"/>
          <w:rFonts w:ascii="Calibri" w:hAnsi="Calibri" w:cs="Calibri"/>
          <w:color w:val="000000" w:themeColor="text1"/>
          <w:bdr w:val="none" w:sz="0" w:space="0" w:color="auto" w:frame="1"/>
          <w:shd w:val="clear" w:color="auto" w:fill="FFFFFF"/>
        </w:rPr>
        <w:t>1 Mar. 2026.</w:t>
      </w:r>
    </w:p>
  </w:footnote>
  <w:footnote w:id="3">
    <w:p w14:paraId="2C6E9E1E" w14:textId="6287995B" w:rsidR="00CC3551" w:rsidRPr="004A04E2" w:rsidRDefault="00CC3551">
      <w:pPr>
        <w:pStyle w:val="FootnoteText"/>
        <w:rPr>
          <w:rFonts w:ascii="Calibri" w:hAnsi="Calibri" w:cs="Calibri"/>
          <w:color w:val="000000" w:themeColor="text1"/>
        </w:rPr>
      </w:pPr>
      <w:r w:rsidRPr="004A04E2">
        <w:rPr>
          <w:rStyle w:val="FootnoteReference"/>
          <w:rFonts w:ascii="Calibri" w:hAnsi="Calibri" w:cs="Calibri"/>
          <w:color w:val="000000" w:themeColor="text1"/>
        </w:rPr>
        <w:footnoteRef/>
      </w:r>
      <w:r w:rsidRPr="004A04E2">
        <w:rPr>
          <w:rFonts w:ascii="Calibri" w:hAnsi="Calibri" w:cs="Calibri"/>
          <w:color w:val="000000" w:themeColor="text1"/>
        </w:rPr>
        <w:t xml:space="preserve"> </w:t>
      </w:r>
      <w:r w:rsidRPr="004A04E2">
        <w:rPr>
          <w:rFonts w:ascii="Calibri" w:hAnsi="Calibri" w:cs="Calibri"/>
          <w:color w:val="000000" w:themeColor="text1"/>
        </w:rPr>
        <w:t xml:space="preserve">William of Poitiers, </w:t>
      </w:r>
      <w:proofErr w:type="spellStart"/>
      <w:r w:rsidRPr="004A04E2">
        <w:rPr>
          <w:rFonts w:ascii="Calibri" w:hAnsi="Calibri" w:cs="Calibri"/>
          <w:i/>
          <w:iCs/>
          <w:color w:val="000000" w:themeColor="text1"/>
        </w:rPr>
        <w:t>Gesta</w:t>
      </w:r>
      <w:proofErr w:type="spellEnd"/>
      <w:r w:rsidRPr="004A04E2">
        <w:rPr>
          <w:rFonts w:ascii="Calibri" w:hAnsi="Calibri" w:cs="Calibri"/>
          <w:i/>
          <w:iCs/>
          <w:color w:val="000000" w:themeColor="text1"/>
        </w:rPr>
        <w:t xml:space="preserve"> </w:t>
      </w:r>
      <w:proofErr w:type="spellStart"/>
      <w:r w:rsidRPr="004A04E2">
        <w:rPr>
          <w:rFonts w:ascii="Calibri" w:hAnsi="Calibri" w:cs="Calibri"/>
          <w:i/>
          <w:iCs/>
          <w:color w:val="000000" w:themeColor="text1"/>
        </w:rPr>
        <w:t>Guillelmi</w:t>
      </w:r>
      <w:proofErr w:type="spellEnd"/>
      <w:r w:rsidRPr="004A04E2">
        <w:rPr>
          <w:rFonts w:ascii="Calibri" w:hAnsi="Calibri" w:cs="Calibri"/>
          <w:i/>
          <w:iCs/>
          <w:color w:val="000000" w:themeColor="text1"/>
        </w:rPr>
        <w:t xml:space="preserve"> [1070s]</w:t>
      </w:r>
      <w:r w:rsidR="00F06D58" w:rsidRPr="004A04E2">
        <w:rPr>
          <w:rFonts w:ascii="Calibri" w:hAnsi="Calibri" w:cs="Calibri"/>
          <w:color w:val="000000" w:themeColor="text1"/>
        </w:rPr>
        <w:t>,</w:t>
      </w:r>
      <w:r w:rsidRPr="004A04E2">
        <w:rPr>
          <w:rFonts w:ascii="Calibri" w:hAnsi="Calibri" w:cs="Calibri"/>
          <w:color w:val="000000" w:themeColor="text1"/>
        </w:rPr>
        <w:t xml:space="preserve"> 1066 Sources Handout</w:t>
      </w:r>
      <w:r w:rsidR="00F06D58" w:rsidRPr="004A04E2">
        <w:rPr>
          <w:rFonts w:ascii="Calibri" w:hAnsi="Calibri" w:cs="Calibri"/>
          <w:color w:val="000000" w:themeColor="text1"/>
        </w:rPr>
        <w:t>,</w:t>
      </w:r>
      <w:r w:rsidRPr="004A04E2">
        <w:rPr>
          <w:rFonts w:ascii="Calibri" w:hAnsi="Calibri" w:cs="Calibri"/>
          <w:color w:val="000000" w:themeColor="text1"/>
        </w:rPr>
        <w:t xml:space="preserve"> [</w:t>
      </w:r>
      <w:r w:rsidRPr="004A04E2">
        <w:rPr>
          <w:rFonts w:ascii="Calibri" w:hAnsi="Calibri" w:cs="Calibri"/>
          <w:color w:val="000000" w:themeColor="text1"/>
        </w:rPr>
        <w:t>https://moodle.uwtsd.ac.uk/course/view.php?id=13501</w:t>
      </w:r>
      <w:r w:rsidRPr="004A04E2">
        <w:rPr>
          <w:rFonts w:ascii="Calibri" w:hAnsi="Calibri" w:cs="Calibri"/>
          <w:color w:val="000000" w:themeColor="text1"/>
        </w:rPr>
        <w:t xml:space="preserve">] </w:t>
      </w:r>
      <w:r w:rsidRPr="004A04E2">
        <w:rPr>
          <w:rStyle w:val="accessed-date"/>
          <w:rFonts w:ascii="Calibri" w:hAnsi="Calibri" w:cs="Calibri"/>
          <w:color w:val="000000" w:themeColor="text1"/>
          <w:bdr w:val="none" w:sz="0" w:space="0" w:color="auto" w:frame="1"/>
          <w:shd w:val="clear" w:color="auto" w:fill="FFFFFF"/>
        </w:rPr>
        <w:t>accessed 2</w:t>
      </w:r>
      <w:r w:rsidRPr="004A04E2">
        <w:rPr>
          <w:rStyle w:val="accessed-date"/>
          <w:rFonts w:ascii="Calibri" w:hAnsi="Calibri" w:cs="Calibri"/>
          <w:color w:val="000000" w:themeColor="text1"/>
          <w:bdr w:val="none" w:sz="0" w:space="0" w:color="auto" w:frame="1"/>
          <w:shd w:val="clear" w:color="auto" w:fill="FFFFFF"/>
        </w:rPr>
        <w:t>0</w:t>
      </w:r>
      <w:r w:rsidRPr="004A04E2">
        <w:rPr>
          <w:rStyle w:val="accessed-date"/>
          <w:rFonts w:ascii="Calibri" w:hAnsi="Calibri" w:cs="Calibri"/>
          <w:color w:val="000000" w:themeColor="text1"/>
          <w:bdr w:val="none" w:sz="0" w:space="0" w:color="auto" w:frame="1"/>
          <w:shd w:val="clear" w:color="auto" w:fill="FFFFFF"/>
        </w:rPr>
        <w:t xml:space="preserve"> Mar. 2026.</w:t>
      </w:r>
    </w:p>
  </w:footnote>
  <w:footnote w:id="4">
    <w:p w14:paraId="49CE664C" w14:textId="566DBD94" w:rsidR="00CC3551" w:rsidRPr="004A04E2" w:rsidRDefault="00CC3551">
      <w:pPr>
        <w:pStyle w:val="FootnoteText"/>
        <w:rPr>
          <w:rFonts w:ascii="Calibri" w:hAnsi="Calibri" w:cs="Calibri"/>
          <w:color w:val="000000" w:themeColor="text1"/>
        </w:rPr>
      </w:pPr>
      <w:r w:rsidRPr="004A04E2">
        <w:rPr>
          <w:rStyle w:val="FootnoteReference"/>
          <w:rFonts w:ascii="Calibri" w:hAnsi="Calibri" w:cs="Calibri"/>
          <w:color w:val="000000" w:themeColor="text1"/>
        </w:rPr>
        <w:footnoteRef/>
      </w:r>
      <w:r w:rsidRPr="004A04E2">
        <w:rPr>
          <w:rFonts w:ascii="Calibri" w:hAnsi="Calibri" w:cs="Calibri"/>
          <w:color w:val="000000" w:themeColor="text1"/>
        </w:rPr>
        <w:t xml:space="preserve"> Ibid., </w:t>
      </w:r>
      <w:r w:rsidR="00F06D58" w:rsidRPr="004A04E2">
        <w:rPr>
          <w:rFonts w:ascii="Calibri" w:hAnsi="Calibri" w:cs="Calibri"/>
          <w:color w:val="000000" w:themeColor="text1"/>
        </w:rPr>
        <w:t xml:space="preserve">[https://moodle.uwtsd.ac.uk/course/view.php?id=13501] </w:t>
      </w:r>
      <w:r w:rsidR="00F06D58" w:rsidRPr="004A04E2">
        <w:rPr>
          <w:rStyle w:val="accessed-date"/>
          <w:rFonts w:ascii="Calibri" w:hAnsi="Calibri" w:cs="Calibri"/>
          <w:color w:val="000000" w:themeColor="text1"/>
          <w:bdr w:val="none" w:sz="0" w:space="0" w:color="auto" w:frame="1"/>
          <w:shd w:val="clear" w:color="auto" w:fill="FFFFFF"/>
        </w:rPr>
        <w:t>accessed 20 Mar. 2026.</w:t>
      </w:r>
    </w:p>
  </w:footnote>
  <w:footnote w:id="5">
    <w:p w14:paraId="4685D882" w14:textId="7A37DD60" w:rsidR="00F06D58" w:rsidRPr="004A04E2" w:rsidRDefault="00F06D58">
      <w:pPr>
        <w:pStyle w:val="FootnoteText"/>
        <w:rPr>
          <w:rFonts w:ascii="Calibri" w:hAnsi="Calibri" w:cs="Calibri"/>
          <w:color w:val="000000" w:themeColor="text1"/>
        </w:rPr>
      </w:pPr>
      <w:r w:rsidRPr="004A04E2">
        <w:rPr>
          <w:rStyle w:val="FootnoteReference"/>
          <w:rFonts w:ascii="Calibri" w:hAnsi="Calibri" w:cs="Calibri"/>
          <w:color w:val="000000" w:themeColor="text1"/>
        </w:rPr>
        <w:footnoteRef/>
      </w:r>
      <w:r w:rsidRPr="004A04E2">
        <w:rPr>
          <w:rFonts w:ascii="Calibri" w:hAnsi="Calibri" w:cs="Calibri"/>
          <w:color w:val="000000" w:themeColor="text1"/>
        </w:rPr>
        <w:t xml:space="preserve"> </w:t>
      </w:r>
      <w:r w:rsidRPr="004A04E2">
        <w:rPr>
          <w:rFonts w:ascii="Calibri" w:hAnsi="Calibri" w:cs="Calibri"/>
          <w:color w:val="000000" w:themeColor="text1"/>
        </w:rPr>
        <w:t xml:space="preserve">Ibid., [https://moodle.uwtsd.ac.uk/course/view.php?id=13501] </w:t>
      </w:r>
      <w:r w:rsidRPr="004A04E2">
        <w:rPr>
          <w:rStyle w:val="accessed-date"/>
          <w:rFonts w:ascii="Calibri" w:hAnsi="Calibri" w:cs="Calibri"/>
          <w:color w:val="000000" w:themeColor="text1"/>
          <w:bdr w:val="none" w:sz="0" w:space="0" w:color="auto" w:frame="1"/>
          <w:shd w:val="clear" w:color="auto" w:fill="FFFFFF"/>
        </w:rPr>
        <w:t>accessed 20 Mar. 2026.</w:t>
      </w:r>
    </w:p>
  </w:footnote>
  <w:footnote w:id="6">
    <w:p w14:paraId="1B72702C" w14:textId="4F5BCECD" w:rsidR="00F06D58" w:rsidRPr="004A04E2" w:rsidRDefault="00F06D58">
      <w:pPr>
        <w:pStyle w:val="FootnoteText"/>
        <w:rPr>
          <w:rFonts w:ascii="Calibri" w:hAnsi="Calibri" w:cs="Calibri"/>
          <w:color w:val="000000" w:themeColor="text1"/>
        </w:rPr>
      </w:pPr>
      <w:r w:rsidRPr="004A04E2">
        <w:rPr>
          <w:rStyle w:val="FootnoteReference"/>
          <w:rFonts w:ascii="Calibri" w:hAnsi="Calibri" w:cs="Calibri"/>
          <w:color w:val="000000" w:themeColor="text1"/>
        </w:rPr>
        <w:footnoteRef/>
      </w:r>
      <w:r w:rsidRPr="004A04E2">
        <w:rPr>
          <w:rFonts w:ascii="Calibri" w:hAnsi="Calibri" w:cs="Calibri"/>
          <w:color w:val="000000" w:themeColor="text1"/>
        </w:rPr>
        <w:t xml:space="preserve"> </w:t>
      </w:r>
      <w:r w:rsidRPr="004A04E2">
        <w:rPr>
          <w:rFonts w:ascii="Calibri" w:hAnsi="Calibri" w:cs="Calibri"/>
          <w:color w:val="000000" w:themeColor="text1"/>
        </w:rPr>
        <w:t xml:space="preserve">Ibid., [https://moodle.uwtsd.ac.uk/course/view.php?id=13501] </w:t>
      </w:r>
      <w:r w:rsidRPr="004A04E2">
        <w:rPr>
          <w:rStyle w:val="accessed-date"/>
          <w:rFonts w:ascii="Calibri" w:hAnsi="Calibri" w:cs="Calibri"/>
          <w:color w:val="000000" w:themeColor="text1"/>
          <w:bdr w:val="none" w:sz="0" w:space="0" w:color="auto" w:frame="1"/>
          <w:shd w:val="clear" w:color="auto" w:fill="FFFFFF"/>
        </w:rPr>
        <w:t>accessed 20 Mar. 2026.</w:t>
      </w:r>
    </w:p>
  </w:footnote>
  <w:footnote w:id="7">
    <w:p w14:paraId="3A255257" w14:textId="1167428F" w:rsidR="00F06D58" w:rsidRPr="004A04E2" w:rsidRDefault="00F06D58">
      <w:pPr>
        <w:pStyle w:val="FootnoteText"/>
        <w:rPr>
          <w:rFonts w:ascii="Calibri" w:hAnsi="Calibri" w:cs="Calibri"/>
          <w:color w:val="000000" w:themeColor="text1"/>
        </w:rPr>
      </w:pPr>
      <w:r w:rsidRPr="004A04E2">
        <w:rPr>
          <w:rStyle w:val="FootnoteReference"/>
          <w:rFonts w:ascii="Calibri" w:hAnsi="Calibri" w:cs="Calibri"/>
          <w:color w:val="000000" w:themeColor="text1"/>
        </w:rPr>
        <w:footnoteRef/>
      </w:r>
      <w:r w:rsidRPr="004A04E2">
        <w:rPr>
          <w:rFonts w:ascii="Calibri" w:hAnsi="Calibri" w:cs="Calibri"/>
          <w:color w:val="000000" w:themeColor="text1"/>
        </w:rPr>
        <w:t xml:space="preserve"> </w:t>
      </w:r>
      <w:r w:rsidRPr="004A04E2">
        <w:rPr>
          <w:rFonts w:ascii="Calibri" w:hAnsi="Calibri" w:cs="Calibri"/>
          <w:color w:val="000000" w:themeColor="text1"/>
        </w:rPr>
        <w:t xml:space="preserve">Ibid., [https://moodle.uwtsd.ac.uk/course/view.php?id=13501] </w:t>
      </w:r>
      <w:r w:rsidRPr="004A04E2">
        <w:rPr>
          <w:rStyle w:val="accessed-date"/>
          <w:rFonts w:ascii="Calibri" w:hAnsi="Calibri" w:cs="Calibri"/>
          <w:color w:val="000000" w:themeColor="text1"/>
          <w:bdr w:val="none" w:sz="0" w:space="0" w:color="auto" w:frame="1"/>
          <w:shd w:val="clear" w:color="auto" w:fill="FFFFFF"/>
        </w:rPr>
        <w:t>accessed 20 Mar. 2026.</w:t>
      </w:r>
    </w:p>
  </w:footnote>
  <w:footnote w:id="8">
    <w:p w14:paraId="2D60BD50" w14:textId="6B16EBFA" w:rsidR="00F06D58" w:rsidRPr="004A04E2" w:rsidRDefault="00F06D58">
      <w:pPr>
        <w:pStyle w:val="FootnoteText"/>
        <w:rPr>
          <w:rFonts w:ascii="Calibri" w:hAnsi="Calibri" w:cs="Calibri"/>
          <w:color w:val="000000" w:themeColor="text1"/>
        </w:rPr>
      </w:pPr>
      <w:r w:rsidRPr="004A04E2">
        <w:rPr>
          <w:rStyle w:val="FootnoteReference"/>
          <w:rFonts w:ascii="Calibri" w:hAnsi="Calibri" w:cs="Calibri"/>
          <w:color w:val="000000" w:themeColor="text1"/>
        </w:rPr>
        <w:footnoteRef/>
      </w:r>
      <w:r w:rsidRPr="004A04E2">
        <w:rPr>
          <w:rFonts w:ascii="Calibri" w:hAnsi="Calibri" w:cs="Calibri"/>
          <w:color w:val="000000" w:themeColor="text1"/>
        </w:rPr>
        <w:t xml:space="preserve"> </w:t>
      </w:r>
      <w:r w:rsidRPr="004A04E2">
        <w:rPr>
          <w:rFonts w:ascii="Calibri" w:hAnsi="Calibri" w:cs="Calibri"/>
          <w:color w:val="000000" w:themeColor="text1"/>
        </w:rPr>
        <w:t xml:space="preserve">Ibid., [https://moodle.uwtsd.ac.uk/course/view.php?id=13501] </w:t>
      </w:r>
      <w:r w:rsidRPr="004A04E2">
        <w:rPr>
          <w:rStyle w:val="accessed-date"/>
          <w:rFonts w:ascii="Calibri" w:hAnsi="Calibri" w:cs="Calibri"/>
          <w:color w:val="000000" w:themeColor="text1"/>
          <w:bdr w:val="none" w:sz="0" w:space="0" w:color="auto" w:frame="1"/>
          <w:shd w:val="clear" w:color="auto" w:fill="FFFFFF"/>
        </w:rPr>
        <w:t>accessed 20 Mar. 2026.</w:t>
      </w:r>
    </w:p>
  </w:footnote>
  <w:footnote w:id="9">
    <w:p w14:paraId="4AB38D97" w14:textId="202BDB90" w:rsidR="00F06D58" w:rsidRPr="004A04E2" w:rsidRDefault="00F06D58">
      <w:pPr>
        <w:pStyle w:val="FootnoteText"/>
        <w:rPr>
          <w:rFonts w:ascii="Calibri" w:hAnsi="Calibri" w:cs="Calibri"/>
          <w:color w:val="000000" w:themeColor="text1"/>
        </w:rPr>
      </w:pPr>
      <w:r w:rsidRPr="004A04E2">
        <w:rPr>
          <w:rStyle w:val="FootnoteReference"/>
          <w:rFonts w:ascii="Calibri" w:hAnsi="Calibri" w:cs="Calibri"/>
          <w:color w:val="000000" w:themeColor="text1"/>
        </w:rPr>
        <w:footnoteRef/>
      </w:r>
      <w:r w:rsidRPr="004A04E2">
        <w:rPr>
          <w:rFonts w:ascii="Calibri" w:hAnsi="Calibri" w:cs="Calibri"/>
          <w:color w:val="000000" w:themeColor="text1"/>
        </w:rPr>
        <w:t xml:space="preserve"> </w:t>
      </w:r>
      <w:r w:rsidRPr="004A04E2">
        <w:rPr>
          <w:rFonts w:ascii="Calibri" w:hAnsi="Calibri" w:cs="Calibri"/>
          <w:color w:val="000000" w:themeColor="text1"/>
        </w:rPr>
        <w:t xml:space="preserve">Ibid., [https://moodle.uwtsd.ac.uk/course/view.php?id=13501] </w:t>
      </w:r>
      <w:r w:rsidRPr="004A04E2">
        <w:rPr>
          <w:rStyle w:val="accessed-date"/>
          <w:rFonts w:ascii="Calibri" w:hAnsi="Calibri" w:cs="Calibri"/>
          <w:color w:val="000000" w:themeColor="text1"/>
          <w:bdr w:val="none" w:sz="0" w:space="0" w:color="auto" w:frame="1"/>
          <w:shd w:val="clear" w:color="auto" w:fill="FFFFFF"/>
        </w:rPr>
        <w:t>accessed 20 Mar. 2026.</w:t>
      </w:r>
    </w:p>
  </w:footnote>
  <w:footnote w:id="10">
    <w:p w14:paraId="160A4C43" w14:textId="7A9A24B3" w:rsidR="00F06D58" w:rsidRPr="004A04E2" w:rsidRDefault="00F06D58">
      <w:pPr>
        <w:pStyle w:val="FootnoteText"/>
        <w:rPr>
          <w:rFonts w:ascii="Calibri" w:hAnsi="Calibri" w:cs="Calibri"/>
          <w:color w:val="000000" w:themeColor="text1"/>
        </w:rPr>
      </w:pPr>
      <w:r w:rsidRPr="004A04E2">
        <w:rPr>
          <w:rStyle w:val="FootnoteReference"/>
          <w:rFonts w:ascii="Calibri" w:hAnsi="Calibri" w:cs="Calibri"/>
          <w:color w:val="000000" w:themeColor="text1"/>
        </w:rPr>
        <w:footnoteRef/>
      </w:r>
      <w:r w:rsidRPr="004A04E2">
        <w:rPr>
          <w:rFonts w:ascii="Calibri" w:hAnsi="Calibri" w:cs="Calibri"/>
          <w:color w:val="000000" w:themeColor="text1"/>
        </w:rPr>
        <w:t xml:space="preserve"> </w:t>
      </w:r>
      <w:r w:rsidRPr="004A04E2">
        <w:rPr>
          <w:rFonts w:ascii="Calibri" w:hAnsi="Calibri" w:cs="Calibri"/>
          <w:color w:val="000000" w:themeColor="text1"/>
        </w:rPr>
        <w:t xml:space="preserve">Ibid., [https://moodle.uwtsd.ac.uk/course/view.php?id=13501] </w:t>
      </w:r>
      <w:r w:rsidRPr="004A04E2">
        <w:rPr>
          <w:rStyle w:val="accessed-date"/>
          <w:rFonts w:ascii="Calibri" w:hAnsi="Calibri" w:cs="Calibri"/>
          <w:color w:val="000000" w:themeColor="text1"/>
          <w:bdr w:val="none" w:sz="0" w:space="0" w:color="auto" w:frame="1"/>
          <w:shd w:val="clear" w:color="auto" w:fill="FFFFFF"/>
        </w:rPr>
        <w:t>accessed 20 Mar. 2026.</w:t>
      </w:r>
    </w:p>
  </w:footnote>
  <w:footnote w:id="11">
    <w:p w14:paraId="4E260C6C" w14:textId="1AD69D36" w:rsidR="00F06D58" w:rsidRPr="004A04E2" w:rsidRDefault="00F06D58">
      <w:pPr>
        <w:pStyle w:val="FootnoteText"/>
        <w:rPr>
          <w:rFonts w:ascii="Calibri" w:hAnsi="Calibri" w:cs="Calibri"/>
          <w:color w:val="000000" w:themeColor="text1"/>
        </w:rPr>
      </w:pPr>
      <w:r w:rsidRPr="004A04E2">
        <w:rPr>
          <w:rStyle w:val="FootnoteReference"/>
          <w:rFonts w:ascii="Calibri" w:hAnsi="Calibri" w:cs="Calibri"/>
          <w:color w:val="000000" w:themeColor="text1"/>
        </w:rPr>
        <w:footnoteRef/>
      </w:r>
      <w:r w:rsidRPr="004A04E2">
        <w:rPr>
          <w:rFonts w:ascii="Calibri" w:hAnsi="Calibri" w:cs="Calibri"/>
          <w:color w:val="000000" w:themeColor="text1"/>
        </w:rPr>
        <w:t xml:space="preserve"> </w:t>
      </w:r>
      <w:r w:rsidRPr="004A04E2">
        <w:rPr>
          <w:rFonts w:ascii="Calibri" w:hAnsi="Calibri" w:cs="Calibri"/>
          <w:color w:val="000000" w:themeColor="text1"/>
        </w:rPr>
        <w:t xml:space="preserve">Ibid., [https://moodle.uwtsd.ac.uk/course/view.php?id=13501] </w:t>
      </w:r>
      <w:r w:rsidRPr="004A04E2">
        <w:rPr>
          <w:rStyle w:val="accessed-date"/>
          <w:rFonts w:ascii="Calibri" w:hAnsi="Calibri" w:cs="Calibri"/>
          <w:color w:val="000000" w:themeColor="text1"/>
          <w:bdr w:val="none" w:sz="0" w:space="0" w:color="auto" w:frame="1"/>
          <w:shd w:val="clear" w:color="auto" w:fill="FFFFFF"/>
        </w:rPr>
        <w:t>accessed 20 Mar. 2026.</w:t>
      </w:r>
    </w:p>
  </w:footnote>
  <w:footnote w:id="12">
    <w:p w14:paraId="3101D92F" w14:textId="320A16CF" w:rsidR="00F06D58" w:rsidRPr="004A04E2" w:rsidRDefault="00F06D58">
      <w:pPr>
        <w:pStyle w:val="FootnoteText"/>
        <w:rPr>
          <w:rFonts w:ascii="Calibri" w:hAnsi="Calibri" w:cs="Calibri"/>
          <w:color w:val="000000" w:themeColor="text1"/>
        </w:rPr>
      </w:pPr>
      <w:r w:rsidRPr="004A04E2">
        <w:rPr>
          <w:rStyle w:val="FootnoteReference"/>
          <w:rFonts w:ascii="Calibri" w:hAnsi="Calibri" w:cs="Calibri"/>
          <w:color w:val="000000" w:themeColor="text1"/>
        </w:rPr>
        <w:footnoteRef/>
      </w:r>
      <w:r w:rsidRPr="004A04E2">
        <w:rPr>
          <w:rFonts w:ascii="Calibri" w:hAnsi="Calibri" w:cs="Calibri"/>
          <w:color w:val="000000" w:themeColor="text1"/>
        </w:rPr>
        <w:t xml:space="preserve"> </w:t>
      </w:r>
      <w:r w:rsidRPr="004A04E2">
        <w:rPr>
          <w:rFonts w:ascii="Calibri" w:hAnsi="Calibri" w:cs="Calibri"/>
          <w:color w:val="000000" w:themeColor="text1"/>
        </w:rPr>
        <w:t xml:space="preserve">Ibid., [https://moodle.uwtsd.ac.uk/course/view.php?id=13501] </w:t>
      </w:r>
      <w:r w:rsidRPr="004A04E2">
        <w:rPr>
          <w:rStyle w:val="accessed-date"/>
          <w:rFonts w:ascii="Calibri" w:hAnsi="Calibri" w:cs="Calibri"/>
          <w:color w:val="000000" w:themeColor="text1"/>
          <w:bdr w:val="none" w:sz="0" w:space="0" w:color="auto" w:frame="1"/>
          <w:shd w:val="clear" w:color="auto" w:fill="FFFFFF"/>
        </w:rPr>
        <w:t>accessed 20 Mar. 2026.</w:t>
      </w:r>
    </w:p>
  </w:footnote>
  <w:footnote w:id="13">
    <w:p w14:paraId="20AF57EC" w14:textId="0DC0225E" w:rsidR="00F06D58" w:rsidRPr="004A04E2" w:rsidRDefault="00F06D58">
      <w:pPr>
        <w:pStyle w:val="FootnoteText"/>
        <w:rPr>
          <w:rFonts w:ascii="Calibri" w:hAnsi="Calibri" w:cs="Calibri"/>
          <w:color w:val="000000" w:themeColor="text1"/>
        </w:rPr>
      </w:pPr>
      <w:r w:rsidRPr="004A04E2">
        <w:rPr>
          <w:rStyle w:val="FootnoteReference"/>
          <w:rFonts w:ascii="Calibri" w:hAnsi="Calibri" w:cs="Calibri"/>
          <w:color w:val="000000" w:themeColor="text1"/>
        </w:rPr>
        <w:footnoteRef/>
      </w:r>
      <w:r w:rsidRPr="004A04E2">
        <w:rPr>
          <w:rFonts w:ascii="Calibri" w:hAnsi="Calibri" w:cs="Calibri"/>
          <w:color w:val="000000" w:themeColor="text1"/>
        </w:rPr>
        <w:t xml:space="preserve"> </w:t>
      </w:r>
      <w:r w:rsidRPr="004A04E2">
        <w:rPr>
          <w:rFonts w:ascii="Calibri" w:hAnsi="Calibri" w:cs="Calibri"/>
          <w:color w:val="000000" w:themeColor="text1"/>
        </w:rPr>
        <w:t xml:space="preserve">Ibid., [https://moodle.uwtsd.ac.uk/course/view.php?id=13501] </w:t>
      </w:r>
      <w:r w:rsidRPr="004A04E2">
        <w:rPr>
          <w:rStyle w:val="accessed-date"/>
          <w:rFonts w:ascii="Calibri" w:hAnsi="Calibri" w:cs="Calibri"/>
          <w:color w:val="000000" w:themeColor="text1"/>
          <w:bdr w:val="none" w:sz="0" w:space="0" w:color="auto" w:frame="1"/>
          <w:shd w:val="clear" w:color="auto" w:fill="FFFFFF"/>
        </w:rPr>
        <w:t>accessed 20 Mar. 2026.</w:t>
      </w:r>
    </w:p>
  </w:footnote>
  <w:footnote w:id="14">
    <w:p w14:paraId="65FEF97E" w14:textId="22ADE8F8" w:rsidR="002F44A5" w:rsidRPr="004A04E2" w:rsidRDefault="002F44A5">
      <w:pPr>
        <w:pStyle w:val="FootnoteText"/>
        <w:rPr>
          <w:rFonts w:ascii="Calibri" w:hAnsi="Calibri" w:cs="Calibri"/>
          <w:color w:val="000000" w:themeColor="text1"/>
        </w:rPr>
      </w:pPr>
      <w:r w:rsidRPr="004A04E2">
        <w:rPr>
          <w:rStyle w:val="FootnoteReference"/>
          <w:rFonts w:ascii="Calibri" w:hAnsi="Calibri" w:cs="Calibri"/>
          <w:color w:val="000000" w:themeColor="text1"/>
        </w:rPr>
        <w:footnoteRef/>
      </w:r>
      <w:r w:rsidRPr="004A04E2">
        <w:rPr>
          <w:rFonts w:ascii="Calibri" w:hAnsi="Calibri" w:cs="Calibri"/>
          <w:color w:val="000000" w:themeColor="text1"/>
        </w:rPr>
        <w:t xml:space="preserve"> </w:t>
      </w:r>
      <w:r w:rsidRPr="004A04E2">
        <w:rPr>
          <w:rFonts w:ascii="Calibri" w:hAnsi="Calibri" w:cs="Calibri"/>
          <w:color w:val="000000" w:themeColor="text1"/>
        </w:rPr>
        <w:t xml:space="preserve">Emily A. Winkler, </w:t>
      </w:r>
      <w:r w:rsidRPr="004A04E2">
        <w:rPr>
          <w:rFonts w:ascii="Calibri" w:hAnsi="Calibri" w:cs="Calibri"/>
          <w:i/>
          <w:iCs/>
          <w:color w:val="000000" w:themeColor="text1"/>
        </w:rPr>
        <w:t>The Norman Conquest of the Classical Past: William of Poitiers, Language and History</w:t>
      </w:r>
      <w:r w:rsidR="004A04E2" w:rsidRPr="004A04E2">
        <w:rPr>
          <w:rFonts w:ascii="Calibri" w:hAnsi="Calibri" w:cs="Calibri"/>
          <w:i/>
          <w:iCs/>
          <w:color w:val="000000" w:themeColor="text1"/>
        </w:rPr>
        <w:t>,</w:t>
      </w:r>
      <w:r w:rsidRPr="004A04E2">
        <w:rPr>
          <w:rFonts w:ascii="Calibri" w:hAnsi="Calibri" w:cs="Calibri"/>
          <w:color w:val="000000" w:themeColor="text1"/>
        </w:rPr>
        <w:t xml:space="preserve"> </w:t>
      </w:r>
      <w:r w:rsidR="00CC3551" w:rsidRPr="004A04E2">
        <w:rPr>
          <w:rFonts w:ascii="Calibri" w:hAnsi="Calibri" w:cs="Calibri"/>
          <w:color w:val="000000" w:themeColor="text1"/>
        </w:rPr>
        <w:t>[</w:t>
      </w:r>
      <w:r w:rsidR="00CC3551" w:rsidRPr="004A04E2">
        <w:rPr>
          <w:rFonts w:ascii="Calibri" w:hAnsi="Calibri" w:cs="Calibri"/>
          <w:color w:val="000000" w:themeColor="text1"/>
        </w:rPr>
        <w:t>https://discovery.ucl.ac.uk/id/eprint/1495348/1/Winkler_EAW%20JMH%20Article%20Open%20Access%20Deposit%202016.pdf</w:t>
      </w:r>
      <w:r w:rsidR="00CC3551" w:rsidRPr="004A04E2">
        <w:rPr>
          <w:rFonts w:ascii="Calibri" w:hAnsi="Calibri" w:cs="Calibri"/>
          <w:color w:val="000000" w:themeColor="text1"/>
        </w:rPr>
        <w:t xml:space="preserve">] </w:t>
      </w:r>
      <w:r w:rsidR="00CC3551" w:rsidRPr="004A04E2">
        <w:rPr>
          <w:rStyle w:val="accessed-date"/>
          <w:rFonts w:ascii="Calibri" w:hAnsi="Calibri" w:cs="Calibri"/>
          <w:color w:val="000000" w:themeColor="text1"/>
          <w:bdr w:val="none" w:sz="0" w:space="0" w:color="auto" w:frame="1"/>
          <w:shd w:val="clear" w:color="auto" w:fill="FFFFFF"/>
        </w:rPr>
        <w:t>accessed 2</w:t>
      </w:r>
      <w:r w:rsidR="00CC3551" w:rsidRPr="004A04E2">
        <w:rPr>
          <w:rStyle w:val="accessed-date"/>
          <w:rFonts w:ascii="Calibri" w:hAnsi="Calibri" w:cs="Calibri"/>
          <w:color w:val="000000" w:themeColor="text1"/>
          <w:bdr w:val="none" w:sz="0" w:space="0" w:color="auto" w:frame="1"/>
          <w:shd w:val="clear" w:color="auto" w:fill="FFFFFF"/>
        </w:rPr>
        <w:t>4</w:t>
      </w:r>
      <w:r w:rsidR="00CC3551" w:rsidRPr="004A04E2">
        <w:rPr>
          <w:rStyle w:val="accessed-date"/>
          <w:rFonts w:ascii="Calibri" w:hAnsi="Calibri" w:cs="Calibri"/>
          <w:color w:val="000000" w:themeColor="text1"/>
          <w:bdr w:val="none" w:sz="0" w:space="0" w:color="auto" w:frame="1"/>
          <w:shd w:val="clear" w:color="auto" w:fill="FFFFFF"/>
        </w:rPr>
        <w:t xml:space="preserve"> Mar. 2026.</w:t>
      </w:r>
    </w:p>
  </w:footnote>
  <w:footnote w:id="15">
    <w:p w14:paraId="72065325" w14:textId="6065D954" w:rsidR="00F06D58" w:rsidRPr="004A04E2" w:rsidRDefault="00F06D58">
      <w:pPr>
        <w:pStyle w:val="FootnoteText"/>
        <w:rPr>
          <w:rFonts w:ascii="Calibri" w:hAnsi="Calibri" w:cs="Calibri"/>
          <w:color w:val="000000" w:themeColor="text1"/>
        </w:rPr>
      </w:pPr>
      <w:r w:rsidRPr="004A04E2">
        <w:rPr>
          <w:rStyle w:val="FootnoteReference"/>
          <w:rFonts w:ascii="Calibri" w:hAnsi="Calibri" w:cs="Calibri"/>
          <w:color w:val="000000" w:themeColor="text1"/>
        </w:rPr>
        <w:footnoteRef/>
      </w:r>
      <w:r w:rsidRPr="004A04E2">
        <w:rPr>
          <w:rFonts w:ascii="Calibri" w:hAnsi="Calibri" w:cs="Calibri"/>
          <w:color w:val="000000" w:themeColor="text1"/>
        </w:rPr>
        <w:t xml:space="preserve"> </w:t>
      </w:r>
      <w:r w:rsidRPr="004A04E2">
        <w:rPr>
          <w:rFonts w:ascii="Calibri" w:hAnsi="Calibri" w:cs="Calibri"/>
          <w:color w:val="000000" w:themeColor="text1"/>
        </w:rPr>
        <w:t xml:space="preserve">William of Poitiers, </w:t>
      </w:r>
      <w:proofErr w:type="spellStart"/>
      <w:r w:rsidRPr="004A04E2">
        <w:rPr>
          <w:rFonts w:ascii="Calibri" w:hAnsi="Calibri" w:cs="Calibri"/>
          <w:i/>
          <w:iCs/>
          <w:color w:val="000000" w:themeColor="text1"/>
        </w:rPr>
        <w:t>Gesta</w:t>
      </w:r>
      <w:proofErr w:type="spellEnd"/>
      <w:r w:rsidRPr="004A04E2">
        <w:rPr>
          <w:rFonts w:ascii="Calibri" w:hAnsi="Calibri" w:cs="Calibri"/>
          <w:i/>
          <w:iCs/>
          <w:color w:val="000000" w:themeColor="text1"/>
        </w:rPr>
        <w:t xml:space="preserve"> </w:t>
      </w:r>
      <w:proofErr w:type="spellStart"/>
      <w:r w:rsidRPr="004A04E2">
        <w:rPr>
          <w:rFonts w:ascii="Calibri" w:hAnsi="Calibri" w:cs="Calibri"/>
          <w:i/>
          <w:iCs/>
          <w:color w:val="000000" w:themeColor="text1"/>
        </w:rPr>
        <w:t>Guillelmi</w:t>
      </w:r>
      <w:proofErr w:type="spellEnd"/>
      <w:r w:rsidRPr="004A04E2">
        <w:rPr>
          <w:rFonts w:ascii="Calibri" w:hAnsi="Calibri" w:cs="Calibri"/>
          <w:i/>
          <w:iCs/>
          <w:color w:val="000000" w:themeColor="text1"/>
        </w:rPr>
        <w:t xml:space="preserve"> [1070s</w:t>
      </w:r>
      <w:r w:rsidRPr="004A04E2">
        <w:rPr>
          <w:rFonts w:ascii="Calibri" w:hAnsi="Calibri" w:cs="Calibri"/>
          <w:color w:val="000000" w:themeColor="text1"/>
        </w:rPr>
        <w:t xml:space="preserve">] 1066 Sources Handout, [https://moodle.uwtsd.ac.uk/course/view.php?id=13501] </w:t>
      </w:r>
      <w:r w:rsidRPr="004A04E2">
        <w:rPr>
          <w:rStyle w:val="accessed-date"/>
          <w:rFonts w:ascii="Calibri" w:hAnsi="Calibri" w:cs="Calibri"/>
          <w:color w:val="000000" w:themeColor="text1"/>
          <w:bdr w:val="none" w:sz="0" w:space="0" w:color="auto" w:frame="1"/>
          <w:shd w:val="clear" w:color="auto" w:fill="FFFFFF"/>
        </w:rPr>
        <w:t>accessed 20 Mar. 2026.</w:t>
      </w:r>
    </w:p>
  </w:footnote>
  <w:footnote w:id="16">
    <w:p w14:paraId="7B07774C" w14:textId="1C33C15D" w:rsidR="00F06D58" w:rsidRPr="004A04E2" w:rsidRDefault="00F06D58">
      <w:pPr>
        <w:pStyle w:val="FootnoteText"/>
        <w:rPr>
          <w:rFonts w:ascii="Calibri" w:hAnsi="Calibri" w:cs="Calibri"/>
          <w:color w:val="000000" w:themeColor="text1"/>
        </w:rPr>
      </w:pPr>
      <w:r w:rsidRPr="004A04E2">
        <w:rPr>
          <w:rStyle w:val="FootnoteReference"/>
          <w:rFonts w:ascii="Calibri" w:hAnsi="Calibri" w:cs="Calibri"/>
          <w:color w:val="000000" w:themeColor="text1"/>
        </w:rPr>
        <w:footnoteRef/>
      </w:r>
      <w:r w:rsidRPr="004A04E2">
        <w:rPr>
          <w:rFonts w:ascii="Calibri" w:hAnsi="Calibri" w:cs="Calibri"/>
          <w:color w:val="000000" w:themeColor="text1"/>
        </w:rPr>
        <w:t xml:space="preserve"> </w:t>
      </w:r>
      <w:r w:rsidRPr="004A04E2">
        <w:rPr>
          <w:rFonts w:ascii="Calibri" w:hAnsi="Calibri" w:cs="Calibri"/>
          <w:color w:val="000000" w:themeColor="text1"/>
        </w:rPr>
        <w:t xml:space="preserve">Ibid., [https://moodle.uwtsd.ac.uk/course/view.php?id=13501] </w:t>
      </w:r>
      <w:r w:rsidRPr="004A04E2">
        <w:rPr>
          <w:rStyle w:val="accessed-date"/>
          <w:rFonts w:ascii="Calibri" w:hAnsi="Calibri" w:cs="Calibri"/>
          <w:color w:val="000000" w:themeColor="text1"/>
          <w:bdr w:val="none" w:sz="0" w:space="0" w:color="auto" w:frame="1"/>
          <w:shd w:val="clear" w:color="auto" w:fill="FFFFFF"/>
        </w:rPr>
        <w:t>accessed 20 Mar. 2026.</w:t>
      </w:r>
    </w:p>
  </w:footnote>
  <w:footnote w:id="17">
    <w:p w14:paraId="44E6F00A" w14:textId="63E743DB" w:rsidR="00F06D58" w:rsidRPr="004A04E2" w:rsidRDefault="00F06D58">
      <w:pPr>
        <w:pStyle w:val="FootnoteText"/>
        <w:rPr>
          <w:rFonts w:ascii="Calibri" w:hAnsi="Calibri" w:cs="Calibri"/>
          <w:color w:val="000000" w:themeColor="text1"/>
        </w:rPr>
      </w:pPr>
      <w:r w:rsidRPr="004A04E2">
        <w:rPr>
          <w:rStyle w:val="FootnoteReference"/>
          <w:rFonts w:ascii="Calibri" w:hAnsi="Calibri" w:cs="Calibri"/>
          <w:color w:val="000000" w:themeColor="text1"/>
        </w:rPr>
        <w:footnoteRef/>
      </w:r>
      <w:r w:rsidRPr="004A04E2">
        <w:rPr>
          <w:rFonts w:ascii="Calibri" w:hAnsi="Calibri" w:cs="Calibri"/>
          <w:color w:val="000000" w:themeColor="text1"/>
        </w:rPr>
        <w:t xml:space="preserve"> </w:t>
      </w:r>
      <w:r w:rsidRPr="004A04E2">
        <w:rPr>
          <w:rFonts w:ascii="Calibri" w:hAnsi="Calibri" w:cs="Calibri"/>
          <w:color w:val="000000" w:themeColor="text1"/>
        </w:rPr>
        <w:t xml:space="preserve">Ibid., [https://moodle.uwtsd.ac.uk/course/view.php?id=13501] </w:t>
      </w:r>
      <w:r w:rsidRPr="004A04E2">
        <w:rPr>
          <w:rStyle w:val="accessed-date"/>
          <w:rFonts w:ascii="Calibri" w:hAnsi="Calibri" w:cs="Calibri"/>
          <w:color w:val="000000" w:themeColor="text1"/>
          <w:bdr w:val="none" w:sz="0" w:space="0" w:color="auto" w:frame="1"/>
          <w:shd w:val="clear" w:color="auto" w:fill="FFFFFF"/>
        </w:rPr>
        <w:t>accessed 20 Mar. 2026.</w:t>
      </w:r>
    </w:p>
  </w:footnote>
  <w:footnote w:id="18">
    <w:p w14:paraId="6C3F734D" w14:textId="05898F09" w:rsidR="00F06D58" w:rsidRPr="004A04E2" w:rsidRDefault="00F06D58">
      <w:pPr>
        <w:pStyle w:val="FootnoteText"/>
        <w:rPr>
          <w:rFonts w:ascii="Calibri" w:hAnsi="Calibri" w:cs="Calibri"/>
          <w:color w:val="000000" w:themeColor="text1"/>
        </w:rPr>
      </w:pPr>
      <w:r w:rsidRPr="004A04E2">
        <w:rPr>
          <w:rStyle w:val="FootnoteReference"/>
          <w:rFonts w:ascii="Calibri" w:hAnsi="Calibri" w:cs="Calibri"/>
          <w:color w:val="000000" w:themeColor="text1"/>
        </w:rPr>
        <w:footnoteRef/>
      </w:r>
      <w:r w:rsidRPr="004A04E2">
        <w:rPr>
          <w:rFonts w:ascii="Calibri" w:hAnsi="Calibri" w:cs="Calibri"/>
          <w:color w:val="000000" w:themeColor="text1"/>
        </w:rPr>
        <w:t xml:space="preserve"> </w:t>
      </w:r>
      <w:r w:rsidRPr="004A04E2">
        <w:rPr>
          <w:rFonts w:ascii="Calibri" w:hAnsi="Calibri" w:cs="Calibri"/>
          <w:color w:val="000000" w:themeColor="text1"/>
        </w:rPr>
        <w:t xml:space="preserve">Ibid., [https://moodle.uwtsd.ac.uk/course/view.php?id=13501] </w:t>
      </w:r>
      <w:r w:rsidRPr="004A04E2">
        <w:rPr>
          <w:rStyle w:val="accessed-date"/>
          <w:rFonts w:ascii="Calibri" w:hAnsi="Calibri" w:cs="Calibri"/>
          <w:color w:val="000000" w:themeColor="text1"/>
          <w:bdr w:val="none" w:sz="0" w:space="0" w:color="auto" w:frame="1"/>
          <w:shd w:val="clear" w:color="auto" w:fill="FFFFFF"/>
        </w:rPr>
        <w:t>accessed 20 Mar. 2026.</w:t>
      </w:r>
    </w:p>
  </w:footnote>
  <w:footnote w:id="19">
    <w:p w14:paraId="1C1365E8" w14:textId="01F6D9B7" w:rsidR="00F06D58" w:rsidRPr="004A04E2" w:rsidRDefault="00F06D58">
      <w:pPr>
        <w:pStyle w:val="FootnoteText"/>
        <w:rPr>
          <w:rFonts w:ascii="Calibri" w:hAnsi="Calibri" w:cs="Calibri"/>
          <w:color w:val="000000" w:themeColor="text1"/>
        </w:rPr>
      </w:pPr>
      <w:r w:rsidRPr="004A04E2">
        <w:rPr>
          <w:rStyle w:val="FootnoteReference"/>
          <w:rFonts w:ascii="Calibri" w:hAnsi="Calibri" w:cs="Calibri"/>
          <w:color w:val="000000" w:themeColor="text1"/>
        </w:rPr>
        <w:footnoteRef/>
      </w:r>
      <w:r w:rsidRPr="004A04E2">
        <w:rPr>
          <w:rFonts w:ascii="Calibri" w:hAnsi="Calibri" w:cs="Calibri"/>
          <w:color w:val="000000" w:themeColor="text1"/>
        </w:rPr>
        <w:t xml:space="preserve"> </w:t>
      </w:r>
      <w:r w:rsidRPr="004A04E2">
        <w:rPr>
          <w:rFonts w:ascii="Calibri" w:hAnsi="Calibri" w:cs="Calibri"/>
          <w:color w:val="000000" w:themeColor="text1"/>
        </w:rPr>
        <w:t xml:space="preserve">Ibid., [https://moodle.uwtsd.ac.uk/course/view.php?id=13501] </w:t>
      </w:r>
      <w:r w:rsidRPr="004A04E2">
        <w:rPr>
          <w:rStyle w:val="accessed-date"/>
          <w:rFonts w:ascii="Calibri" w:hAnsi="Calibri" w:cs="Calibri"/>
          <w:color w:val="000000" w:themeColor="text1"/>
          <w:bdr w:val="none" w:sz="0" w:space="0" w:color="auto" w:frame="1"/>
          <w:shd w:val="clear" w:color="auto" w:fill="FFFFFF"/>
        </w:rPr>
        <w:t>accessed 20 Mar. 2026.</w:t>
      </w:r>
    </w:p>
  </w:footnote>
  <w:footnote w:id="20">
    <w:p w14:paraId="2D60DFEE" w14:textId="0D0D658D" w:rsidR="00CC3551" w:rsidRPr="004A04E2" w:rsidRDefault="00CC3551" w:rsidP="00CC3551">
      <w:pPr>
        <w:spacing w:before="40" w:after="40" w:line="276" w:lineRule="auto"/>
        <w:rPr>
          <w:rFonts w:ascii="Calibri" w:hAnsi="Calibri" w:cs="Calibri"/>
          <w:color w:val="000000" w:themeColor="text1"/>
          <w:sz w:val="20"/>
          <w:szCs w:val="20"/>
        </w:rPr>
      </w:pPr>
      <w:r w:rsidRPr="004A04E2">
        <w:rPr>
          <w:rStyle w:val="FootnoteReference"/>
          <w:rFonts w:ascii="Calibri" w:hAnsi="Calibri" w:cs="Calibri"/>
          <w:color w:val="000000" w:themeColor="text1"/>
          <w:sz w:val="20"/>
          <w:szCs w:val="20"/>
        </w:rPr>
        <w:footnoteRef/>
      </w:r>
      <w:r w:rsidRPr="004A04E2">
        <w:rPr>
          <w:rFonts w:ascii="Calibri" w:hAnsi="Calibri" w:cs="Calibri"/>
          <w:color w:val="000000" w:themeColor="text1"/>
          <w:sz w:val="20"/>
          <w:szCs w:val="20"/>
        </w:rPr>
        <w:t xml:space="preserve"> </w:t>
      </w:r>
      <w:r w:rsidRPr="004A04E2">
        <w:rPr>
          <w:rFonts w:ascii="Calibri" w:hAnsi="Calibri" w:cs="Calibri"/>
          <w:color w:val="000000" w:themeColor="text1"/>
          <w:sz w:val="20"/>
          <w:szCs w:val="20"/>
        </w:rPr>
        <w:t xml:space="preserve">Albu, </w:t>
      </w:r>
      <w:r w:rsidRPr="004A04E2">
        <w:rPr>
          <w:rFonts w:ascii="Calibri" w:hAnsi="Calibri" w:cs="Calibri"/>
          <w:i/>
          <w:iCs/>
          <w:color w:val="000000" w:themeColor="text1"/>
          <w:sz w:val="20"/>
          <w:szCs w:val="20"/>
        </w:rPr>
        <w:t>The Normans in their Histories: Propaganda, Myth and Subversion</w:t>
      </w:r>
      <w:r w:rsidR="004A04E2">
        <w:rPr>
          <w:rFonts w:ascii="Calibri" w:hAnsi="Calibri" w:cs="Calibri"/>
          <w:color w:val="000000" w:themeColor="text1"/>
          <w:sz w:val="20"/>
          <w:szCs w:val="20"/>
        </w:rPr>
        <w:t xml:space="preserve"> </w:t>
      </w:r>
      <w:r w:rsidRPr="004A04E2">
        <w:rPr>
          <w:rFonts w:ascii="Calibri" w:hAnsi="Calibri" w:cs="Calibri"/>
          <w:color w:val="000000" w:themeColor="text1"/>
          <w:sz w:val="20"/>
          <w:szCs w:val="20"/>
        </w:rPr>
        <w:t>[</w:t>
      </w:r>
      <w:r w:rsidRPr="004A04E2">
        <w:rPr>
          <w:rFonts w:ascii="Calibri" w:hAnsi="Calibri" w:cs="Calibri"/>
          <w:color w:val="000000" w:themeColor="text1"/>
          <w:sz w:val="20"/>
          <w:szCs w:val="20"/>
        </w:rPr>
        <w:t>https://moodle.uwtsd.ac.uk/course/view.php?id=13501</w:t>
      </w:r>
      <w:r w:rsidRPr="004A04E2">
        <w:rPr>
          <w:rFonts w:ascii="Calibri" w:hAnsi="Calibri" w:cs="Calibri"/>
          <w:color w:val="000000" w:themeColor="text1"/>
          <w:sz w:val="20"/>
          <w:szCs w:val="20"/>
        </w:rPr>
        <w:t>]</w:t>
      </w:r>
      <w:r w:rsidR="004A04E2">
        <w:rPr>
          <w:rFonts w:ascii="Calibri" w:hAnsi="Calibri" w:cs="Calibri"/>
          <w:color w:val="000000" w:themeColor="text1"/>
          <w:sz w:val="20"/>
          <w:szCs w:val="20"/>
        </w:rPr>
        <w:t xml:space="preserve"> </w:t>
      </w:r>
      <w:r w:rsidR="004A04E2" w:rsidRPr="004A04E2">
        <w:rPr>
          <w:rStyle w:val="accessed-date"/>
          <w:rFonts w:ascii="Calibri" w:hAnsi="Calibri" w:cs="Calibri"/>
          <w:color w:val="000000" w:themeColor="text1"/>
          <w:sz w:val="20"/>
          <w:szCs w:val="20"/>
          <w:bdr w:val="none" w:sz="0" w:space="0" w:color="auto" w:frame="1"/>
          <w:shd w:val="clear" w:color="auto" w:fill="FFFFFF"/>
        </w:rPr>
        <w:t>accessed 2</w:t>
      </w:r>
      <w:r w:rsidR="004A04E2">
        <w:rPr>
          <w:rStyle w:val="accessed-date"/>
          <w:rFonts w:ascii="Calibri" w:hAnsi="Calibri" w:cs="Calibri"/>
          <w:color w:val="000000" w:themeColor="text1"/>
          <w:sz w:val="20"/>
          <w:szCs w:val="20"/>
          <w:bdr w:val="none" w:sz="0" w:space="0" w:color="auto" w:frame="1"/>
          <w:shd w:val="clear" w:color="auto" w:fill="FFFFFF"/>
        </w:rPr>
        <w:t>5</w:t>
      </w:r>
      <w:r w:rsidR="004A04E2" w:rsidRPr="004A04E2">
        <w:rPr>
          <w:rStyle w:val="accessed-date"/>
          <w:rFonts w:ascii="Calibri" w:hAnsi="Calibri" w:cs="Calibri"/>
          <w:color w:val="000000" w:themeColor="text1"/>
          <w:sz w:val="20"/>
          <w:szCs w:val="20"/>
          <w:bdr w:val="none" w:sz="0" w:space="0" w:color="auto" w:frame="1"/>
          <w:shd w:val="clear" w:color="auto" w:fill="FFFFFF"/>
        </w:rPr>
        <w:t xml:space="preserve"> Mar. 2026.</w:t>
      </w:r>
    </w:p>
    <w:p w14:paraId="5F361E22" w14:textId="787B7E88" w:rsidR="00CC3551" w:rsidRDefault="00CC3551">
      <w:pPr>
        <w:pStyle w:val="FootnoteText"/>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25571CE"/>
    <w:multiLevelType w:val="hybridMultilevel"/>
    <w:tmpl w:val="8B7466EE"/>
    <w:lvl w:ilvl="0" w:tplc="4D38ACDA">
      <w:start w:val="1"/>
      <w:numFmt w:val="bullet"/>
      <w:lvlText w:val="●"/>
      <w:lvlJc w:val="left"/>
      <w:pPr>
        <w:ind w:left="720" w:hanging="360"/>
      </w:pPr>
    </w:lvl>
    <w:lvl w:ilvl="1" w:tplc="D0E8C9B2">
      <w:start w:val="1"/>
      <w:numFmt w:val="bullet"/>
      <w:lvlText w:val="○"/>
      <w:lvlJc w:val="left"/>
      <w:pPr>
        <w:ind w:left="1440" w:hanging="360"/>
      </w:pPr>
    </w:lvl>
    <w:lvl w:ilvl="2" w:tplc="4A561C4A">
      <w:start w:val="1"/>
      <w:numFmt w:val="bullet"/>
      <w:lvlText w:val="■"/>
      <w:lvlJc w:val="left"/>
      <w:pPr>
        <w:ind w:left="2160" w:hanging="360"/>
      </w:pPr>
    </w:lvl>
    <w:lvl w:ilvl="3" w:tplc="81B6B0FE">
      <w:start w:val="1"/>
      <w:numFmt w:val="bullet"/>
      <w:lvlText w:val="●"/>
      <w:lvlJc w:val="left"/>
      <w:pPr>
        <w:ind w:left="2880" w:hanging="360"/>
      </w:pPr>
    </w:lvl>
    <w:lvl w:ilvl="4" w:tplc="AF502C92">
      <w:start w:val="1"/>
      <w:numFmt w:val="bullet"/>
      <w:lvlText w:val="○"/>
      <w:lvlJc w:val="left"/>
      <w:pPr>
        <w:ind w:left="3600" w:hanging="360"/>
      </w:pPr>
    </w:lvl>
    <w:lvl w:ilvl="5" w:tplc="3B8AA830">
      <w:start w:val="1"/>
      <w:numFmt w:val="bullet"/>
      <w:lvlText w:val="■"/>
      <w:lvlJc w:val="left"/>
      <w:pPr>
        <w:ind w:left="4320" w:hanging="360"/>
      </w:pPr>
    </w:lvl>
    <w:lvl w:ilvl="6" w:tplc="B8CCEC4A">
      <w:start w:val="1"/>
      <w:numFmt w:val="bullet"/>
      <w:lvlText w:val="●"/>
      <w:lvlJc w:val="left"/>
      <w:pPr>
        <w:ind w:left="5040" w:hanging="360"/>
      </w:pPr>
    </w:lvl>
    <w:lvl w:ilvl="7" w:tplc="71F40DFA">
      <w:start w:val="1"/>
      <w:numFmt w:val="bullet"/>
      <w:lvlText w:val="●"/>
      <w:lvlJc w:val="left"/>
      <w:pPr>
        <w:ind w:left="5760" w:hanging="360"/>
      </w:pPr>
    </w:lvl>
    <w:lvl w:ilvl="8" w:tplc="9BFC8822">
      <w:start w:val="1"/>
      <w:numFmt w:val="bullet"/>
      <w:lvlText w:val="●"/>
      <w:lvlJc w:val="left"/>
      <w:pPr>
        <w:ind w:left="6480" w:hanging="360"/>
      </w:pPr>
    </w:lvl>
  </w:abstractNum>
  <w:num w:numId="1" w16cid:durableId="331760629">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316A9"/>
    <w:rsid w:val="002C6000"/>
    <w:rsid w:val="002F44A5"/>
    <w:rsid w:val="004A04E2"/>
    <w:rsid w:val="004A16DD"/>
    <w:rsid w:val="0057739A"/>
    <w:rsid w:val="00650272"/>
    <w:rsid w:val="00947088"/>
    <w:rsid w:val="00A316A9"/>
    <w:rsid w:val="00CC3551"/>
    <w:rsid w:val="00D562AC"/>
    <w:rsid w:val="00D8291B"/>
    <w:rsid w:val="00DB2910"/>
    <w:rsid w:val="00F06D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2F868F3"/>
  <w15:docId w15:val="{8CC31F92-DF9F-A143-A3FC-44365A9155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280" w:after="100"/>
      <w:outlineLvl w:val="0"/>
    </w:pPr>
    <w:rPr>
      <w:b/>
      <w:bCs/>
      <w:color w:val="1F3864"/>
      <w:sz w:val="32"/>
      <w:szCs w:val="32"/>
    </w:rPr>
  </w:style>
  <w:style w:type="paragraph" w:styleId="Heading2">
    <w:name w:val="heading 2"/>
    <w:uiPriority w:val="9"/>
    <w:unhideWhenUsed/>
    <w:qFormat/>
    <w:pPr>
      <w:spacing w:before="220" w:after="80"/>
      <w:outlineLvl w:val="1"/>
    </w:pPr>
    <w:rPr>
      <w:b/>
      <w:bCs/>
      <w:color w:val="2E5797"/>
      <w:sz w:val="26"/>
      <w:szCs w:val="26"/>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character" w:customStyle="1" w:styleId="contributors">
    <w:name w:val="contributors"/>
    <w:basedOn w:val="DefaultParagraphFont"/>
    <w:rsid w:val="002C6000"/>
  </w:style>
  <w:style w:type="character" w:customStyle="1" w:styleId="maintitle">
    <w:name w:val="maintitle"/>
    <w:basedOn w:val="DefaultParagraphFont"/>
    <w:rsid w:val="002C6000"/>
  </w:style>
  <w:style w:type="character" w:styleId="Emphasis">
    <w:name w:val="Emphasis"/>
    <w:basedOn w:val="DefaultParagraphFont"/>
    <w:uiPriority w:val="20"/>
    <w:qFormat/>
    <w:rsid w:val="002C6000"/>
    <w:rPr>
      <w:i/>
      <w:iCs/>
    </w:rPr>
  </w:style>
  <w:style w:type="character" w:customStyle="1" w:styleId="publisher-location">
    <w:name w:val="publisher-location"/>
    <w:basedOn w:val="DefaultParagraphFont"/>
    <w:rsid w:val="002C6000"/>
  </w:style>
  <w:style w:type="character" w:customStyle="1" w:styleId="print-publication-date">
    <w:name w:val="print-publication-date"/>
    <w:basedOn w:val="DefaultParagraphFont"/>
    <w:rsid w:val="002C6000"/>
  </w:style>
  <w:style w:type="character" w:customStyle="1" w:styleId="online-edition">
    <w:name w:val="online-edition"/>
    <w:basedOn w:val="DefaultParagraphFont"/>
    <w:rsid w:val="002C6000"/>
  </w:style>
  <w:style w:type="character" w:customStyle="1" w:styleId="containing-site">
    <w:name w:val="containing-site"/>
    <w:basedOn w:val="DefaultParagraphFont"/>
    <w:rsid w:val="002C6000"/>
  </w:style>
  <w:style w:type="character" w:customStyle="1" w:styleId="online-publication-date">
    <w:name w:val="online-publication-date"/>
    <w:basedOn w:val="DefaultParagraphFont"/>
    <w:rsid w:val="002C6000"/>
  </w:style>
  <w:style w:type="character" w:customStyle="1" w:styleId="accessed-date">
    <w:name w:val="accessed-date"/>
    <w:basedOn w:val="DefaultParagraphFont"/>
    <w:rsid w:val="002C6000"/>
  </w:style>
  <w:style w:type="character" w:styleId="UnresolvedMention">
    <w:name w:val="Unresolved Mention"/>
    <w:basedOn w:val="DefaultParagraphFont"/>
    <w:uiPriority w:val="99"/>
    <w:semiHidden/>
    <w:unhideWhenUsed/>
    <w:rsid w:val="00CC3551"/>
    <w:rPr>
      <w:color w:val="605E5C"/>
      <w:shd w:val="clear" w:color="auto" w:fill="E1DFDD"/>
    </w:rPr>
  </w:style>
  <w:style w:type="paragraph" w:styleId="Header">
    <w:name w:val="header"/>
    <w:basedOn w:val="Normal"/>
    <w:link w:val="HeaderChar"/>
    <w:uiPriority w:val="99"/>
    <w:unhideWhenUsed/>
    <w:rsid w:val="00F06D58"/>
    <w:pPr>
      <w:tabs>
        <w:tab w:val="center" w:pos="4513"/>
        <w:tab w:val="right" w:pos="9026"/>
      </w:tabs>
    </w:pPr>
  </w:style>
  <w:style w:type="character" w:customStyle="1" w:styleId="HeaderChar">
    <w:name w:val="Header Char"/>
    <w:basedOn w:val="DefaultParagraphFont"/>
    <w:link w:val="Header"/>
    <w:uiPriority w:val="99"/>
    <w:rsid w:val="00F06D58"/>
  </w:style>
  <w:style w:type="paragraph" w:styleId="Footer">
    <w:name w:val="footer"/>
    <w:basedOn w:val="Normal"/>
    <w:link w:val="FooterChar"/>
    <w:uiPriority w:val="99"/>
    <w:unhideWhenUsed/>
    <w:rsid w:val="00F06D58"/>
    <w:pPr>
      <w:tabs>
        <w:tab w:val="center" w:pos="4513"/>
        <w:tab w:val="right" w:pos="9026"/>
      </w:tabs>
    </w:pPr>
  </w:style>
  <w:style w:type="character" w:customStyle="1" w:styleId="FooterChar">
    <w:name w:val="Footer Char"/>
    <w:basedOn w:val="DefaultParagraphFont"/>
    <w:link w:val="Footer"/>
    <w:uiPriority w:val="99"/>
    <w:rsid w:val="00F06D58"/>
  </w:style>
  <w:style w:type="character" w:styleId="Strong">
    <w:name w:val="Strong"/>
    <w:basedOn w:val="DefaultParagraphFont"/>
    <w:uiPriority w:val="22"/>
    <w:qFormat/>
    <w:rsid w:val="00DB291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1" Type="http://schemas.openxmlformats.org/officeDocument/2006/relationships/hyperlink" Target="https://doi-org.uwtsd.idm.oclc.org/10.1093/acprof:oso/9780198207931.003.000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1FB47A-7FBF-E948-977F-766F54927D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4</Pages>
  <Words>1354</Words>
  <Characters>7611</Characters>
  <Application>Microsoft Office Word</Application>
  <DocSecurity>0</DocSecurity>
  <Lines>195</Lines>
  <Paragraphs>144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Kate Love (2321358)</cp:lastModifiedBy>
  <cp:revision>2</cp:revision>
  <dcterms:created xsi:type="dcterms:W3CDTF">2026-03-31T15:52:00Z</dcterms:created>
  <dcterms:modified xsi:type="dcterms:W3CDTF">2026-03-31T15:52:00Z</dcterms:modified>
</cp:coreProperties>
</file>