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E0C2D" w:rsidRPr="005E30DD" w:rsidRDefault="00E567A0">
      <w:pPr>
        <w:pStyle w:val="Title"/>
        <w:spacing w:line="360" w:lineRule="auto"/>
        <w:jc w:val="center"/>
        <w:rPr>
          <w:color w:val="000000" w:themeColor="text1"/>
          <w:sz w:val="44"/>
          <w:szCs w:val="44"/>
        </w:rPr>
      </w:pPr>
      <w:proofErr w:type="spellStart"/>
      <w:r w:rsidRPr="005E30DD">
        <w:rPr>
          <w:color w:val="000000" w:themeColor="text1"/>
          <w:sz w:val="44"/>
          <w:szCs w:val="44"/>
        </w:rPr>
        <w:t>Bsc</w:t>
      </w:r>
      <w:proofErr w:type="spellEnd"/>
      <w:r w:rsidRPr="005E30DD">
        <w:rPr>
          <w:color w:val="000000" w:themeColor="text1"/>
          <w:sz w:val="44"/>
          <w:szCs w:val="44"/>
        </w:rPr>
        <w:t xml:space="preserve"> Health and social care</w:t>
      </w:r>
    </w:p>
    <w:p w14:paraId="00000002" w14:textId="77777777" w:rsidR="005E0C2D" w:rsidRPr="005E30DD" w:rsidRDefault="00E567A0">
      <w:pPr>
        <w:pStyle w:val="Title"/>
        <w:spacing w:line="360" w:lineRule="auto"/>
        <w:jc w:val="center"/>
        <w:rPr>
          <w:color w:val="000000" w:themeColor="text1"/>
          <w:sz w:val="44"/>
          <w:szCs w:val="44"/>
        </w:rPr>
      </w:pPr>
      <w:r w:rsidRPr="005E30DD">
        <w:rPr>
          <w:color w:val="000000" w:themeColor="text1"/>
          <w:sz w:val="44"/>
          <w:szCs w:val="44"/>
        </w:rPr>
        <w:t>BMHP5023</w:t>
      </w:r>
    </w:p>
    <w:p w14:paraId="00000003" w14:textId="77777777" w:rsidR="005E0C2D" w:rsidRPr="005E30DD" w:rsidRDefault="00E567A0">
      <w:pPr>
        <w:pStyle w:val="Title"/>
        <w:spacing w:line="360" w:lineRule="auto"/>
        <w:jc w:val="center"/>
        <w:rPr>
          <w:color w:val="000000" w:themeColor="text1"/>
          <w:sz w:val="44"/>
          <w:szCs w:val="44"/>
        </w:rPr>
      </w:pPr>
      <w:r w:rsidRPr="005E30DD">
        <w:rPr>
          <w:color w:val="000000" w:themeColor="text1"/>
          <w:sz w:val="44"/>
          <w:szCs w:val="44"/>
        </w:rPr>
        <w:t>Introduction to Physiology</w:t>
      </w:r>
    </w:p>
    <w:p w14:paraId="00000004" w14:textId="77777777" w:rsidR="005E0C2D" w:rsidRPr="005E30DD" w:rsidRDefault="005E0C2D">
      <w:pPr>
        <w:pStyle w:val="Title"/>
        <w:rPr>
          <w:color w:val="000000" w:themeColor="text1"/>
          <w:sz w:val="32"/>
          <w:szCs w:val="32"/>
          <w:u w:val="single"/>
        </w:rPr>
      </w:pPr>
    </w:p>
    <w:p w14:paraId="00000005" w14:textId="77777777" w:rsidR="005E0C2D" w:rsidRPr="005E30DD" w:rsidRDefault="00E567A0">
      <w:pPr>
        <w:pStyle w:val="Title"/>
        <w:rPr>
          <w:color w:val="000000" w:themeColor="text1"/>
          <w:sz w:val="32"/>
          <w:szCs w:val="32"/>
        </w:rPr>
      </w:pPr>
      <w:r w:rsidRPr="005E30DD">
        <w:rPr>
          <w:color w:val="000000" w:themeColor="text1"/>
          <w:sz w:val="32"/>
          <w:szCs w:val="32"/>
        </w:rPr>
        <w:t>Student Number: 2407750</w:t>
      </w:r>
    </w:p>
    <w:p w14:paraId="00000006" w14:textId="77777777" w:rsidR="005E0C2D" w:rsidRPr="005E30DD" w:rsidRDefault="00E567A0">
      <w:pPr>
        <w:pStyle w:val="Title"/>
        <w:rPr>
          <w:color w:val="000000" w:themeColor="text1"/>
          <w:sz w:val="32"/>
          <w:szCs w:val="32"/>
        </w:rPr>
      </w:pPr>
      <w:r w:rsidRPr="005E30DD">
        <w:rPr>
          <w:color w:val="000000" w:themeColor="text1"/>
          <w:sz w:val="32"/>
          <w:szCs w:val="32"/>
        </w:rPr>
        <w:t>Student Name: Mohammed Mobeen Ali</w:t>
      </w:r>
    </w:p>
    <w:p w14:paraId="00000007" w14:textId="77777777" w:rsidR="005E0C2D" w:rsidRPr="005E30DD" w:rsidRDefault="00E567A0">
      <w:pPr>
        <w:pStyle w:val="Title"/>
        <w:rPr>
          <w:color w:val="000000" w:themeColor="text1"/>
          <w:sz w:val="32"/>
          <w:szCs w:val="32"/>
        </w:rPr>
      </w:pPr>
      <w:r w:rsidRPr="005E30DD">
        <w:rPr>
          <w:color w:val="000000" w:themeColor="text1"/>
          <w:sz w:val="32"/>
          <w:szCs w:val="32"/>
        </w:rPr>
        <w:t>Tutor Details: Robert Nartowski</w:t>
      </w:r>
    </w:p>
    <w:p w14:paraId="00000008" w14:textId="77777777" w:rsidR="005E0C2D" w:rsidRPr="005E30DD" w:rsidRDefault="00E567A0">
      <w:pPr>
        <w:pStyle w:val="Title"/>
        <w:rPr>
          <w:color w:val="000000" w:themeColor="text1"/>
          <w:sz w:val="32"/>
          <w:szCs w:val="32"/>
        </w:rPr>
      </w:pPr>
      <w:r w:rsidRPr="005E30DD">
        <w:rPr>
          <w:color w:val="000000" w:themeColor="text1"/>
          <w:sz w:val="32"/>
          <w:szCs w:val="32"/>
        </w:rPr>
        <w:t>Module Leader: Chloe Harries</w:t>
      </w:r>
    </w:p>
    <w:p w14:paraId="00000009" w14:textId="77777777" w:rsidR="005E0C2D" w:rsidRPr="005E30DD" w:rsidRDefault="005E0C2D">
      <w:pPr>
        <w:pStyle w:val="Title"/>
        <w:rPr>
          <w:color w:val="000000" w:themeColor="text1"/>
          <w:sz w:val="32"/>
          <w:szCs w:val="32"/>
        </w:rPr>
      </w:pPr>
    </w:p>
    <w:p w14:paraId="0000000A" w14:textId="77777777" w:rsidR="005E0C2D" w:rsidRPr="005E30DD" w:rsidRDefault="00E567A0">
      <w:pPr>
        <w:pStyle w:val="Title"/>
        <w:rPr>
          <w:color w:val="000000" w:themeColor="text1"/>
          <w:sz w:val="32"/>
          <w:szCs w:val="32"/>
        </w:rPr>
      </w:pPr>
      <w:r w:rsidRPr="005E30DD">
        <w:rPr>
          <w:color w:val="000000" w:themeColor="text1"/>
          <w:sz w:val="32"/>
          <w:szCs w:val="32"/>
        </w:rPr>
        <w:t>Written Assignment (Case study Report)</w:t>
      </w:r>
    </w:p>
    <w:p w14:paraId="0000000B" w14:textId="77777777" w:rsidR="005E0C2D" w:rsidRPr="005E30DD" w:rsidRDefault="005E0C2D">
      <w:pPr>
        <w:pStyle w:val="Title"/>
        <w:rPr>
          <w:color w:val="000000" w:themeColor="text1"/>
          <w:sz w:val="32"/>
          <w:szCs w:val="32"/>
        </w:rPr>
      </w:pPr>
    </w:p>
    <w:p w14:paraId="0000000C" w14:textId="77777777" w:rsidR="005E0C2D" w:rsidRPr="005E30DD" w:rsidRDefault="00E567A0">
      <w:pPr>
        <w:pStyle w:val="Title"/>
        <w:rPr>
          <w:color w:val="000000" w:themeColor="text1"/>
          <w:sz w:val="32"/>
          <w:szCs w:val="32"/>
        </w:rPr>
      </w:pPr>
      <w:r w:rsidRPr="005E30DD">
        <w:rPr>
          <w:color w:val="000000" w:themeColor="text1"/>
          <w:sz w:val="32"/>
          <w:szCs w:val="32"/>
        </w:rPr>
        <w:t>Submission Date: 10th November 2025</w:t>
      </w:r>
    </w:p>
    <w:p w14:paraId="0000000D" w14:textId="77777777" w:rsidR="005E0C2D" w:rsidRPr="005E30DD" w:rsidRDefault="005E0C2D">
      <w:pPr>
        <w:pStyle w:val="Title"/>
        <w:rPr>
          <w:color w:val="000000" w:themeColor="text1"/>
          <w:sz w:val="32"/>
          <w:szCs w:val="32"/>
        </w:rPr>
      </w:pPr>
    </w:p>
    <w:p w14:paraId="0000000E" w14:textId="77777777" w:rsidR="005E0C2D" w:rsidRPr="005E30DD" w:rsidRDefault="00E567A0">
      <w:pPr>
        <w:pStyle w:val="Title"/>
        <w:rPr>
          <w:color w:val="000000" w:themeColor="text1"/>
        </w:rPr>
      </w:pPr>
      <w:r w:rsidRPr="005E30DD">
        <w:rPr>
          <w:color w:val="000000" w:themeColor="text1"/>
        </w:rPr>
        <w:br w:type="page"/>
      </w:r>
    </w:p>
    <w:p w14:paraId="0000000F" w14:textId="77777777" w:rsidR="005E0C2D" w:rsidRPr="005E30DD" w:rsidRDefault="00E567A0">
      <w:pPr>
        <w:keepNext/>
        <w:keepLines/>
        <w:pBdr>
          <w:top w:val="nil"/>
          <w:left w:val="nil"/>
          <w:bottom w:val="nil"/>
          <w:right w:val="nil"/>
          <w:between w:val="nil"/>
        </w:pBdr>
        <w:spacing w:before="240" w:after="0" w:line="259" w:lineRule="auto"/>
        <w:jc w:val="left"/>
        <w:rPr>
          <w:b/>
          <w:color w:val="000000" w:themeColor="text1"/>
          <w:sz w:val="32"/>
          <w:szCs w:val="32"/>
        </w:rPr>
      </w:pPr>
      <w:r w:rsidRPr="005E30DD">
        <w:rPr>
          <w:b/>
          <w:color w:val="000000" w:themeColor="text1"/>
          <w:sz w:val="32"/>
          <w:szCs w:val="32"/>
        </w:rPr>
        <w:lastRenderedPageBreak/>
        <w:t>Table of Contents</w:t>
      </w:r>
    </w:p>
    <w:sdt>
      <w:sdtPr>
        <w:rPr>
          <w:color w:val="000000" w:themeColor="text1"/>
        </w:rPr>
        <w:id w:val="626655598"/>
        <w:docPartObj>
          <w:docPartGallery w:val="Table of Contents"/>
          <w:docPartUnique/>
        </w:docPartObj>
      </w:sdtPr>
      <w:sdtContent>
        <w:p w14:paraId="63210700" w14:textId="7DA2B880" w:rsidR="005824F4" w:rsidRPr="005E30DD" w:rsidRDefault="00E567A0">
          <w:pPr>
            <w:pStyle w:val="TOC1"/>
            <w:tabs>
              <w:tab w:val="right" w:leader="dot" w:pos="9016"/>
            </w:tabs>
            <w:rPr>
              <w:noProof/>
              <w:color w:val="000000" w:themeColor="text1"/>
            </w:rPr>
          </w:pPr>
          <w:r w:rsidRPr="005E30DD">
            <w:rPr>
              <w:color w:val="000000" w:themeColor="text1"/>
            </w:rPr>
            <w:fldChar w:fldCharType="begin"/>
          </w:r>
          <w:r w:rsidRPr="005E30DD">
            <w:rPr>
              <w:color w:val="000000" w:themeColor="text1"/>
            </w:rPr>
            <w:instrText xml:space="preserve"> TOC \h \u \z \t "Heading 1,1,Heading 2,2,Heading 3,3,"</w:instrText>
          </w:r>
          <w:r w:rsidRPr="005E30DD">
            <w:rPr>
              <w:color w:val="000000" w:themeColor="text1"/>
            </w:rPr>
            <w:fldChar w:fldCharType="separate"/>
          </w:r>
          <w:hyperlink w:anchor="_Toc210851750" w:history="1">
            <w:r w:rsidR="005824F4" w:rsidRPr="005E30DD">
              <w:rPr>
                <w:rStyle w:val="Hyperlink"/>
                <w:noProof/>
                <w:color w:val="000000" w:themeColor="text1"/>
              </w:rPr>
              <w:t>Introduction</w:t>
            </w:r>
            <w:r w:rsidR="005824F4" w:rsidRPr="005E30DD">
              <w:rPr>
                <w:noProof/>
                <w:webHidden/>
                <w:color w:val="000000" w:themeColor="text1"/>
              </w:rPr>
              <w:tab/>
            </w:r>
            <w:r w:rsidR="005824F4" w:rsidRPr="005E30DD">
              <w:rPr>
                <w:noProof/>
                <w:webHidden/>
                <w:color w:val="000000" w:themeColor="text1"/>
              </w:rPr>
              <w:fldChar w:fldCharType="begin"/>
            </w:r>
            <w:r w:rsidR="005824F4" w:rsidRPr="005E30DD">
              <w:rPr>
                <w:noProof/>
                <w:webHidden/>
                <w:color w:val="000000" w:themeColor="text1"/>
              </w:rPr>
              <w:instrText xml:space="preserve"> PAGEREF _Toc210851750 \h </w:instrText>
            </w:r>
            <w:r w:rsidR="005824F4" w:rsidRPr="005E30DD">
              <w:rPr>
                <w:noProof/>
                <w:webHidden/>
                <w:color w:val="000000" w:themeColor="text1"/>
              </w:rPr>
            </w:r>
            <w:r w:rsidR="005824F4" w:rsidRPr="005E30DD">
              <w:rPr>
                <w:noProof/>
                <w:webHidden/>
                <w:color w:val="000000" w:themeColor="text1"/>
              </w:rPr>
              <w:fldChar w:fldCharType="separate"/>
            </w:r>
            <w:r w:rsidR="005824F4" w:rsidRPr="005E30DD">
              <w:rPr>
                <w:noProof/>
                <w:webHidden/>
                <w:color w:val="000000" w:themeColor="text1"/>
              </w:rPr>
              <w:t>3</w:t>
            </w:r>
            <w:r w:rsidR="005824F4" w:rsidRPr="005E30DD">
              <w:rPr>
                <w:noProof/>
                <w:webHidden/>
                <w:color w:val="000000" w:themeColor="text1"/>
              </w:rPr>
              <w:fldChar w:fldCharType="end"/>
            </w:r>
          </w:hyperlink>
        </w:p>
        <w:p w14:paraId="051665E4" w14:textId="27F60A09" w:rsidR="005824F4" w:rsidRPr="005E30DD" w:rsidRDefault="005824F4">
          <w:pPr>
            <w:pStyle w:val="TOC1"/>
            <w:tabs>
              <w:tab w:val="right" w:leader="dot" w:pos="9016"/>
            </w:tabs>
            <w:rPr>
              <w:noProof/>
              <w:color w:val="000000" w:themeColor="text1"/>
            </w:rPr>
          </w:pPr>
          <w:hyperlink w:anchor="_Toc210851751" w:history="1">
            <w:r w:rsidRPr="005E30DD">
              <w:rPr>
                <w:rStyle w:val="Hyperlink"/>
                <w:noProof/>
                <w:color w:val="000000" w:themeColor="text1"/>
              </w:rPr>
              <w:t>The ways to maintain blood sugar level</w:t>
            </w:r>
            <w:r w:rsidRPr="005E30DD">
              <w:rPr>
                <w:noProof/>
                <w:webHidden/>
                <w:color w:val="000000" w:themeColor="text1"/>
              </w:rPr>
              <w:tab/>
            </w:r>
            <w:r w:rsidRPr="005E30DD">
              <w:rPr>
                <w:noProof/>
                <w:webHidden/>
                <w:color w:val="000000" w:themeColor="text1"/>
              </w:rPr>
              <w:fldChar w:fldCharType="begin"/>
            </w:r>
            <w:r w:rsidRPr="005E30DD">
              <w:rPr>
                <w:noProof/>
                <w:webHidden/>
                <w:color w:val="000000" w:themeColor="text1"/>
              </w:rPr>
              <w:instrText xml:space="preserve"> PAGEREF _Toc210851751 \h </w:instrText>
            </w:r>
            <w:r w:rsidRPr="005E30DD">
              <w:rPr>
                <w:noProof/>
                <w:webHidden/>
                <w:color w:val="000000" w:themeColor="text1"/>
              </w:rPr>
            </w:r>
            <w:r w:rsidRPr="005E30DD">
              <w:rPr>
                <w:noProof/>
                <w:webHidden/>
                <w:color w:val="000000" w:themeColor="text1"/>
              </w:rPr>
              <w:fldChar w:fldCharType="separate"/>
            </w:r>
            <w:r w:rsidRPr="005E30DD">
              <w:rPr>
                <w:noProof/>
                <w:webHidden/>
                <w:color w:val="000000" w:themeColor="text1"/>
              </w:rPr>
              <w:t>4</w:t>
            </w:r>
            <w:r w:rsidRPr="005E30DD">
              <w:rPr>
                <w:noProof/>
                <w:webHidden/>
                <w:color w:val="000000" w:themeColor="text1"/>
              </w:rPr>
              <w:fldChar w:fldCharType="end"/>
            </w:r>
          </w:hyperlink>
        </w:p>
        <w:p w14:paraId="474F9BF7" w14:textId="3930163E" w:rsidR="005824F4" w:rsidRPr="005E30DD" w:rsidRDefault="005824F4">
          <w:pPr>
            <w:pStyle w:val="TOC1"/>
            <w:tabs>
              <w:tab w:val="right" w:leader="dot" w:pos="9016"/>
            </w:tabs>
            <w:rPr>
              <w:noProof/>
              <w:color w:val="000000" w:themeColor="text1"/>
            </w:rPr>
          </w:pPr>
          <w:hyperlink w:anchor="_Toc210851752" w:history="1">
            <w:r w:rsidRPr="005E30DD">
              <w:rPr>
                <w:rStyle w:val="Hyperlink"/>
                <w:noProof/>
                <w:color w:val="000000" w:themeColor="text1"/>
              </w:rPr>
              <w:t>Cellular Metabolism: From Glucose and Oxygen to Energy</w:t>
            </w:r>
            <w:r w:rsidRPr="005E30DD">
              <w:rPr>
                <w:noProof/>
                <w:webHidden/>
                <w:color w:val="000000" w:themeColor="text1"/>
              </w:rPr>
              <w:tab/>
            </w:r>
            <w:r w:rsidRPr="005E30DD">
              <w:rPr>
                <w:noProof/>
                <w:webHidden/>
                <w:color w:val="000000" w:themeColor="text1"/>
              </w:rPr>
              <w:fldChar w:fldCharType="begin"/>
            </w:r>
            <w:r w:rsidRPr="005E30DD">
              <w:rPr>
                <w:noProof/>
                <w:webHidden/>
                <w:color w:val="000000" w:themeColor="text1"/>
              </w:rPr>
              <w:instrText xml:space="preserve"> PAGEREF _Toc210851752 \h </w:instrText>
            </w:r>
            <w:r w:rsidRPr="005E30DD">
              <w:rPr>
                <w:noProof/>
                <w:webHidden/>
                <w:color w:val="000000" w:themeColor="text1"/>
              </w:rPr>
            </w:r>
            <w:r w:rsidRPr="005E30DD">
              <w:rPr>
                <w:noProof/>
                <w:webHidden/>
                <w:color w:val="000000" w:themeColor="text1"/>
              </w:rPr>
              <w:fldChar w:fldCharType="separate"/>
            </w:r>
            <w:r w:rsidRPr="005E30DD">
              <w:rPr>
                <w:noProof/>
                <w:webHidden/>
                <w:color w:val="000000" w:themeColor="text1"/>
              </w:rPr>
              <w:t>4</w:t>
            </w:r>
            <w:r w:rsidRPr="005E30DD">
              <w:rPr>
                <w:noProof/>
                <w:webHidden/>
                <w:color w:val="000000" w:themeColor="text1"/>
              </w:rPr>
              <w:fldChar w:fldCharType="end"/>
            </w:r>
          </w:hyperlink>
        </w:p>
        <w:p w14:paraId="541F3F27" w14:textId="0F3C9A83" w:rsidR="005824F4" w:rsidRPr="005E30DD" w:rsidRDefault="005824F4">
          <w:pPr>
            <w:pStyle w:val="TOC1"/>
            <w:tabs>
              <w:tab w:val="right" w:leader="dot" w:pos="9016"/>
            </w:tabs>
            <w:rPr>
              <w:noProof/>
              <w:color w:val="000000" w:themeColor="text1"/>
            </w:rPr>
          </w:pPr>
          <w:hyperlink w:anchor="_Toc210851753" w:history="1">
            <w:r w:rsidRPr="005E30DD">
              <w:rPr>
                <w:rStyle w:val="Hyperlink"/>
                <w:noProof/>
                <w:color w:val="000000" w:themeColor="text1"/>
              </w:rPr>
              <w:t>The Critical Role of Monitoring and Tracking Blood Glucose</w:t>
            </w:r>
            <w:r w:rsidRPr="005E30DD">
              <w:rPr>
                <w:noProof/>
                <w:webHidden/>
                <w:color w:val="000000" w:themeColor="text1"/>
              </w:rPr>
              <w:tab/>
            </w:r>
            <w:r w:rsidRPr="005E30DD">
              <w:rPr>
                <w:noProof/>
                <w:webHidden/>
                <w:color w:val="000000" w:themeColor="text1"/>
              </w:rPr>
              <w:fldChar w:fldCharType="begin"/>
            </w:r>
            <w:r w:rsidRPr="005E30DD">
              <w:rPr>
                <w:noProof/>
                <w:webHidden/>
                <w:color w:val="000000" w:themeColor="text1"/>
              </w:rPr>
              <w:instrText xml:space="preserve"> PAGEREF _Toc210851753 \h </w:instrText>
            </w:r>
            <w:r w:rsidRPr="005E30DD">
              <w:rPr>
                <w:noProof/>
                <w:webHidden/>
                <w:color w:val="000000" w:themeColor="text1"/>
              </w:rPr>
            </w:r>
            <w:r w:rsidRPr="005E30DD">
              <w:rPr>
                <w:noProof/>
                <w:webHidden/>
                <w:color w:val="000000" w:themeColor="text1"/>
              </w:rPr>
              <w:fldChar w:fldCharType="separate"/>
            </w:r>
            <w:r w:rsidRPr="005E30DD">
              <w:rPr>
                <w:noProof/>
                <w:webHidden/>
                <w:color w:val="000000" w:themeColor="text1"/>
              </w:rPr>
              <w:t>6</w:t>
            </w:r>
            <w:r w:rsidRPr="005E30DD">
              <w:rPr>
                <w:noProof/>
                <w:webHidden/>
                <w:color w:val="000000" w:themeColor="text1"/>
              </w:rPr>
              <w:fldChar w:fldCharType="end"/>
            </w:r>
          </w:hyperlink>
        </w:p>
        <w:p w14:paraId="4DC68EA3" w14:textId="68DCA9B1" w:rsidR="005824F4" w:rsidRPr="005E30DD" w:rsidRDefault="005824F4">
          <w:pPr>
            <w:pStyle w:val="TOC1"/>
            <w:tabs>
              <w:tab w:val="right" w:leader="dot" w:pos="9016"/>
            </w:tabs>
            <w:rPr>
              <w:noProof/>
              <w:color w:val="000000" w:themeColor="text1"/>
            </w:rPr>
          </w:pPr>
          <w:hyperlink w:anchor="_Toc210851754" w:history="1">
            <w:r w:rsidRPr="005E30DD">
              <w:rPr>
                <w:rStyle w:val="Hyperlink"/>
                <w:noProof/>
                <w:color w:val="000000" w:themeColor="text1"/>
              </w:rPr>
              <w:t>Evidence-Based Lifestyle Interventions for Management</w:t>
            </w:r>
            <w:r w:rsidRPr="005E30DD">
              <w:rPr>
                <w:noProof/>
                <w:webHidden/>
                <w:color w:val="000000" w:themeColor="text1"/>
              </w:rPr>
              <w:tab/>
            </w:r>
            <w:r w:rsidRPr="005E30DD">
              <w:rPr>
                <w:noProof/>
                <w:webHidden/>
                <w:color w:val="000000" w:themeColor="text1"/>
              </w:rPr>
              <w:fldChar w:fldCharType="begin"/>
            </w:r>
            <w:r w:rsidRPr="005E30DD">
              <w:rPr>
                <w:noProof/>
                <w:webHidden/>
                <w:color w:val="000000" w:themeColor="text1"/>
              </w:rPr>
              <w:instrText xml:space="preserve"> PAGEREF _Toc210851754 \h </w:instrText>
            </w:r>
            <w:r w:rsidRPr="005E30DD">
              <w:rPr>
                <w:noProof/>
                <w:webHidden/>
                <w:color w:val="000000" w:themeColor="text1"/>
              </w:rPr>
            </w:r>
            <w:r w:rsidRPr="005E30DD">
              <w:rPr>
                <w:noProof/>
                <w:webHidden/>
                <w:color w:val="000000" w:themeColor="text1"/>
              </w:rPr>
              <w:fldChar w:fldCharType="separate"/>
            </w:r>
            <w:r w:rsidRPr="005E30DD">
              <w:rPr>
                <w:noProof/>
                <w:webHidden/>
                <w:color w:val="000000" w:themeColor="text1"/>
              </w:rPr>
              <w:t>7</w:t>
            </w:r>
            <w:r w:rsidRPr="005E30DD">
              <w:rPr>
                <w:noProof/>
                <w:webHidden/>
                <w:color w:val="000000" w:themeColor="text1"/>
              </w:rPr>
              <w:fldChar w:fldCharType="end"/>
            </w:r>
          </w:hyperlink>
        </w:p>
        <w:p w14:paraId="555AEA64" w14:textId="7A0BFB33" w:rsidR="005824F4" w:rsidRPr="005E30DD" w:rsidRDefault="005824F4">
          <w:pPr>
            <w:pStyle w:val="TOC2"/>
            <w:tabs>
              <w:tab w:val="right" w:leader="dot" w:pos="9016"/>
            </w:tabs>
            <w:rPr>
              <w:noProof/>
              <w:color w:val="000000" w:themeColor="text1"/>
            </w:rPr>
          </w:pPr>
          <w:hyperlink w:anchor="_Toc210851755" w:history="1">
            <w:r w:rsidRPr="005E30DD">
              <w:rPr>
                <w:rStyle w:val="Hyperlink"/>
                <w:noProof/>
                <w:color w:val="000000" w:themeColor="text1"/>
              </w:rPr>
              <w:t>Dietary Modifications</w:t>
            </w:r>
            <w:r w:rsidRPr="005E30DD">
              <w:rPr>
                <w:noProof/>
                <w:webHidden/>
                <w:color w:val="000000" w:themeColor="text1"/>
              </w:rPr>
              <w:tab/>
            </w:r>
            <w:r w:rsidRPr="005E30DD">
              <w:rPr>
                <w:noProof/>
                <w:webHidden/>
                <w:color w:val="000000" w:themeColor="text1"/>
              </w:rPr>
              <w:fldChar w:fldCharType="begin"/>
            </w:r>
            <w:r w:rsidRPr="005E30DD">
              <w:rPr>
                <w:noProof/>
                <w:webHidden/>
                <w:color w:val="000000" w:themeColor="text1"/>
              </w:rPr>
              <w:instrText xml:space="preserve"> PAGEREF _Toc210851755 \h </w:instrText>
            </w:r>
            <w:r w:rsidRPr="005E30DD">
              <w:rPr>
                <w:noProof/>
                <w:webHidden/>
                <w:color w:val="000000" w:themeColor="text1"/>
              </w:rPr>
            </w:r>
            <w:r w:rsidRPr="005E30DD">
              <w:rPr>
                <w:noProof/>
                <w:webHidden/>
                <w:color w:val="000000" w:themeColor="text1"/>
              </w:rPr>
              <w:fldChar w:fldCharType="separate"/>
            </w:r>
            <w:r w:rsidRPr="005E30DD">
              <w:rPr>
                <w:noProof/>
                <w:webHidden/>
                <w:color w:val="000000" w:themeColor="text1"/>
              </w:rPr>
              <w:t>7</w:t>
            </w:r>
            <w:r w:rsidRPr="005E30DD">
              <w:rPr>
                <w:noProof/>
                <w:webHidden/>
                <w:color w:val="000000" w:themeColor="text1"/>
              </w:rPr>
              <w:fldChar w:fldCharType="end"/>
            </w:r>
          </w:hyperlink>
        </w:p>
        <w:p w14:paraId="1BDEDCBE" w14:textId="1B34D7CB" w:rsidR="005824F4" w:rsidRPr="005E30DD" w:rsidRDefault="005824F4">
          <w:pPr>
            <w:pStyle w:val="TOC2"/>
            <w:tabs>
              <w:tab w:val="right" w:leader="dot" w:pos="9016"/>
            </w:tabs>
            <w:rPr>
              <w:noProof/>
              <w:color w:val="000000" w:themeColor="text1"/>
            </w:rPr>
          </w:pPr>
          <w:hyperlink w:anchor="_Toc210851756" w:history="1">
            <w:r w:rsidRPr="005E30DD">
              <w:rPr>
                <w:rStyle w:val="Hyperlink"/>
                <w:noProof/>
                <w:color w:val="000000" w:themeColor="text1"/>
              </w:rPr>
              <w:t>Physical Activity</w:t>
            </w:r>
            <w:r w:rsidRPr="005E30DD">
              <w:rPr>
                <w:noProof/>
                <w:webHidden/>
                <w:color w:val="000000" w:themeColor="text1"/>
              </w:rPr>
              <w:tab/>
            </w:r>
            <w:r w:rsidRPr="005E30DD">
              <w:rPr>
                <w:noProof/>
                <w:webHidden/>
                <w:color w:val="000000" w:themeColor="text1"/>
              </w:rPr>
              <w:fldChar w:fldCharType="begin"/>
            </w:r>
            <w:r w:rsidRPr="005E30DD">
              <w:rPr>
                <w:noProof/>
                <w:webHidden/>
                <w:color w:val="000000" w:themeColor="text1"/>
              </w:rPr>
              <w:instrText xml:space="preserve"> PAGEREF _Toc210851756 \h </w:instrText>
            </w:r>
            <w:r w:rsidRPr="005E30DD">
              <w:rPr>
                <w:noProof/>
                <w:webHidden/>
                <w:color w:val="000000" w:themeColor="text1"/>
              </w:rPr>
            </w:r>
            <w:r w:rsidRPr="005E30DD">
              <w:rPr>
                <w:noProof/>
                <w:webHidden/>
                <w:color w:val="000000" w:themeColor="text1"/>
              </w:rPr>
              <w:fldChar w:fldCharType="separate"/>
            </w:r>
            <w:r w:rsidRPr="005E30DD">
              <w:rPr>
                <w:noProof/>
                <w:webHidden/>
                <w:color w:val="000000" w:themeColor="text1"/>
              </w:rPr>
              <w:t>7</w:t>
            </w:r>
            <w:r w:rsidRPr="005E30DD">
              <w:rPr>
                <w:noProof/>
                <w:webHidden/>
                <w:color w:val="000000" w:themeColor="text1"/>
              </w:rPr>
              <w:fldChar w:fldCharType="end"/>
            </w:r>
          </w:hyperlink>
        </w:p>
        <w:p w14:paraId="4FC71367" w14:textId="7F95EB9D" w:rsidR="005824F4" w:rsidRPr="005E30DD" w:rsidRDefault="005824F4">
          <w:pPr>
            <w:pStyle w:val="TOC2"/>
            <w:tabs>
              <w:tab w:val="right" w:leader="dot" w:pos="9016"/>
            </w:tabs>
            <w:rPr>
              <w:noProof/>
              <w:color w:val="000000" w:themeColor="text1"/>
            </w:rPr>
          </w:pPr>
          <w:hyperlink w:anchor="_Toc210851757" w:history="1">
            <w:r w:rsidRPr="005E30DD">
              <w:rPr>
                <w:rStyle w:val="Hyperlink"/>
                <w:noProof/>
                <w:color w:val="000000" w:themeColor="text1"/>
              </w:rPr>
              <w:t>Smoking Cessation</w:t>
            </w:r>
            <w:r w:rsidRPr="005E30DD">
              <w:rPr>
                <w:noProof/>
                <w:webHidden/>
                <w:color w:val="000000" w:themeColor="text1"/>
              </w:rPr>
              <w:tab/>
            </w:r>
            <w:r w:rsidRPr="005E30DD">
              <w:rPr>
                <w:noProof/>
                <w:webHidden/>
                <w:color w:val="000000" w:themeColor="text1"/>
              </w:rPr>
              <w:fldChar w:fldCharType="begin"/>
            </w:r>
            <w:r w:rsidRPr="005E30DD">
              <w:rPr>
                <w:noProof/>
                <w:webHidden/>
                <w:color w:val="000000" w:themeColor="text1"/>
              </w:rPr>
              <w:instrText xml:space="preserve"> PAGEREF _Toc210851757 \h </w:instrText>
            </w:r>
            <w:r w:rsidRPr="005E30DD">
              <w:rPr>
                <w:noProof/>
                <w:webHidden/>
                <w:color w:val="000000" w:themeColor="text1"/>
              </w:rPr>
            </w:r>
            <w:r w:rsidRPr="005E30DD">
              <w:rPr>
                <w:noProof/>
                <w:webHidden/>
                <w:color w:val="000000" w:themeColor="text1"/>
              </w:rPr>
              <w:fldChar w:fldCharType="separate"/>
            </w:r>
            <w:r w:rsidRPr="005E30DD">
              <w:rPr>
                <w:noProof/>
                <w:webHidden/>
                <w:color w:val="000000" w:themeColor="text1"/>
              </w:rPr>
              <w:t>7</w:t>
            </w:r>
            <w:r w:rsidRPr="005E30DD">
              <w:rPr>
                <w:noProof/>
                <w:webHidden/>
                <w:color w:val="000000" w:themeColor="text1"/>
              </w:rPr>
              <w:fldChar w:fldCharType="end"/>
            </w:r>
          </w:hyperlink>
        </w:p>
        <w:p w14:paraId="234040F8" w14:textId="07F2EFDD" w:rsidR="005824F4" w:rsidRPr="005E30DD" w:rsidRDefault="005824F4">
          <w:pPr>
            <w:pStyle w:val="TOC1"/>
            <w:tabs>
              <w:tab w:val="right" w:leader="dot" w:pos="9016"/>
            </w:tabs>
            <w:rPr>
              <w:noProof/>
              <w:color w:val="000000" w:themeColor="text1"/>
            </w:rPr>
          </w:pPr>
          <w:hyperlink w:anchor="_Toc210851758" w:history="1">
            <w:r w:rsidRPr="005E30DD">
              <w:rPr>
                <w:rStyle w:val="Hyperlink"/>
                <w:noProof/>
                <w:color w:val="000000" w:themeColor="text1"/>
              </w:rPr>
              <w:t>Conclusion</w:t>
            </w:r>
            <w:r w:rsidRPr="005E30DD">
              <w:rPr>
                <w:noProof/>
                <w:webHidden/>
                <w:color w:val="000000" w:themeColor="text1"/>
              </w:rPr>
              <w:tab/>
            </w:r>
            <w:r w:rsidRPr="005E30DD">
              <w:rPr>
                <w:noProof/>
                <w:webHidden/>
                <w:color w:val="000000" w:themeColor="text1"/>
              </w:rPr>
              <w:fldChar w:fldCharType="begin"/>
            </w:r>
            <w:r w:rsidRPr="005E30DD">
              <w:rPr>
                <w:noProof/>
                <w:webHidden/>
                <w:color w:val="000000" w:themeColor="text1"/>
              </w:rPr>
              <w:instrText xml:space="preserve"> PAGEREF _Toc210851758 \h </w:instrText>
            </w:r>
            <w:r w:rsidRPr="005E30DD">
              <w:rPr>
                <w:noProof/>
                <w:webHidden/>
                <w:color w:val="000000" w:themeColor="text1"/>
              </w:rPr>
            </w:r>
            <w:r w:rsidRPr="005E30DD">
              <w:rPr>
                <w:noProof/>
                <w:webHidden/>
                <w:color w:val="000000" w:themeColor="text1"/>
              </w:rPr>
              <w:fldChar w:fldCharType="separate"/>
            </w:r>
            <w:r w:rsidRPr="005E30DD">
              <w:rPr>
                <w:noProof/>
                <w:webHidden/>
                <w:color w:val="000000" w:themeColor="text1"/>
              </w:rPr>
              <w:t>8</w:t>
            </w:r>
            <w:r w:rsidRPr="005E30DD">
              <w:rPr>
                <w:noProof/>
                <w:webHidden/>
                <w:color w:val="000000" w:themeColor="text1"/>
              </w:rPr>
              <w:fldChar w:fldCharType="end"/>
            </w:r>
          </w:hyperlink>
        </w:p>
        <w:p w14:paraId="730928CE" w14:textId="0B926B0D" w:rsidR="005824F4" w:rsidRPr="005E30DD" w:rsidRDefault="005824F4">
          <w:pPr>
            <w:pStyle w:val="TOC1"/>
            <w:tabs>
              <w:tab w:val="right" w:leader="dot" w:pos="9016"/>
            </w:tabs>
            <w:rPr>
              <w:noProof/>
              <w:color w:val="000000" w:themeColor="text1"/>
            </w:rPr>
          </w:pPr>
          <w:hyperlink w:anchor="_Toc210851759" w:history="1">
            <w:r w:rsidRPr="005E30DD">
              <w:rPr>
                <w:rStyle w:val="Hyperlink"/>
                <w:noProof/>
                <w:color w:val="000000" w:themeColor="text1"/>
              </w:rPr>
              <w:t>References</w:t>
            </w:r>
            <w:r w:rsidRPr="005E30DD">
              <w:rPr>
                <w:noProof/>
                <w:webHidden/>
                <w:color w:val="000000" w:themeColor="text1"/>
              </w:rPr>
              <w:tab/>
            </w:r>
            <w:r w:rsidRPr="005E30DD">
              <w:rPr>
                <w:noProof/>
                <w:webHidden/>
                <w:color w:val="000000" w:themeColor="text1"/>
              </w:rPr>
              <w:fldChar w:fldCharType="begin"/>
            </w:r>
            <w:r w:rsidRPr="005E30DD">
              <w:rPr>
                <w:noProof/>
                <w:webHidden/>
                <w:color w:val="000000" w:themeColor="text1"/>
              </w:rPr>
              <w:instrText xml:space="preserve"> PAGEREF _Toc210851759 \h </w:instrText>
            </w:r>
            <w:r w:rsidRPr="005E30DD">
              <w:rPr>
                <w:noProof/>
                <w:webHidden/>
                <w:color w:val="000000" w:themeColor="text1"/>
              </w:rPr>
            </w:r>
            <w:r w:rsidRPr="005E30DD">
              <w:rPr>
                <w:noProof/>
                <w:webHidden/>
                <w:color w:val="000000" w:themeColor="text1"/>
              </w:rPr>
              <w:fldChar w:fldCharType="separate"/>
            </w:r>
            <w:r w:rsidRPr="005E30DD">
              <w:rPr>
                <w:noProof/>
                <w:webHidden/>
                <w:color w:val="000000" w:themeColor="text1"/>
              </w:rPr>
              <w:t>9</w:t>
            </w:r>
            <w:r w:rsidRPr="005E30DD">
              <w:rPr>
                <w:noProof/>
                <w:webHidden/>
                <w:color w:val="000000" w:themeColor="text1"/>
              </w:rPr>
              <w:fldChar w:fldCharType="end"/>
            </w:r>
          </w:hyperlink>
        </w:p>
        <w:p w14:paraId="0000001A" w14:textId="477B600F" w:rsidR="005E0C2D" w:rsidRPr="005E30DD" w:rsidRDefault="00E567A0">
          <w:pPr>
            <w:rPr>
              <w:color w:val="000000" w:themeColor="text1"/>
            </w:rPr>
          </w:pPr>
          <w:r w:rsidRPr="005E30DD">
            <w:rPr>
              <w:color w:val="000000" w:themeColor="text1"/>
            </w:rPr>
            <w:fldChar w:fldCharType="end"/>
          </w:r>
        </w:p>
      </w:sdtContent>
    </w:sdt>
    <w:p w14:paraId="0000001B" w14:textId="77777777" w:rsidR="005E0C2D" w:rsidRPr="005E30DD" w:rsidRDefault="00E567A0">
      <w:pPr>
        <w:spacing w:line="259" w:lineRule="auto"/>
        <w:jc w:val="left"/>
        <w:rPr>
          <w:b/>
          <w:color w:val="000000" w:themeColor="text1"/>
          <w:sz w:val="32"/>
          <w:szCs w:val="32"/>
        </w:rPr>
      </w:pPr>
      <w:r w:rsidRPr="005E30DD">
        <w:rPr>
          <w:color w:val="000000" w:themeColor="text1"/>
        </w:rPr>
        <w:br w:type="page"/>
      </w:r>
    </w:p>
    <w:p w14:paraId="0000001C" w14:textId="77777777" w:rsidR="005E0C2D" w:rsidRPr="005E30DD" w:rsidRDefault="00E567A0">
      <w:pPr>
        <w:pStyle w:val="Heading1"/>
        <w:rPr>
          <w:color w:val="000000" w:themeColor="text1"/>
        </w:rPr>
      </w:pPr>
      <w:bookmarkStart w:id="0" w:name="_Toc210851750"/>
      <w:r w:rsidRPr="005E30DD">
        <w:rPr>
          <w:color w:val="000000" w:themeColor="text1"/>
        </w:rPr>
        <w:lastRenderedPageBreak/>
        <w:t>Introduction</w:t>
      </w:r>
      <w:bookmarkEnd w:id="0"/>
    </w:p>
    <w:p w14:paraId="37498C1C" w14:textId="593CB966" w:rsidR="004B2152" w:rsidRPr="005E30DD" w:rsidRDefault="00E567A0">
      <w:pPr>
        <w:rPr>
          <w:color w:val="000000" w:themeColor="text1"/>
        </w:rPr>
      </w:pPr>
      <w:r w:rsidRPr="005E30DD">
        <w:rPr>
          <w:color w:val="000000" w:themeColor="text1"/>
        </w:rPr>
        <w:t>It is a clinical issue of concern because a practise nurse is the most appropriate to address this clinical issue because the incidence of diabetes, particularly Type 2 Diabetes Mellitus (T2DM) among the patient population is still increasing. Pharmacological intervention is not the only effective way of management, but it is based on patient teaching and engagement. This report shall receive the information required to empower the T2DM patients. It will contain background information to the condition, describe the physiological processes that support the management of the condition and advocate the paramount role of self-monitoring and lifestyle change to achieve the realisation of the safe and effective glycaemic control. The first section will provide the meaning and categorization of diabetes. Diabetes mellitus is a chronic metabolic disease characterised by hyperglycaemia (high blood glucose levels) as a result of the impaired insulin release, insulin functioning or both (</w:t>
      </w:r>
      <w:proofErr w:type="spellStart"/>
      <w:r w:rsidRPr="005E30DD">
        <w:rPr>
          <w:color w:val="000000" w:themeColor="text1"/>
        </w:rPr>
        <w:t>Aderinto</w:t>
      </w:r>
      <w:proofErr w:type="spellEnd"/>
      <w:r w:rsidRPr="005E30DD">
        <w:rPr>
          <w:color w:val="000000" w:themeColor="text1"/>
        </w:rPr>
        <w:t xml:space="preserve"> et al., 2023). </w:t>
      </w:r>
      <w:r w:rsidR="00C863A1" w:rsidRPr="005E30DD">
        <w:rPr>
          <w:color w:val="000000" w:themeColor="text1"/>
        </w:rPr>
        <w:t>Diabetes becomes chronic due to long-term injury, body dysfunction, and other body parts failure. Forms of diabetes are explained below.</w:t>
      </w:r>
    </w:p>
    <w:p w14:paraId="0000001E" w14:textId="77777777" w:rsidR="005E0C2D" w:rsidRPr="005E30DD" w:rsidRDefault="00E567A0">
      <w:pPr>
        <w:rPr>
          <w:color w:val="000000" w:themeColor="text1"/>
        </w:rPr>
      </w:pPr>
      <w:r w:rsidRPr="005E30DD">
        <w:rPr>
          <w:color w:val="000000" w:themeColor="text1"/>
        </w:rPr>
        <w:t>Type 1 Diabetes: It is a form of auto immunity in which the autoimmune system of the body attacks the beta cells of the pancreas that produce insulin; hence leading to absolute insulin deficiency (</w:t>
      </w:r>
      <w:proofErr w:type="spellStart"/>
      <w:r w:rsidRPr="005E30DD">
        <w:rPr>
          <w:color w:val="000000" w:themeColor="text1"/>
        </w:rPr>
        <w:t>Akpalu</w:t>
      </w:r>
      <w:proofErr w:type="spellEnd"/>
      <w:r w:rsidRPr="005E30DD">
        <w:rPr>
          <w:color w:val="000000" w:themeColor="text1"/>
        </w:rPr>
        <w:t xml:space="preserve"> et al., 2018).</w:t>
      </w:r>
    </w:p>
    <w:p w14:paraId="0000001F" w14:textId="77777777" w:rsidR="005E0C2D" w:rsidRPr="005E30DD" w:rsidRDefault="00E567A0">
      <w:pPr>
        <w:rPr>
          <w:color w:val="000000" w:themeColor="text1"/>
        </w:rPr>
      </w:pPr>
      <w:r w:rsidRPr="005E30DD">
        <w:rPr>
          <w:color w:val="000000" w:themeColor="text1"/>
        </w:rPr>
        <w:t>Type 2 Diabetes: A long-term disorder that may be typified by insulin resistance (inability of the body cells to respond to insulin) and relative insulin deficiency (AL-Ishaq et al., 2019). In this report, T2DM will take centre-stage as an issue to be treated, as it is the most common and lifestyle is a contributing factor to this problem extensively.</w:t>
      </w:r>
    </w:p>
    <w:p w14:paraId="00000020" w14:textId="77777777" w:rsidR="005E0C2D" w:rsidRPr="005E30DD" w:rsidRDefault="00E567A0">
      <w:pPr>
        <w:rPr>
          <w:color w:val="000000" w:themeColor="text1"/>
        </w:rPr>
      </w:pPr>
      <w:r w:rsidRPr="005E30DD">
        <w:rPr>
          <w:color w:val="000000" w:themeColor="text1"/>
        </w:rPr>
        <w:t>Risk factors are essential towards prevention and context. The major risk factors of non-modifiable conditions include increasing age, the existence of the family history, and ethnicity (e.g., South Asian, African-Caribbean descent). More to the point, some of the risk factors can be modifiable such as due to overweight and obesity, lack of physical activity that causes insulin resistance of the body, poor food content of processed foods, saturated fats, and finally Hypertension and Dyslipidaemia.</w:t>
      </w:r>
      <w:r w:rsidRPr="005E30DD">
        <w:rPr>
          <w:color w:val="000000" w:themeColor="text1"/>
        </w:rPr>
        <w:br w:type="page"/>
      </w:r>
    </w:p>
    <w:p w14:paraId="00000021" w14:textId="2C73CED0" w:rsidR="005E0C2D" w:rsidRPr="005E30DD" w:rsidRDefault="005824F4">
      <w:pPr>
        <w:pStyle w:val="Heading1"/>
        <w:rPr>
          <w:color w:val="000000" w:themeColor="text1"/>
        </w:rPr>
      </w:pPr>
      <w:bookmarkStart w:id="1" w:name="_Toc210851751"/>
      <w:r w:rsidRPr="005E30DD">
        <w:rPr>
          <w:color w:val="000000" w:themeColor="text1"/>
        </w:rPr>
        <w:lastRenderedPageBreak/>
        <w:t>The Ways to Maintain Blood Sugar Level</w:t>
      </w:r>
      <w:bookmarkEnd w:id="1"/>
    </w:p>
    <w:p w14:paraId="00000022" w14:textId="77777777" w:rsidR="005E0C2D" w:rsidRPr="005E30DD" w:rsidRDefault="00E567A0">
      <w:pPr>
        <w:rPr>
          <w:color w:val="000000" w:themeColor="text1"/>
        </w:rPr>
      </w:pPr>
      <w:r w:rsidRPr="005E30DD">
        <w:rPr>
          <w:color w:val="000000" w:themeColor="text1"/>
        </w:rPr>
        <w:t>A fine balance between the hormones released by the pancreas that mostly includes insulin and glucagon must enable the body to maintain the concentration of glucose in the blood at narrow ranges (4.0-7.8 mmol/L). It is also known as homeostasis (Alonso-Moran et al., 2014). After consuming carbohydrates rich meal, the amount of blood glucose elevates. This stimulates beta cells of the pancreas in order to release insulin into the blood. One of the keys is insulin and this connects on the receptors on the cells throughout the body (especially, muscle, liver and fat cells) signalling the cells to take in the glucose in the blood. This glucose can be immediately used as a source of energy or it is stored as glycogen (in liver and muscles) or it is stored as fat (American Diabetes Association, 2018). Quite to the contrary, the amount of blood glucose begins to fall during fasting or between meals. It is a decrease that causes the pancreatic alpha cells to generate glucagon. Glucagon acts more on the liver breaking down the stored glycogen into glucose (glycogenosis) and synthesising new glucose out of amino acids (gluconeogenesis). This glucose is subsequently released into the blood to maintain the same level of energy in the body especially to the brain which is a very important organ (American Diabetes Association, 2021).</w:t>
      </w:r>
    </w:p>
    <w:p w14:paraId="00000023" w14:textId="77777777" w:rsidR="005E0C2D" w:rsidRPr="005E30DD" w:rsidRDefault="00E567A0">
      <w:pPr>
        <w:rPr>
          <w:color w:val="000000" w:themeColor="text1"/>
        </w:rPr>
      </w:pPr>
      <w:r w:rsidRPr="005E30DD">
        <w:rPr>
          <w:color w:val="000000" w:themeColor="text1"/>
        </w:rPr>
        <w:t xml:space="preserve">There is a derailment of this system in T2DM. The defect of the lock on the cells is insulin resistance; the insulin key is not working properly and thus the entry of the glucose into the cells cannot occur and it remains in the blood stream, which results in hyperglycaemia (Bahrami and </w:t>
      </w:r>
      <w:proofErr w:type="spellStart"/>
      <w:r w:rsidRPr="005E30DD">
        <w:rPr>
          <w:color w:val="000000" w:themeColor="text1"/>
        </w:rPr>
        <w:t>Tafrihi</w:t>
      </w:r>
      <w:proofErr w:type="spellEnd"/>
      <w:r w:rsidRPr="005E30DD">
        <w:rPr>
          <w:color w:val="000000" w:themeColor="text1"/>
        </w:rPr>
        <w:t>, 2023). The pancreas cannot generate enough insulin to overcome this resistance in the long-run to elevate the degree of hyperglycaemia in progressive degrees.</w:t>
      </w:r>
    </w:p>
    <w:p w14:paraId="00000024" w14:textId="59540E6C" w:rsidR="005E0C2D" w:rsidRPr="005E30DD" w:rsidRDefault="00E567A0">
      <w:pPr>
        <w:pStyle w:val="Heading1"/>
        <w:rPr>
          <w:color w:val="000000" w:themeColor="text1"/>
        </w:rPr>
      </w:pPr>
      <w:bookmarkStart w:id="2" w:name="_Toc210851752"/>
      <w:r w:rsidRPr="005E30DD">
        <w:rPr>
          <w:color w:val="000000" w:themeColor="text1"/>
        </w:rPr>
        <w:t>Cellular Metabolism</w:t>
      </w:r>
      <w:bookmarkEnd w:id="2"/>
    </w:p>
    <w:p w14:paraId="00000025" w14:textId="615998D4" w:rsidR="005E0C2D" w:rsidRPr="005E30DD" w:rsidRDefault="00E567A0">
      <w:pPr>
        <w:rPr>
          <w:color w:val="000000" w:themeColor="text1"/>
        </w:rPr>
      </w:pPr>
      <w:r w:rsidRPr="005E30DD">
        <w:rPr>
          <w:color w:val="000000" w:themeColor="text1"/>
        </w:rPr>
        <w:t>The glucose is primarily utilised to give energy to the body cells. Cellular respiration refers to the conversion of the glucose and oxygen into usable energy (adenosine triphosphate, also known as ATP) and occurs primarily at the mitochondria, which is the powerhouse of the cell.</w:t>
      </w:r>
    </w:p>
    <w:p w14:paraId="00000026" w14:textId="77777777" w:rsidR="005E0C2D" w:rsidRPr="005E30DD" w:rsidRDefault="00E567A0">
      <w:pPr>
        <w:rPr>
          <w:color w:val="000000" w:themeColor="text1"/>
        </w:rPr>
      </w:pPr>
      <w:r w:rsidRPr="005E30DD">
        <w:rPr>
          <w:color w:val="000000" w:themeColor="text1"/>
        </w:rPr>
        <w:t>This process consists of three stages:</w:t>
      </w:r>
    </w:p>
    <w:p w14:paraId="00000027" w14:textId="70836096" w:rsidR="005E0C2D" w:rsidRPr="005E30DD" w:rsidRDefault="000B3AF8">
      <w:pPr>
        <w:rPr>
          <w:color w:val="000000" w:themeColor="text1"/>
        </w:rPr>
      </w:pPr>
      <w:r w:rsidRPr="005E30DD">
        <w:rPr>
          <w:color w:val="000000" w:themeColor="text1"/>
        </w:rPr>
        <w:t xml:space="preserve">Glycolysis: The preliminary stage </w:t>
      </w:r>
      <w:r w:rsidR="00E567A0" w:rsidRPr="005E30DD">
        <w:rPr>
          <w:color w:val="000000" w:themeColor="text1"/>
        </w:rPr>
        <w:t>in cell respiration and occurs in the cytoplasm of the cell and it does not require the presence of oxygen (anaerobic process). It begins by phosphorylating a molecule of glucose (6-carbon sugar) in order to make it more reactive with the assistance of ATP (Buse et al., 2020). Enzymes break down glucose by a series of reactions to eventually yield two molecul</w:t>
      </w:r>
      <w:r w:rsidR="00BC6802" w:rsidRPr="005E30DD">
        <w:rPr>
          <w:color w:val="000000" w:themeColor="text1"/>
        </w:rPr>
        <w:t>es of pyruvate (3-carbons each)</w:t>
      </w:r>
      <w:r w:rsidR="00E567A0" w:rsidRPr="005E30DD">
        <w:rPr>
          <w:color w:val="000000" w:themeColor="text1"/>
        </w:rPr>
        <w:t xml:space="preserve">. Glycolysis is essential because besides </w:t>
      </w:r>
      <w:r w:rsidR="00E567A0" w:rsidRPr="005E30DD">
        <w:rPr>
          <w:color w:val="000000" w:themeColor="text1"/>
        </w:rPr>
        <w:lastRenderedPageBreak/>
        <w:t>producing ATP to be used in a short-term perspective, it produces pyruvate and NADH that is needed in the later stages of the aerobic foods (Davies et al., 2018a). In the absence of oxygen, the pyruvate may be transformed to lactate (in animals) or ethanol and CO2 (in yeast) so that glycolysis process could continue to generate ATP.</w:t>
      </w:r>
    </w:p>
    <w:p w14:paraId="00000028" w14:textId="77777777" w:rsidR="005E0C2D" w:rsidRPr="005E30DD" w:rsidRDefault="00E567A0">
      <w:pPr>
        <w:rPr>
          <w:color w:val="000000" w:themeColor="text1"/>
        </w:rPr>
      </w:pPr>
      <w:r w:rsidRPr="005E30DD">
        <w:rPr>
          <w:color w:val="000000" w:themeColor="text1"/>
        </w:rPr>
        <w:t>Krebs Cycle (Citric Acid Cycle): It is referred to as Krebs Cycle (or Citric Acid Cycle or TCA cycle) and takes place in the mitochondrial matrix and can only happen when there is oxygen (aerobic respiration) (Davies et al., 2018b). The glycolysis leads to pyruvate which is initially converted to acetyl-CoA (2-carbon molecule) which reacts with oxaloacetate (4-carbons) to produce citrate (6-carbons). The stepwise degradation of citrate occurs in a series of reactions that are catalysed by enzymes, to produce two molecules of CO2 at each cycle turn. During such processes, the bulk electrons carriers are decreased, to produce NADH and FADH 2 to store energy that is consumed by the Electron Transport Chain (ETC) (Davila-Cervantes, 2023). Having the low concentration of the produced ATP (or GTP, depending on the type of the cell) is also present. There are two cycles (one per pyruvate) and the productivity of every mole of glucose is 6 NADH, 2 FADH2 and 2 ATP (or GTP) per mole. The Krebs cycle is necessary because it is the main source of electrons that provide the generation of large amounts of ATP during oxidative phosphorylation (de Boer et al., 2022).</w:t>
      </w:r>
    </w:p>
    <w:p w14:paraId="00000029" w14:textId="162FB32F" w:rsidR="005E0C2D" w:rsidRPr="005E30DD" w:rsidRDefault="00E567A0">
      <w:pPr>
        <w:rPr>
          <w:color w:val="000000" w:themeColor="text1"/>
        </w:rPr>
      </w:pPr>
      <w:r w:rsidRPr="005E30DD">
        <w:rPr>
          <w:color w:val="000000" w:themeColor="text1"/>
        </w:rPr>
        <w:t>Electron Transport Chain (ETC): This is located on the inner mem-brane of the mitochondrion and where a majority of the ATP is produced. Electron carriers donate the electrons to the ETC (Duncan et al., 2019). The transfer of electrons using this energy is used to pump the protons across the membrane, which is a gradient. The moving protons are then re-absorbed back via an enzyme called the ATP synthase, the energy of the protons is employed to create approximately 34-36 ATP molecules out of a single molecule of glucose. The final electron acceptor is oxygen that unites with electrons and hydrogen ions to form water.</w:t>
      </w:r>
    </w:p>
    <w:p w14:paraId="0000002A" w14:textId="2C7F84C3" w:rsidR="005E0C2D" w:rsidRPr="005E30DD" w:rsidRDefault="00E567A0">
      <w:pPr>
        <w:rPr>
          <w:color w:val="000000" w:themeColor="text1"/>
        </w:rPr>
      </w:pPr>
      <w:r w:rsidRPr="005E30DD">
        <w:rPr>
          <w:color w:val="000000" w:themeColor="text1"/>
        </w:rPr>
        <w:t>In T2DM, the entire energy production process is disturbed as glucose can no longer enter the cells readily due to insulin resistance, and even the cells that have a significant amount of glucose in th</w:t>
      </w:r>
      <w:r w:rsidR="00371051" w:rsidRPr="005E30DD">
        <w:rPr>
          <w:color w:val="000000" w:themeColor="text1"/>
        </w:rPr>
        <w:t xml:space="preserve">e blood are deficient in energy. </w:t>
      </w:r>
    </w:p>
    <w:p w14:paraId="0000002B" w14:textId="77777777" w:rsidR="005E0C2D" w:rsidRPr="005E30DD" w:rsidRDefault="00E567A0">
      <w:pPr>
        <w:pStyle w:val="Heading1"/>
        <w:rPr>
          <w:color w:val="000000" w:themeColor="text1"/>
        </w:rPr>
      </w:pPr>
      <w:bookmarkStart w:id="3" w:name="_Toc210851753"/>
      <w:r w:rsidRPr="005E30DD">
        <w:rPr>
          <w:color w:val="000000" w:themeColor="text1"/>
        </w:rPr>
        <w:t>The Critical Role of Monitoring and Tracking Blood Glucose</w:t>
      </w:r>
      <w:bookmarkEnd w:id="3"/>
    </w:p>
    <w:p w14:paraId="0000002C" w14:textId="77777777" w:rsidR="005E0C2D" w:rsidRPr="005E30DD" w:rsidRDefault="00E567A0">
      <w:pPr>
        <w:rPr>
          <w:color w:val="000000" w:themeColor="text1"/>
        </w:rPr>
      </w:pPr>
      <w:r w:rsidRPr="005E30DD">
        <w:rPr>
          <w:color w:val="000000" w:themeColor="text1"/>
        </w:rPr>
        <w:t xml:space="preserve">The process of blood glucose level monitoring and tracking is not a straightforward task with patients having T2DM; it is a crucial element of self-management, which can be safely and </w:t>
      </w:r>
      <w:r w:rsidRPr="005E30DD">
        <w:rPr>
          <w:color w:val="000000" w:themeColor="text1"/>
        </w:rPr>
        <w:lastRenderedPageBreak/>
        <w:t>effectively conducted (Xu et al., 2022). It provides instant personal feedback and it can have several significant applications:</w:t>
      </w:r>
    </w:p>
    <w:p w14:paraId="0000002D" w14:textId="77777777" w:rsidR="005E0C2D" w:rsidRPr="005E30DD" w:rsidRDefault="00E567A0">
      <w:pPr>
        <w:rPr>
          <w:color w:val="000000" w:themeColor="text1"/>
        </w:rPr>
      </w:pPr>
      <w:r w:rsidRPr="005E30DD">
        <w:rPr>
          <w:color w:val="000000" w:themeColor="text1"/>
        </w:rPr>
        <w:t>Test of Glycaemic Control: Self-Monitoring of Blood Glucose (SMBG) helps a patient monitor the direct effects of food, exercise, stress and medication on the level of blood glucose (</w:t>
      </w:r>
      <w:proofErr w:type="spellStart"/>
      <w:r w:rsidRPr="005E30DD">
        <w:rPr>
          <w:color w:val="000000" w:themeColor="text1"/>
        </w:rPr>
        <w:t>Godadaw</w:t>
      </w:r>
      <w:proofErr w:type="spellEnd"/>
      <w:r w:rsidRPr="005E30DD">
        <w:rPr>
          <w:color w:val="000000" w:themeColor="text1"/>
        </w:rPr>
        <w:t xml:space="preserve"> MISGANAW, Yohannes DAGNEW and Addis GETU, 2022). This brings the management theory into reality.</w:t>
      </w:r>
    </w:p>
    <w:p w14:paraId="0000002E" w14:textId="77777777" w:rsidR="005E0C2D" w:rsidRPr="005E30DD" w:rsidRDefault="00E567A0">
      <w:pPr>
        <w:rPr>
          <w:color w:val="000000" w:themeColor="text1"/>
        </w:rPr>
      </w:pPr>
      <w:r w:rsidRPr="005E30DD">
        <w:rPr>
          <w:color w:val="000000" w:themeColor="text1"/>
        </w:rPr>
        <w:t>Teaching Daily Decisions: The patterns which are learned as a result of monitoring can be made by the patients to formulate informed decisions. One such example is that a post-meal spike can be considered a positive reinforcement that affects the reduction of the size of the following portions or the consumption of low-glycaemic-index foods next time (Mancia et al., 2013).</w:t>
      </w:r>
    </w:p>
    <w:p w14:paraId="0000002F" w14:textId="77777777" w:rsidR="005E0C2D" w:rsidRPr="005E30DD" w:rsidRDefault="00E567A0">
      <w:pPr>
        <w:rPr>
          <w:color w:val="000000" w:themeColor="text1"/>
        </w:rPr>
      </w:pPr>
      <w:r w:rsidRPr="005E30DD">
        <w:rPr>
          <w:color w:val="000000" w:themeColor="text1"/>
        </w:rPr>
        <w:t>Hypo- and Hyperglycaemia: Customising: Monitoring will enable the identification of harmful changes. With the help of a metre, it is possible to detect the symptoms of low blood sugar (hypoglycaemia) and manage it by ensuring that there is an immediate intake of fast-absorbed carbohydrates (Revich, 2024). Conversely, the identification of chronic hyperglycaemia results in the intervention process in order to lower the levels and prevent the symptoms of polyuria and fatigue alongside the reduction of the risk in the long-term.</w:t>
      </w:r>
    </w:p>
    <w:p w14:paraId="00000030" w14:textId="77777777" w:rsidR="005E0C2D" w:rsidRPr="005E30DD" w:rsidRDefault="00E567A0">
      <w:pPr>
        <w:rPr>
          <w:color w:val="000000" w:themeColor="text1"/>
        </w:rPr>
      </w:pPr>
      <w:r w:rsidRPr="005E30DD">
        <w:rPr>
          <w:color w:val="000000" w:themeColor="text1"/>
        </w:rPr>
        <w:t>Enhancing Intervention and Motivation: Visual feedback of success: An increase in readings due to a stroll or enhancement in fasting due to long-term changes in care should be used as positive reinforcement which can force compliance to care plans (Polonsky and Fisher, 2019).</w:t>
      </w:r>
    </w:p>
    <w:p w14:paraId="00000031" w14:textId="77777777" w:rsidR="005E0C2D" w:rsidRPr="005E30DD" w:rsidRDefault="00E567A0">
      <w:pPr>
        <w:rPr>
          <w:color w:val="000000" w:themeColor="text1"/>
        </w:rPr>
      </w:pPr>
      <w:r w:rsidRPr="005E30DD">
        <w:rPr>
          <w:color w:val="000000" w:themeColor="text1"/>
        </w:rPr>
        <w:t xml:space="preserve">Communicating Clinical Decisions: A logbook or digital data provide the clinician (e.g., practise nurse or GP) with an objective information about glycaemic trend over time (Rivera, </w:t>
      </w:r>
      <w:proofErr w:type="spellStart"/>
      <w:r w:rsidRPr="005E30DD">
        <w:rPr>
          <w:color w:val="000000" w:themeColor="text1"/>
        </w:rPr>
        <w:t>Lebenbaum</w:t>
      </w:r>
      <w:proofErr w:type="spellEnd"/>
      <w:r w:rsidRPr="005E30DD">
        <w:rPr>
          <w:color w:val="000000" w:themeColor="text1"/>
        </w:rPr>
        <w:t xml:space="preserve"> and Rosella, 2015). This is required to take informed decisions on modification of medication i.e. metformin or insulin levels to achieve target levels safely.</w:t>
      </w:r>
    </w:p>
    <w:p w14:paraId="00000032" w14:textId="77777777" w:rsidR="005E0C2D" w:rsidRPr="005E30DD" w:rsidRDefault="00E567A0">
      <w:pPr>
        <w:rPr>
          <w:color w:val="000000" w:themeColor="text1"/>
          <w:sz w:val="32"/>
          <w:szCs w:val="32"/>
        </w:rPr>
      </w:pPr>
      <w:r w:rsidRPr="005E30DD">
        <w:rPr>
          <w:color w:val="000000" w:themeColor="text1"/>
        </w:rPr>
        <w:br w:type="page"/>
      </w:r>
    </w:p>
    <w:p w14:paraId="00000033" w14:textId="77777777" w:rsidR="005E0C2D" w:rsidRPr="005E30DD" w:rsidRDefault="00E567A0">
      <w:pPr>
        <w:pStyle w:val="Heading1"/>
        <w:rPr>
          <w:color w:val="000000" w:themeColor="text1"/>
        </w:rPr>
      </w:pPr>
      <w:bookmarkStart w:id="4" w:name="_Toc210851754"/>
      <w:r w:rsidRPr="005E30DD">
        <w:rPr>
          <w:color w:val="000000" w:themeColor="text1"/>
        </w:rPr>
        <w:lastRenderedPageBreak/>
        <w:t>Evidence-Based Lifestyle Interventions for Management</w:t>
      </w:r>
      <w:bookmarkEnd w:id="4"/>
    </w:p>
    <w:p w14:paraId="00000034" w14:textId="77777777" w:rsidR="005E0C2D" w:rsidRPr="005E30DD" w:rsidRDefault="00E567A0">
      <w:pPr>
        <w:rPr>
          <w:color w:val="000000" w:themeColor="text1"/>
        </w:rPr>
      </w:pPr>
      <w:r w:rsidRPr="005E30DD">
        <w:rPr>
          <w:color w:val="000000" w:themeColor="text1"/>
        </w:rPr>
        <w:t>One of the management approaches to T2DM is lifestyle change, which has the same efficacy as pharmacotherapy, especially in the first stages. Recommendations are evidence-based and as follows:</w:t>
      </w:r>
    </w:p>
    <w:p w14:paraId="00000035" w14:textId="77777777" w:rsidR="005E0C2D" w:rsidRPr="005E30DD" w:rsidRDefault="00E567A0">
      <w:pPr>
        <w:pStyle w:val="Heading2"/>
        <w:rPr>
          <w:color w:val="000000" w:themeColor="text1"/>
        </w:rPr>
      </w:pPr>
      <w:bookmarkStart w:id="5" w:name="_Toc210851755"/>
      <w:r w:rsidRPr="005E30DD">
        <w:rPr>
          <w:color w:val="000000" w:themeColor="text1"/>
        </w:rPr>
        <w:t>Dietary Modifications</w:t>
      </w:r>
      <w:bookmarkEnd w:id="5"/>
    </w:p>
    <w:p w14:paraId="00000036" w14:textId="7BAF039D" w:rsidR="005E0C2D" w:rsidRPr="005E30DD" w:rsidRDefault="00E567A0">
      <w:pPr>
        <w:rPr>
          <w:color w:val="000000" w:themeColor="text1"/>
        </w:rPr>
      </w:pPr>
      <w:r w:rsidRPr="005E30DD">
        <w:rPr>
          <w:color w:val="000000" w:themeColor="text1"/>
        </w:rPr>
        <w:t>Carbohydrate Management: Encourage low-glycaemic-index (GI) and high-fibre diet of whole grains, legumes, and vegetables and most fruits. They are degraded gradually, and hence lead to a gradual rise in blood sugar.</w:t>
      </w:r>
    </w:p>
    <w:p w14:paraId="00000037" w14:textId="20B29C07" w:rsidR="005E0C2D" w:rsidRPr="005E30DD" w:rsidRDefault="00E567A0">
      <w:pPr>
        <w:rPr>
          <w:color w:val="000000" w:themeColor="text1"/>
        </w:rPr>
      </w:pPr>
      <w:r w:rsidRPr="005E30DD">
        <w:rPr>
          <w:color w:val="000000" w:themeColor="text1"/>
        </w:rPr>
        <w:t>Portion Control: With the use of such straightforward techniques as the plate method (half the plate non-starchy vegetables, a quarter lean protein, a quarter complex carbohydrates), one can dramatically improve the quality of the after meal glucose levels without any complicated</w:t>
      </w:r>
      <w:r w:rsidR="005F1860" w:rsidRPr="005E30DD">
        <w:rPr>
          <w:color w:val="000000" w:themeColor="text1"/>
        </w:rPr>
        <w:t xml:space="preserve"> calculations of calorie counts.</w:t>
      </w:r>
    </w:p>
    <w:p w14:paraId="00000038" w14:textId="77777777" w:rsidR="005E0C2D" w:rsidRPr="005E30DD" w:rsidRDefault="00E567A0">
      <w:pPr>
        <w:rPr>
          <w:color w:val="000000" w:themeColor="text1"/>
        </w:rPr>
      </w:pPr>
      <w:r w:rsidRPr="005E30DD">
        <w:rPr>
          <w:color w:val="000000" w:themeColor="text1"/>
        </w:rPr>
        <w:t>Reduce Sugary foods and drinks: This means all things that are connected with sugar and sugary products must be banned henceforth.</w:t>
      </w:r>
    </w:p>
    <w:p w14:paraId="00000039" w14:textId="77777777" w:rsidR="005E0C2D" w:rsidRPr="005E30DD" w:rsidRDefault="00E567A0">
      <w:pPr>
        <w:pStyle w:val="Heading2"/>
        <w:rPr>
          <w:color w:val="000000" w:themeColor="text1"/>
        </w:rPr>
      </w:pPr>
      <w:bookmarkStart w:id="6" w:name="_Toc210851756"/>
      <w:r w:rsidRPr="005E30DD">
        <w:rPr>
          <w:color w:val="000000" w:themeColor="text1"/>
        </w:rPr>
        <w:t>Physical Activity</w:t>
      </w:r>
      <w:bookmarkEnd w:id="6"/>
    </w:p>
    <w:p w14:paraId="0000003A" w14:textId="6028C525" w:rsidR="005E0C2D" w:rsidRPr="005E30DD" w:rsidRDefault="00E567A0">
      <w:pPr>
        <w:rPr>
          <w:color w:val="000000" w:themeColor="text1"/>
        </w:rPr>
      </w:pPr>
      <w:r w:rsidRPr="005E30DD">
        <w:rPr>
          <w:color w:val="000000" w:themeColor="text1"/>
        </w:rPr>
        <w:t>Aerobic Exercise: 150 minutes/week or 30 minutes/day (e.g. 30 minutes, 5 days/week) of aerobic exercise (vigorous walking or biking or swimming) will increase insulin sensitivity, allowing the body to utilise glucose more efficiently as long as 48 hours after exercise.</w:t>
      </w:r>
    </w:p>
    <w:p w14:paraId="0000003B" w14:textId="37F739ED" w:rsidR="005E0C2D" w:rsidRPr="005E30DD" w:rsidRDefault="00E567A0">
      <w:pPr>
        <w:rPr>
          <w:color w:val="000000" w:themeColor="text1"/>
        </w:rPr>
      </w:pPr>
      <w:r w:rsidRPr="005E30DD">
        <w:rPr>
          <w:color w:val="000000" w:themeColor="text1"/>
        </w:rPr>
        <w:t>Resistance Training: This should be done more on heavy weights. The muscle is used to a great extent in the disposition of glucose; the more muscle mass an individual possesses, the more the place to store and use glucose thereby lowering the amount of blood.</w:t>
      </w:r>
    </w:p>
    <w:p w14:paraId="0000003C" w14:textId="77777777" w:rsidR="005E0C2D" w:rsidRPr="005E30DD" w:rsidRDefault="00E567A0">
      <w:pPr>
        <w:pStyle w:val="Heading2"/>
        <w:rPr>
          <w:color w:val="000000" w:themeColor="text1"/>
        </w:rPr>
      </w:pPr>
      <w:bookmarkStart w:id="7" w:name="_Toc210851757"/>
      <w:r w:rsidRPr="005E30DD">
        <w:rPr>
          <w:color w:val="000000" w:themeColor="text1"/>
        </w:rPr>
        <w:t>Smoking Cessation</w:t>
      </w:r>
      <w:bookmarkEnd w:id="7"/>
    </w:p>
    <w:p w14:paraId="0000003D" w14:textId="22A548D2" w:rsidR="005E0C2D" w:rsidRPr="005E30DD" w:rsidRDefault="00E567A0">
      <w:pPr>
        <w:rPr>
          <w:color w:val="000000" w:themeColor="text1"/>
        </w:rPr>
      </w:pPr>
      <w:r w:rsidRPr="005E30DD">
        <w:rPr>
          <w:color w:val="000000" w:themeColor="text1"/>
        </w:rPr>
        <w:t>T2DM has an independent relationship with smoking and elevates the complications of the disease. Nicotine does increase the insulin resistance, and does increase the abdominal fat balance. Quitting smoking will result in an improvement of the availability of insulin and the significant reduction of the heightened risk of cardiovascular diseas</w:t>
      </w:r>
      <w:r w:rsidR="005F1860" w:rsidRPr="005E30DD">
        <w:rPr>
          <w:color w:val="000000" w:themeColor="text1"/>
        </w:rPr>
        <w:t>e, nephropathy, and neuropathy</w:t>
      </w:r>
      <w:r w:rsidRPr="005E30DD">
        <w:rPr>
          <w:color w:val="000000" w:themeColor="text1"/>
        </w:rPr>
        <w:t>. Nicotine Replacement Therapy (NRT) and smoking cessation services should receive great encouragement and support.</w:t>
      </w:r>
      <w:r w:rsidRPr="005E30DD">
        <w:rPr>
          <w:color w:val="000000" w:themeColor="text1"/>
        </w:rPr>
        <w:br w:type="page"/>
      </w:r>
    </w:p>
    <w:p w14:paraId="0000003E" w14:textId="77777777" w:rsidR="005E0C2D" w:rsidRPr="005E30DD" w:rsidRDefault="00E567A0">
      <w:pPr>
        <w:pStyle w:val="Heading1"/>
        <w:rPr>
          <w:color w:val="000000" w:themeColor="text1"/>
        </w:rPr>
      </w:pPr>
      <w:bookmarkStart w:id="8" w:name="_Toc210851758"/>
      <w:r w:rsidRPr="005E30DD">
        <w:rPr>
          <w:color w:val="000000" w:themeColor="text1"/>
        </w:rPr>
        <w:lastRenderedPageBreak/>
        <w:t>Conclusion</w:t>
      </w:r>
      <w:bookmarkEnd w:id="8"/>
    </w:p>
    <w:p w14:paraId="0000003F" w14:textId="3DFD43CC" w:rsidR="005E0C2D" w:rsidRPr="005E30DD" w:rsidRDefault="00E567A0">
      <w:pPr>
        <w:rPr>
          <w:color w:val="000000" w:themeColor="text1"/>
        </w:rPr>
      </w:pPr>
      <w:r w:rsidRPr="005E30DD">
        <w:rPr>
          <w:color w:val="000000" w:themeColor="text1"/>
        </w:rPr>
        <w:t>Diabetes and Type 2 diabetes in particular is a complex disease that can be treated. The correct management of it lies in the cooperation between the medical personnel and informed and motivated patients. As revealed in this report, diabetes and glucose regulation physiology is very simple and the failure in insulin signalling leads to hyperglycaemia and inhibition of cellular energy production. This is most importantly because it has indicated that knowledge is power. The practise is recording the level of blood glucose, and its tracking, which will enable the patient to acquire the most needed information about their individuality and make effective choices in everyday life and the prevention of acute complications. Along with that it has found that well maintained lifestyle is itself a cure to diabetes issues. This is the knowledge/evidence based practise that patients should be empowered as a practise nurse in one of the first steps in their transitioning into passive recipients of care and active managers of their own h</w:t>
      </w:r>
      <w:r w:rsidR="006A269E" w:rsidRPr="005E30DD">
        <w:rPr>
          <w:color w:val="000000" w:themeColor="text1"/>
        </w:rPr>
        <w:t>ealth which ultimately improves.</w:t>
      </w:r>
      <w:r w:rsidRPr="005E30DD">
        <w:rPr>
          <w:color w:val="000000" w:themeColor="text1"/>
        </w:rPr>
        <w:br w:type="page"/>
      </w:r>
    </w:p>
    <w:p w14:paraId="00000040" w14:textId="77777777" w:rsidR="005E0C2D" w:rsidRPr="005E30DD" w:rsidRDefault="00E567A0">
      <w:pPr>
        <w:pStyle w:val="Heading1"/>
        <w:rPr>
          <w:color w:val="000000" w:themeColor="text1"/>
        </w:rPr>
      </w:pPr>
      <w:bookmarkStart w:id="9" w:name="_Toc210851759"/>
      <w:r w:rsidRPr="005E30DD">
        <w:rPr>
          <w:color w:val="000000" w:themeColor="text1"/>
        </w:rPr>
        <w:lastRenderedPageBreak/>
        <w:t>References</w:t>
      </w:r>
      <w:bookmarkEnd w:id="9"/>
    </w:p>
    <w:p w14:paraId="00000041" w14:textId="77777777" w:rsidR="005E0C2D" w:rsidRPr="005E30DD" w:rsidRDefault="00E567A0">
      <w:pPr>
        <w:rPr>
          <w:color w:val="000000" w:themeColor="text1"/>
        </w:rPr>
      </w:pPr>
      <w:proofErr w:type="spellStart"/>
      <w:r w:rsidRPr="005E30DD">
        <w:rPr>
          <w:color w:val="000000" w:themeColor="text1"/>
        </w:rPr>
        <w:t>Aderinto</w:t>
      </w:r>
      <w:proofErr w:type="spellEnd"/>
      <w:r w:rsidRPr="005E30DD">
        <w:rPr>
          <w:color w:val="000000" w:themeColor="text1"/>
        </w:rPr>
        <w:t xml:space="preserve">, N. </w:t>
      </w:r>
      <w:r w:rsidRPr="005E30DD">
        <w:rPr>
          <w:i/>
          <w:color w:val="000000" w:themeColor="text1"/>
        </w:rPr>
        <w:t>et al.</w:t>
      </w:r>
      <w:r w:rsidRPr="005E30DD">
        <w:rPr>
          <w:color w:val="000000" w:themeColor="text1"/>
        </w:rPr>
        <w:t xml:space="preserve"> (2023) ‘Unveiling the growing significance of metabolism in modulating immune cell function: exploring mechanisms and implications; a review’, </w:t>
      </w:r>
      <w:r w:rsidRPr="005E30DD">
        <w:rPr>
          <w:i/>
          <w:color w:val="000000" w:themeColor="text1"/>
        </w:rPr>
        <w:t>Annals of Medicine and Surgery</w:t>
      </w:r>
      <w:r w:rsidRPr="005E30DD">
        <w:rPr>
          <w:color w:val="000000" w:themeColor="text1"/>
        </w:rPr>
        <w:t>, 85(11), pp. 5511–5522. Available at: https://doi.org/10.1097/MS9.0000000000001308.</w:t>
      </w:r>
    </w:p>
    <w:p w14:paraId="00000042" w14:textId="77777777" w:rsidR="005E0C2D" w:rsidRPr="005E30DD" w:rsidRDefault="00E567A0">
      <w:pPr>
        <w:rPr>
          <w:color w:val="000000" w:themeColor="text1"/>
        </w:rPr>
      </w:pPr>
      <w:proofErr w:type="spellStart"/>
      <w:r w:rsidRPr="005E30DD">
        <w:rPr>
          <w:color w:val="000000" w:themeColor="text1"/>
        </w:rPr>
        <w:t>Akpalu</w:t>
      </w:r>
      <w:proofErr w:type="spellEnd"/>
      <w:r w:rsidRPr="005E30DD">
        <w:rPr>
          <w:color w:val="000000" w:themeColor="text1"/>
        </w:rPr>
        <w:t xml:space="preserve">, J. </w:t>
      </w:r>
      <w:r w:rsidRPr="005E30DD">
        <w:rPr>
          <w:i/>
          <w:color w:val="000000" w:themeColor="text1"/>
        </w:rPr>
        <w:t>et al.</w:t>
      </w:r>
      <w:r w:rsidRPr="005E30DD">
        <w:rPr>
          <w:color w:val="000000" w:themeColor="text1"/>
        </w:rPr>
        <w:t xml:space="preserve"> (2018) ‘Depression and glycaemic control among type 2 diabetes patients: a cross-sectional study in a tertiary healthcare facility in Ghana’, </w:t>
      </w:r>
      <w:r w:rsidRPr="005E30DD">
        <w:rPr>
          <w:i/>
          <w:color w:val="000000" w:themeColor="text1"/>
        </w:rPr>
        <w:t>BMC Psychiatry</w:t>
      </w:r>
      <w:r w:rsidRPr="005E30DD">
        <w:rPr>
          <w:color w:val="000000" w:themeColor="text1"/>
        </w:rPr>
        <w:t>, 18(1). Available at: https://doi.org/10.1186/s12888-018-1933-2.</w:t>
      </w:r>
    </w:p>
    <w:p w14:paraId="00000043" w14:textId="77777777" w:rsidR="005E0C2D" w:rsidRPr="005E30DD" w:rsidRDefault="00E567A0">
      <w:pPr>
        <w:rPr>
          <w:color w:val="000000" w:themeColor="text1"/>
        </w:rPr>
      </w:pPr>
      <w:r w:rsidRPr="005E30DD">
        <w:rPr>
          <w:color w:val="000000" w:themeColor="text1"/>
        </w:rPr>
        <w:t xml:space="preserve">AL-Ishaq, R.K. </w:t>
      </w:r>
      <w:r w:rsidRPr="005E30DD">
        <w:rPr>
          <w:i/>
          <w:color w:val="000000" w:themeColor="text1"/>
        </w:rPr>
        <w:t>et al.</w:t>
      </w:r>
      <w:r w:rsidRPr="005E30DD">
        <w:rPr>
          <w:color w:val="000000" w:themeColor="text1"/>
        </w:rPr>
        <w:t xml:space="preserve"> (2019) ‘Flavonoids and Their Anti-Diabetic Effects: Cellular Mechanisms and Effects to Improve Blood Sugar Levels’, </w:t>
      </w:r>
      <w:r w:rsidRPr="005E30DD">
        <w:rPr>
          <w:i/>
          <w:color w:val="000000" w:themeColor="text1"/>
        </w:rPr>
        <w:t>Biomolecules</w:t>
      </w:r>
      <w:r w:rsidRPr="005E30DD">
        <w:rPr>
          <w:color w:val="000000" w:themeColor="text1"/>
        </w:rPr>
        <w:t>, 9(9). Available at: https://doi.org/10.3390/biom9090430.</w:t>
      </w:r>
    </w:p>
    <w:p w14:paraId="00000044" w14:textId="77777777" w:rsidR="005E0C2D" w:rsidRPr="005E30DD" w:rsidRDefault="00E567A0">
      <w:pPr>
        <w:rPr>
          <w:color w:val="000000" w:themeColor="text1"/>
        </w:rPr>
      </w:pPr>
      <w:r w:rsidRPr="005E30DD">
        <w:rPr>
          <w:color w:val="000000" w:themeColor="text1"/>
        </w:rPr>
        <w:t xml:space="preserve">Alonso-Morán, E. </w:t>
      </w:r>
      <w:r w:rsidRPr="005E30DD">
        <w:rPr>
          <w:i/>
          <w:color w:val="000000" w:themeColor="text1"/>
        </w:rPr>
        <w:t>et al.</w:t>
      </w:r>
      <w:r w:rsidRPr="005E30DD">
        <w:rPr>
          <w:color w:val="000000" w:themeColor="text1"/>
        </w:rPr>
        <w:t xml:space="preserve"> (2014) ‘The prevalence of diabetes-related complications and multimorbidity in the population with type 2 diabetes mellitus in the Basque Country’, </w:t>
      </w:r>
      <w:r w:rsidRPr="005E30DD">
        <w:rPr>
          <w:i/>
          <w:color w:val="000000" w:themeColor="text1"/>
        </w:rPr>
        <w:t>BMC Public Health</w:t>
      </w:r>
      <w:r w:rsidRPr="005E30DD">
        <w:rPr>
          <w:color w:val="000000" w:themeColor="text1"/>
        </w:rPr>
        <w:t>, 14(1). Available at: https://doi.org/10.1186/1471-2458-14-1059.</w:t>
      </w:r>
    </w:p>
    <w:p w14:paraId="00000045" w14:textId="77777777" w:rsidR="005E0C2D" w:rsidRPr="005E30DD" w:rsidRDefault="00E567A0">
      <w:pPr>
        <w:rPr>
          <w:color w:val="000000" w:themeColor="text1"/>
        </w:rPr>
      </w:pPr>
      <w:r w:rsidRPr="005E30DD">
        <w:rPr>
          <w:color w:val="000000" w:themeColor="text1"/>
        </w:rPr>
        <w:t xml:space="preserve">American Diabetes Association (2018) ‘Classification and Diagnosis of </w:t>
      </w:r>
      <w:proofErr w:type="spellStart"/>
      <w:proofErr w:type="gramStart"/>
      <w:r w:rsidRPr="005E30DD">
        <w:rPr>
          <w:color w:val="000000" w:themeColor="text1"/>
        </w:rPr>
        <w:t>Diabetes:Standards</w:t>
      </w:r>
      <w:proofErr w:type="spellEnd"/>
      <w:proofErr w:type="gramEnd"/>
      <w:r w:rsidRPr="005E30DD">
        <w:rPr>
          <w:color w:val="000000" w:themeColor="text1"/>
        </w:rPr>
        <w:t xml:space="preserve"> of Medical Care in Diabetes—2018’, </w:t>
      </w:r>
      <w:r w:rsidRPr="005E30DD">
        <w:rPr>
          <w:i/>
          <w:color w:val="000000" w:themeColor="text1"/>
        </w:rPr>
        <w:t>Diabetes Care</w:t>
      </w:r>
      <w:r w:rsidRPr="005E30DD">
        <w:rPr>
          <w:color w:val="000000" w:themeColor="text1"/>
        </w:rPr>
        <w:t>, 41(Supplement 1), pp. S13–S27. Available at: https://doi.org/10.2337/dc18-s002.</w:t>
      </w:r>
    </w:p>
    <w:p w14:paraId="00000046" w14:textId="77777777" w:rsidR="005E0C2D" w:rsidRPr="005E30DD" w:rsidRDefault="00E567A0">
      <w:pPr>
        <w:rPr>
          <w:color w:val="000000" w:themeColor="text1"/>
        </w:rPr>
      </w:pPr>
      <w:r w:rsidRPr="005E30DD">
        <w:rPr>
          <w:color w:val="000000" w:themeColor="text1"/>
        </w:rPr>
        <w:t xml:space="preserve">American Diabetes Association (2021) ‘Professional Practice Committee: Standards of Medical Care in Diabetes—2022’, </w:t>
      </w:r>
      <w:r w:rsidRPr="005E30DD">
        <w:rPr>
          <w:i/>
          <w:color w:val="000000" w:themeColor="text1"/>
        </w:rPr>
        <w:t>Diabetes Care</w:t>
      </w:r>
      <w:r w:rsidRPr="005E30DD">
        <w:rPr>
          <w:color w:val="000000" w:themeColor="text1"/>
        </w:rPr>
        <w:t>, 45(Supplement_1), pp. S3–S3. Available at: https://doi.org/10.2337/dc22-sppc.</w:t>
      </w:r>
    </w:p>
    <w:p w14:paraId="00000047" w14:textId="77777777" w:rsidR="005E0C2D" w:rsidRPr="005E30DD" w:rsidRDefault="00E567A0">
      <w:pPr>
        <w:rPr>
          <w:color w:val="000000" w:themeColor="text1"/>
        </w:rPr>
      </w:pPr>
      <w:r w:rsidRPr="005E30DD">
        <w:rPr>
          <w:color w:val="000000" w:themeColor="text1"/>
        </w:rPr>
        <w:t xml:space="preserve">Bahrami, H. and </w:t>
      </w:r>
      <w:proofErr w:type="spellStart"/>
      <w:r w:rsidRPr="005E30DD">
        <w:rPr>
          <w:color w:val="000000" w:themeColor="text1"/>
        </w:rPr>
        <w:t>Tafrihi</w:t>
      </w:r>
      <w:proofErr w:type="spellEnd"/>
      <w:r w:rsidRPr="005E30DD">
        <w:rPr>
          <w:color w:val="000000" w:themeColor="text1"/>
        </w:rPr>
        <w:t xml:space="preserve">, M. (2023) ‘Understanding the Warburg Effect Yields New Insights into the Metabolic Control of Cancer’, </w:t>
      </w:r>
      <w:r w:rsidRPr="005E30DD">
        <w:rPr>
          <w:i/>
          <w:color w:val="000000" w:themeColor="text1"/>
        </w:rPr>
        <w:t>Journal of Cancer Research Updates</w:t>
      </w:r>
      <w:r w:rsidRPr="005E30DD">
        <w:rPr>
          <w:color w:val="000000" w:themeColor="text1"/>
        </w:rPr>
        <w:t>, 12, pp. 44–48. Available at: https://doi.org/10.30683/1929-2279.2023.12.8.</w:t>
      </w:r>
    </w:p>
    <w:p w14:paraId="00000048" w14:textId="77777777" w:rsidR="005E0C2D" w:rsidRPr="005E30DD" w:rsidRDefault="00E567A0">
      <w:pPr>
        <w:rPr>
          <w:color w:val="000000" w:themeColor="text1"/>
        </w:rPr>
      </w:pPr>
      <w:r w:rsidRPr="005E30DD">
        <w:rPr>
          <w:color w:val="000000" w:themeColor="text1"/>
        </w:rPr>
        <w:t xml:space="preserve">Buse, J.B. </w:t>
      </w:r>
      <w:r w:rsidRPr="005E30DD">
        <w:rPr>
          <w:i/>
          <w:color w:val="000000" w:themeColor="text1"/>
        </w:rPr>
        <w:t>et al.</w:t>
      </w:r>
      <w:r w:rsidRPr="005E30DD">
        <w:rPr>
          <w:color w:val="000000" w:themeColor="text1"/>
        </w:rPr>
        <w:t xml:space="preserve"> (2020) ‘2019 Update to: Management of </w:t>
      </w:r>
      <w:proofErr w:type="spellStart"/>
      <w:r w:rsidRPr="005E30DD">
        <w:rPr>
          <w:color w:val="000000" w:themeColor="text1"/>
        </w:rPr>
        <w:t>Hyperglycemia</w:t>
      </w:r>
      <w:proofErr w:type="spellEnd"/>
      <w:r w:rsidRPr="005E30DD">
        <w:rPr>
          <w:color w:val="000000" w:themeColor="text1"/>
        </w:rPr>
        <w:t xml:space="preserve"> in Type 2 Diabetes, 2018. A Consensus Report by the American Diabetes Association (ADA) and the European Association for the Study of Diabetes (EASD)’, </w:t>
      </w:r>
      <w:r w:rsidRPr="005E30DD">
        <w:rPr>
          <w:i/>
          <w:color w:val="000000" w:themeColor="text1"/>
        </w:rPr>
        <w:t>Diabetes Care</w:t>
      </w:r>
      <w:r w:rsidRPr="005E30DD">
        <w:rPr>
          <w:color w:val="000000" w:themeColor="text1"/>
        </w:rPr>
        <w:t>, 43(2), pp. 487–493. Available at: https://doi.org/10.2337/dci19-0066.</w:t>
      </w:r>
    </w:p>
    <w:p w14:paraId="00000049" w14:textId="77777777" w:rsidR="005E0C2D" w:rsidRPr="005E30DD" w:rsidRDefault="00E567A0">
      <w:pPr>
        <w:rPr>
          <w:color w:val="000000" w:themeColor="text1"/>
        </w:rPr>
      </w:pPr>
      <w:r w:rsidRPr="005E30DD">
        <w:rPr>
          <w:color w:val="000000" w:themeColor="text1"/>
        </w:rPr>
        <w:t xml:space="preserve">Davies, M.J. </w:t>
      </w:r>
      <w:r w:rsidRPr="005E30DD">
        <w:rPr>
          <w:i/>
          <w:color w:val="000000" w:themeColor="text1"/>
        </w:rPr>
        <w:t>et al.</w:t>
      </w:r>
      <w:r w:rsidRPr="005E30DD">
        <w:rPr>
          <w:color w:val="000000" w:themeColor="text1"/>
        </w:rPr>
        <w:t xml:space="preserve"> (2018a) ‘Management of hyperglycaemia in type 2 diabetes, 2018. A consensus report by the American Diabetes Association (ADA) and the European Association </w:t>
      </w:r>
      <w:r w:rsidRPr="005E30DD">
        <w:rPr>
          <w:color w:val="000000" w:themeColor="text1"/>
        </w:rPr>
        <w:lastRenderedPageBreak/>
        <w:t xml:space="preserve">for the Study of Diabetes (EASD)’, </w:t>
      </w:r>
      <w:proofErr w:type="spellStart"/>
      <w:r w:rsidRPr="005E30DD">
        <w:rPr>
          <w:i/>
          <w:color w:val="000000" w:themeColor="text1"/>
        </w:rPr>
        <w:t>Diabetologia</w:t>
      </w:r>
      <w:proofErr w:type="spellEnd"/>
      <w:r w:rsidRPr="005E30DD">
        <w:rPr>
          <w:color w:val="000000" w:themeColor="text1"/>
        </w:rPr>
        <w:t>, 61(12), pp. 2461–2498. Available at: https://doi.org/10.1007/s00125-018-4729-5.</w:t>
      </w:r>
    </w:p>
    <w:p w14:paraId="0000004A" w14:textId="77777777" w:rsidR="005E0C2D" w:rsidRPr="005E30DD" w:rsidRDefault="00E567A0">
      <w:pPr>
        <w:rPr>
          <w:color w:val="000000" w:themeColor="text1"/>
        </w:rPr>
      </w:pPr>
      <w:r w:rsidRPr="005E30DD">
        <w:rPr>
          <w:color w:val="000000" w:themeColor="text1"/>
        </w:rPr>
        <w:t xml:space="preserve">Davies, M.J. </w:t>
      </w:r>
      <w:r w:rsidRPr="005E30DD">
        <w:rPr>
          <w:i/>
          <w:color w:val="000000" w:themeColor="text1"/>
        </w:rPr>
        <w:t>et al.</w:t>
      </w:r>
      <w:r w:rsidRPr="005E30DD">
        <w:rPr>
          <w:color w:val="000000" w:themeColor="text1"/>
        </w:rPr>
        <w:t xml:space="preserve"> (2018b) ‘Management of </w:t>
      </w:r>
      <w:proofErr w:type="spellStart"/>
      <w:r w:rsidRPr="005E30DD">
        <w:rPr>
          <w:color w:val="000000" w:themeColor="text1"/>
        </w:rPr>
        <w:t>Hyperglycemia</w:t>
      </w:r>
      <w:proofErr w:type="spellEnd"/>
      <w:r w:rsidRPr="005E30DD">
        <w:rPr>
          <w:color w:val="000000" w:themeColor="text1"/>
        </w:rPr>
        <w:t xml:space="preserve"> in Type 2 Diabetes, 2018. a Consensus Report by the American Diabetes Association (ADA) and the European Association for the Study of Diabetes (EASD)’, </w:t>
      </w:r>
      <w:r w:rsidRPr="005E30DD">
        <w:rPr>
          <w:i/>
          <w:color w:val="000000" w:themeColor="text1"/>
        </w:rPr>
        <w:t>Diabetes Care</w:t>
      </w:r>
      <w:r w:rsidRPr="005E30DD">
        <w:rPr>
          <w:color w:val="000000" w:themeColor="text1"/>
        </w:rPr>
        <w:t>, 41(12), pp. 2669–2701. Available at: https://doi.org/10.2337/dci18-0033.</w:t>
      </w:r>
    </w:p>
    <w:p w14:paraId="0000004B" w14:textId="77777777" w:rsidR="005E0C2D" w:rsidRPr="005E30DD" w:rsidRDefault="00E567A0">
      <w:pPr>
        <w:rPr>
          <w:color w:val="000000" w:themeColor="text1"/>
        </w:rPr>
      </w:pPr>
      <w:r w:rsidRPr="005E30DD">
        <w:rPr>
          <w:color w:val="000000" w:themeColor="text1"/>
        </w:rPr>
        <w:t xml:space="preserve">Dávila-Cervantes, C.A. (2023) ‘The burden of type 2 diabetes in adolescents and young adults in Mexico: analysis from the Global Burden of Disease Study, 1990 to 2019’, </w:t>
      </w:r>
      <w:r w:rsidRPr="005E30DD">
        <w:rPr>
          <w:i/>
          <w:color w:val="000000" w:themeColor="text1"/>
        </w:rPr>
        <w:t>Journal of Diabetes &amp; Metabolic Disorders</w:t>
      </w:r>
      <w:r w:rsidRPr="005E30DD">
        <w:rPr>
          <w:color w:val="000000" w:themeColor="text1"/>
        </w:rPr>
        <w:t>, 22(2), pp. 1673–1684. Available at: https://doi.org/10.1007/s40200-023-01299-x.</w:t>
      </w:r>
    </w:p>
    <w:p w14:paraId="0000004C" w14:textId="77777777" w:rsidR="005E0C2D" w:rsidRPr="005E30DD" w:rsidRDefault="00E567A0">
      <w:pPr>
        <w:rPr>
          <w:color w:val="000000" w:themeColor="text1"/>
        </w:rPr>
      </w:pPr>
      <w:r w:rsidRPr="005E30DD">
        <w:rPr>
          <w:color w:val="000000" w:themeColor="text1"/>
        </w:rPr>
        <w:t xml:space="preserve">de Boer, I.H. </w:t>
      </w:r>
      <w:r w:rsidRPr="005E30DD">
        <w:rPr>
          <w:i/>
          <w:color w:val="000000" w:themeColor="text1"/>
        </w:rPr>
        <w:t>et al.</w:t>
      </w:r>
      <w:r w:rsidRPr="005E30DD">
        <w:rPr>
          <w:color w:val="000000" w:themeColor="text1"/>
        </w:rPr>
        <w:t xml:space="preserve"> (2022) ‘Diabetes management in chronic kidney disease: A consensus report by the </w:t>
      </w:r>
      <w:proofErr w:type="spellStart"/>
      <w:r w:rsidRPr="005E30DD">
        <w:rPr>
          <w:color w:val="000000" w:themeColor="text1"/>
        </w:rPr>
        <w:t>american</w:t>
      </w:r>
      <w:proofErr w:type="spellEnd"/>
      <w:r w:rsidRPr="005E30DD">
        <w:rPr>
          <w:color w:val="000000" w:themeColor="text1"/>
        </w:rPr>
        <w:t xml:space="preserve"> diabetes association (ADA) and kidney disease: Improving global outcomes (KDIGO)’, </w:t>
      </w:r>
      <w:r w:rsidRPr="005E30DD">
        <w:rPr>
          <w:i/>
          <w:color w:val="000000" w:themeColor="text1"/>
        </w:rPr>
        <w:t>Diabetes Care</w:t>
      </w:r>
      <w:r w:rsidRPr="005E30DD">
        <w:rPr>
          <w:color w:val="000000" w:themeColor="text1"/>
        </w:rPr>
        <w:t>, 45(12). Available at: https://doi.org/10.2337/dci22-0027.</w:t>
      </w:r>
    </w:p>
    <w:p w14:paraId="0000004D" w14:textId="77777777" w:rsidR="005E0C2D" w:rsidRPr="005E30DD" w:rsidRDefault="00E567A0">
      <w:pPr>
        <w:rPr>
          <w:color w:val="000000" w:themeColor="text1"/>
        </w:rPr>
      </w:pPr>
      <w:r w:rsidRPr="005E30DD">
        <w:rPr>
          <w:color w:val="000000" w:themeColor="text1"/>
        </w:rPr>
        <w:t xml:space="preserve">Duncan, H.F. </w:t>
      </w:r>
      <w:r w:rsidRPr="005E30DD">
        <w:rPr>
          <w:i/>
          <w:color w:val="000000" w:themeColor="text1"/>
        </w:rPr>
        <w:t>et al.</w:t>
      </w:r>
      <w:r w:rsidRPr="005E30DD">
        <w:rPr>
          <w:color w:val="000000" w:themeColor="text1"/>
        </w:rPr>
        <w:t xml:space="preserve"> (2019) ‘European Society of Endodontology position statement: Management of deep caries and the exposed pulp’, </w:t>
      </w:r>
      <w:r w:rsidRPr="005E30DD">
        <w:rPr>
          <w:i/>
          <w:color w:val="000000" w:themeColor="text1"/>
        </w:rPr>
        <w:t>International Endodontic Journal</w:t>
      </w:r>
      <w:r w:rsidRPr="005E30DD">
        <w:rPr>
          <w:color w:val="000000" w:themeColor="text1"/>
        </w:rPr>
        <w:t>, 52(7), pp. 923–934. Available at: https://doi.org/10.1111/iej.13080.</w:t>
      </w:r>
    </w:p>
    <w:p w14:paraId="0000004E" w14:textId="77777777" w:rsidR="005E0C2D" w:rsidRPr="005E30DD" w:rsidRDefault="00E567A0">
      <w:pPr>
        <w:rPr>
          <w:color w:val="000000" w:themeColor="text1"/>
        </w:rPr>
      </w:pPr>
      <w:proofErr w:type="spellStart"/>
      <w:r w:rsidRPr="005E30DD">
        <w:rPr>
          <w:color w:val="000000" w:themeColor="text1"/>
        </w:rPr>
        <w:t>Godadaw</w:t>
      </w:r>
      <w:proofErr w:type="spellEnd"/>
      <w:r w:rsidRPr="005E30DD">
        <w:rPr>
          <w:color w:val="000000" w:themeColor="text1"/>
        </w:rPr>
        <w:t xml:space="preserve"> MISGANAW, Yohannes DAGNEW and Addis GETU (2022) ‘Comparative evaluation of phenotypic ranking decisions and trait preferences of sheep producers in Amhara regional state of Ethiopia’, </w:t>
      </w:r>
      <w:r w:rsidRPr="005E30DD">
        <w:rPr>
          <w:i/>
          <w:color w:val="000000" w:themeColor="text1"/>
        </w:rPr>
        <w:t>Online Journal of Animal and Feed Research</w:t>
      </w:r>
      <w:r w:rsidRPr="005E30DD">
        <w:rPr>
          <w:color w:val="000000" w:themeColor="text1"/>
        </w:rPr>
        <w:t>, 12(1), pp. 14–20. Available at: https://doi.org/10.51227/ojafr.2022.3.</w:t>
      </w:r>
    </w:p>
    <w:p w14:paraId="0000004F" w14:textId="77777777" w:rsidR="005E0C2D" w:rsidRPr="005E30DD" w:rsidRDefault="00E567A0">
      <w:pPr>
        <w:rPr>
          <w:color w:val="000000" w:themeColor="text1"/>
        </w:rPr>
      </w:pPr>
      <w:r w:rsidRPr="005E30DD">
        <w:rPr>
          <w:color w:val="000000" w:themeColor="text1"/>
        </w:rPr>
        <w:t xml:space="preserve">Mancia, G. </w:t>
      </w:r>
      <w:r w:rsidRPr="005E30DD">
        <w:rPr>
          <w:i/>
          <w:color w:val="000000" w:themeColor="text1"/>
        </w:rPr>
        <w:t>et al.</w:t>
      </w:r>
      <w:r w:rsidRPr="005E30DD">
        <w:rPr>
          <w:color w:val="000000" w:themeColor="text1"/>
        </w:rPr>
        <w:t xml:space="preserve"> (2013) ‘2013 ESH/ESC Guidelines for the management of arterial hypertension: the Task Force for the management of arterial hypertension of the European Society of Hypertension (ESH) and of the European Society of Cardiology (ESC)’, </w:t>
      </w:r>
      <w:r w:rsidRPr="005E30DD">
        <w:rPr>
          <w:i/>
          <w:color w:val="000000" w:themeColor="text1"/>
        </w:rPr>
        <w:t>Journal of hypertension</w:t>
      </w:r>
      <w:r w:rsidRPr="005E30DD">
        <w:rPr>
          <w:color w:val="000000" w:themeColor="text1"/>
        </w:rPr>
        <w:t>, 31(7), pp. 1281–357. Available at: https://doi.org/10.1097/01.hjh.0000431740.32696.cc.</w:t>
      </w:r>
    </w:p>
    <w:p w14:paraId="00000050" w14:textId="77777777" w:rsidR="005E0C2D" w:rsidRPr="005E30DD" w:rsidRDefault="00E567A0">
      <w:pPr>
        <w:rPr>
          <w:color w:val="000000" w:themeColor="text1"/>
        </w:rPr>
      </w:pPr>
      <w:r w:rsidRPr="005E30DD">
        <w:rPr>
          <w:color w:val="000000" w:themeColor="text1"/>
        </w:rPr>
        <w:t xml:space="preserve">Revich, B.A. (2024) ‘COVID-19 pandemic: the role of risk factors related to urban space (Analytical review)’, </w:t>
      </w:r>
      <w:r w:rsidRPr="005E30DD">
        <w:rPr>
          <w:i/>
          <w:color w:val="000000" w:themeColor="text1"/>
        </w:rPr>
        <w:t>Health Risk Analysis</w:t>
      </w:r>
      <w:r w:rsidRPr="005E30DD">
        <w:rPr>
          <w:color w:val="000000" w:themeColor="text1"/>
        </w:rPr>
        <w:t>, (2), pp. 170–184. Available at: https://doi.org/10.21668/health.risk/2024.2.16.</w:t>
      </w:r>
    </w:p>
    <w:p w14:paraId="00000051" w14:textId="77777777" w:rsidR="005E0C2D" w:rsidRPr="005E30DD" w:rsidRDefault="00E567A0">
      <w:pPr>
        <w:rPr>
          <w:color w:val="000000" w:themeColor="text1"/>
        </w:rPr>
      </w:pPr>
      <w:r w:rsidRPr="005E30DD">
        <w:rPr>
          <w:color w:val="000000" w:themeColor="text1"/>
        </w:rPr>
        <w:t xml:space="preserve">Rivera, L.A., </w:t>
      </w:r>
      <w:proofErr w:type="spellStart"/>
      <w:r w:rsidRPr="005E30DD">
        <w:rPr>
          <w:color w:val="000000" w:themeColor="text1"/>
        </w:rPr>
        <w:t>Lebenbaum</w:t>
      </w:r>
      <w:proofErr w:type="spellEnd"/>
      <w:r w:rsidRPr="005E30DD">
        <w:rPr>
          <w:color w:val="000000" w:themeColor="text1"/>
        </w:rPr>
        <w:t xml:space="preserve">, M. and Rosella, L.C. (2015) ‘The influence of socioeconomic status on future risk for developing Type 2 diabetes in the Canadian population between 2011 and </w:t>
      </w:r>
      <w:r w:rsidRPr="005E30DD">
        <w:rPr>
          <w:color w:val="000000" w:themeColor="text1"/>
        </w:rPr>
        <w:lastRenderedPageBreak/>
        <w:t xml:space="preserve">2022: differential associations by sex’, </w:t>
      </w:r>
      <w:r w:rsidRPr="005E30DD">
        <w:rPr>
          <w:i/>
          <w:color w:val="000000" w:themeColor="text1"/>
        </w:rPr>
        <w:t>International Journal for Equity in Health</w:t>
      </w:r>
      <w:r w:rsidRPr="005E30DD">
        <w:rPr>
          <w:color w:val="000000" w:themeColor="text1"/>
        </w:rPr>
        <w:t>, 14(1). Available at: https://doi.org/10.1186/s12939-015-0245-0.</w:t>
      </w:r>
    </w:p>
    <w:p w14:paraId="0000005B" w14:textId="77777777" w:rsidR="005E0C2D" w:rsidRPr="005E30DD" w:rsidRDefault="005E0C2D">
      <w:pPr>
        <w:rPr>
          <w:color w:val="000000" w:themeColor="text1"/>
        </w:rPr>
      </w:pPr>
    </w:p>
    <w:sectPr w:rsidR="005E0C2D" w:rsidRPr="005E30DD">
      <w:footerReference w:type="default" r:id="rId6"/>
      <w:footerReference w:type="first" r:id="rId7"/>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1586C" w14:textId="77777777" w:rsidR="00F763AD" w:rsidRDefault="00F763AD">
      <w:pPr>
        <w:spacing w:after="0" w:line="240" w:lineRule="auto"/>
      </w:pPr>
      <w:r>
        <w:separator/>
      </w:r>
    </w:p>
  </w:endnote>
  <w:endnote w:type="continuationSeparator" w:id="0">
    <w:p w14:paraId="36C13A45" w14:textId="77777777" w:rsidR="00F763AD" w:rsidRDefault="00F76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C" w14:textId="56E723FD" w:rsidR="005E0C2D" w:rsidRDefault="00E567A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6A269E">
      <w:rPr>
        <w:noProof/>
        <w:color w:val="000000"/>
      </w:rPr>
      <w:t>8</w:t>
    </w:r>
    <w:r>
      <w:rPr>
        <w:color w:val="000000"/>
      </w:rPr>
      <w:fldChar w:fldCharType="end"/>
    </w:r>
  </w:p>
  <w:p w14:paraId="0000005D" w14:textId="77777777" w:rsidR="005E0C2D" w:rsidRDefault="005E0C2D">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E" w14:textId="77777777" w:rsidR="005E0C2D" w:rsidRDefault="005E0C2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C100A0" w14:textId="77777777" w:rsidR="00F763AD" w:rsidRDefault="00F763AD">
      <w:pPr>
        <w:spacing w:after="0" w:line="240" w:lineRule="auto"/>
      </w:pPr>
      <w:r>
        <w:separator/>
      </w:r>
    </w:p>
  </w:footnote>
  <w:footnote w:type="continuationSeparator" w:id="0">
    <w:p w14:paraId="300F4EB6" w14:textId="77777777" w:rsidR="00F763AD" w:rsidRDefault="00F763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C2D"/>
    <w:rsid w:val="000B3AF8"/>
    <w:rsid w:val="001B027C"/>
    <w:rsid w:val="00371051"/>
    <w:rsid w:val="004B2152"/>
    <w:rsid w:val="004E77D3"/>
    <w:rsid w:val="005824F4"/>
    <w:rsid w:val="005E0C2D"/>
    <w:rsid w:val="005E30DD"/>
    <w:rsid w:val="005F1860"/>
    <w:rsid w:val="006A269E"/>
    <w:rsid w:val="00BC18AD"/>
    <w:rsid w:val="00BC6802"/>
    <w:rsid w:val="00C863A1"/>
    <w:rsid w:val="00DC5996"/>
    <w:rsid w:val="00E567A0"/>
    <w:rsid w:val="00F76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A7BC2"/>
  <w15:docId w15:val="{CFD7CE23-A078-4A1C-A467-39E90ABB2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jc w:val="center"/>
      <w:outlineLvl w:val="0"/>
    </w:pPr>
    <w:rPr>
      <w:b/>
      <w:sz w:val="32"/>
      <w:szCs w:val="32"/>
    </w:rPr>
  </w:style>
  <w:style w:type="paragraph" w:styleId="Heading2">
    <w:name w:val="heading 2"/>
    <w:basedOn w:val="Normal"/>
    <w:next w:val="Normal"/>
    <w:pPr>
      <w:keepNext/>
      <w:keepLines/>
      <w:spacing w:before="40" w:after="0"/>
      <w:outlineLvl w:val="1"/>
    </w:pPr>
    <w:rPr>
      <w:b/>
      <w:color w:val="2E75B5"/>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0" w:line="240" w:lineRule="auto"/>
    </w:pPr>
    <w:rPr>
      <w:sz w:val="56"/>
      <w:szCs w:val="56"/>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5824F4"/>
    <w:pPr>
      <w:spacing w:after="100"/>
    </w:pPr>
  </w:style>
  <w:style w:type="paragraph" w:styleId="TOC2">
    <w:name w:val="toc 2"/>
    <w:basedOn w:val="Normal"/>
    <w:next w:val="Normal"/>
    <w:autoRedefine/>
    <w:uiPriority w:val="39"/>
    <w:unhideWhenUsed/>
    <w:rsid w:val="005824F4"/>
    <w:pPr>
      <w:spacing w:after="100"/>
      <w:ind w:left="240"/>
    </w:pPr>
  </w:style>
  <w:style w:type="character" w:styleId="Hyperlink">
    <w:name w:val="Hyperlink"/>
    <w:basedOn w:val="DefaultParagraphFont"/>
    <w:uiPriority w:val="99"/>
    <w:unhideWhenUsed/>
    <w:rsid w:val="005824F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11</Pages>
  <Words>2743</Words>
  <Characters>15638</Characters>
  <Application>Microsoft Office Word</Application>
  <DocSecurity>0</DocSecurity>
  <Lines>130</Lines>
  <Paragraphs>36</Paragraphs>
  <ScaleCrop>false</ScaleCrop>
  <Company/>
  <LinksUpToDate>false</LinksUpToDate>
  <CharactersWithSpaces>18345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Bivash Saha</cp:lastModifiedBy>
  <cp:revision>14</cp:revision>
  <dcterms:created xsi:type="dcterms:W3CDTF">2025-10-08T15:30:00Z</dcterms:created>
  <dcterms:modified xsi:type="dcterms:W3CDTF">2025-10-10T09:03:00Z</dcterms:modified>
</cp:coreProperties>
</file>