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224800" w:rsidP="0B71B928" w:rsidRDefault="00224800" w14:paraId="17D1BFBF" wp14:textId="77777777">
      <w:pPr>
        <w:spacing w:before="100" w:beforeAutospacing="on" w:after="100" w:afterAutospacing="on" w:line="360" w:lineRule="auto"/>
        <w:jc w:val="center"/>
        <w:rPr>
          <w:b w:val="1"/>
          <w:bCs w:val="1"/>
        </w:rPr>
      </w:pPr>
      <w:r w:rsidRPr="0B71B928" w:rsidR="00224800">
        <w:rPr>
          <w:b w:val="1"/>
          <w:bCs w:val="1"/>
        </w:rPr>
        <w:t>Cover Page</w:t>
      </w:r>
    </w:p>
    <w:p xmlns:wp14="http://schemas.microsoft.com/office/word/2010/wordml" w:rsidR="00224800" w:rsidP="0B71B928" w:rsidRDefault="00224800" w14:paraId="672A6659" wp14:textId="77777777">
      <w:pPr>
        <w:spacing w:before="100" w:beforeAutospacing="on" w:after="100" w:afterAutospacing="on" w:line="360" w:lineRule="auto"/>
        <w:jc w:val="both"/>
        <w:rPr>
          <w:b w:val="1"/>
          <w:bCs w:val="1"/>
        </w:rPr>
      </w:pPr>
    </w:p>
    <w:p xmlns:wp14="http://schemas.microsoft.com/office/word/2010/wordml" w:rsidRPr="00224800" w:rsidR="00224800" w:rsidP="00224800" w:rsidRDefault="00224800" w14:paraId="03E5B96C" wp14:textId="77777777">
      <w:pPr>
        <w:pStyle w:val="NormalWeb"/>
        <w:rPr>
          <w:b w:val="1"/>
          <w:bCs w:val="1"/>
        </w:rPr>
      </w:pPr>
      <w:r w:rsidRPr="0B71B928" w:rsidR="00224800">
        <w:rPr>
          <w:rStyle w:val="Strong"/>
          <w:b w:val="0"/>
          <w:bCs w:val="0"/>
        </w:rPr>
        <w:t>BSc (Hons) Health and Social Care</w:t>
      </w:r>
      <w:r>
        <w:br/>
      </w:r>
      <w:r w:rsidRPr="0B71B928" w:rsidR="00224800">
        <w:rPr>
          <w:rStyle w:val="Strong"/>
          <w:b w:val="0"/>
          <w:bCs w:val="0"/>
        </w:rPr>
        <w:t>Health, Wellbeing and Sustainable Development</w:t>
      </w:r>
      <w:r>
        <w:br/>
      </w:r>
      <w:r w:rsidRPr="0B71B928" w:rsidR="00224800">
        <w:rPr>
          <w:rStyle w:val="Strong"/>
          <w:b w:val="0"/>
          <w:bCs w:val="0"/>
        </w:rPr>
        <w:t>Module code: BMHP6030</w:t>
      </w:r>
    </w:p>
    <w:p xmlns:wp14="http://schemas.microsoft.com/office/word/2010/wordml" w:rsidR="00224800" w:rsidP="00224800" w:rsidRDefault="00EB6C35" w14:paraId="0A37501D" wp14:textId="77777777">
      <w:r w:rsidRPr="00EB6C35">
        <w:rPr>
          <w:noProof/>
          <w14:ligatures w14:val="standardContextual"/>
        </w:rPr>
        <w:pict w14:anchorId="568D0FA9">
          <v:rect id="_x0000_i1029" style="width:451.3pt;height:.05pt;mso-width-percent:0;mso-height-percent:0;mso-width-percent:0;mso-height-percent:0" alt="" o:hr="t" o:hrstd="t" o:hralign="center" fillcolor="#a0a0a0" stroked="f"/>
        </w:pict>
      </w:r>
    </w:p>
    <w:p xmlns:wp14="http://schemas.microsoft.com/office/word/2010/wordml" w:rsidRPr="00224800" w:rsidR="00224800" w:rsidP="00224800" w:rsidRDefault="00224800" w14:paraId="4E31762B" wp14:textId="77777777">
      <w:pPr>
        <w:pStyle w:val="NormalWeb"/>
        <w:rPr>
          <w:b w:val="1"/>
          <w:bCs w:val="1"/>
        </w:rPr>
      </w:pPr>
      <w:r w:rsidRPr="0B71B928" w:rsidR="00224800">
        <w:rPr>
          <w:rStyle w:val="Strong"/>
          <w:b w:val="0"/>
          <w:bCs w:val="0"/>
        </w:rPr>
        <w:t>Assignment Title:</w:t>
      </w:r>
      <w:r>
        <w:br/>
      </w:r>
      <w:r w:rsidRPr="0B71B928" w:rsidR="00224800">
        <w:rPr>
          <w:rStyle w:val="Strong"/>
          <w:b w:val="0"/>
          <w:bCs w:val="0"/>
        </w:rPr>
        <w:t>Component 2 – Written Report</w:t>
      </w:r>
    </w:p>
    <w:p xmlns:wp14="http://schemas.microsoft.com/office/word/2010/wordml" w:rsidR="00224800" w:rsidP="00224800" w:rsidRDefault="00EB6C35" w14:paraId="5DAB6C7B" wp14:textId="77777777">
      <w:r w:rsidRPr="00EB6C35">
        <w:rPr>
          <w:noProof/>
          <w14:ligatures w14:val="standardContextual"/>
        </w:rPr>
        <w:pict w14:anchorId="4CAA527A">
          <v:rect id="_x0000_i1028" style="width:451.3pt;height:.05pt;mso-width-percent:0;mso-height-percent:0;mso-width-percent:0;mso-height-percent:0" alt="" o:hr="t" o:hrstd="t" o:hralign="center" fillcolor="#a0a0a0" stroked="f"/>
        </w:pict>
      </w:r>
    </w:p>
    <w:p xmlns:wp14="http://schemas.microsoft.com/office/word/2010/wordml" w:rsidRPr="00224800" w:rsidR="00224800" w:rsidP="0B71B928" w:rsidRDefault="00224800" w14:paraId="697E494E" wp14:textId="3FF2DC1B">
      <w:pPr>
        <w:pStyle w:val="NormalWeb"/>
      </w:pPr>
      <w:r w:rsidRPr="0B71B928" w:rsidR="00224800">
        <w:rPr>
          <w:rStyle w:val="Strong"/>
          <w:b w:val="0"/>
          <w:bCs w:val="0"/>
        </w:rPr>
        <w:t>Student Name:</w:t>
      </w:r>
      <w:r w:rsidRPr="0B71B928" w:rsidR="41E745C3">
        <w:rPr>
          <w:rStyle w:val="Strong"/>
          <w:b w:val="0"/>
          <w:bCs w:val="0"/>
        </w:rPr>
        <w:t xml:space="preserve"> Fatema Khatun</w:t>
      </w:r>
    </w:p>
    <w:p xmlns:wp14="http://schemas.microsoft.com/office/word/2010/wordml" w:rsidRPr="00224800" w:rsidR="00224800" w:rsidP="00224800" w:rsidRDefault="00224800" w14:paraId="627A37B1" wp14:textId="106ECC74">
      <w:pPr>
        <w:pStyle w:val="NormalWeb"/>
        <w:rPr>
          <w:b w:val="1"/>
          <w:bCs w:val="1"/>
        </w:rPr>
      </w:pPr>
      <w:r w:rsidRPr="0B71B928" w:rsidR="00224800">
        <w:rPr>
          <w:rStyle w:val="Strong"/>
          <w:b w:val="0"/>
          <w:bCs w:val="0"/>
        </w:rPr>
        <w:t>Student Number:</w:t>
      </w:r>
      <w:r w:rsidRPr="0B71B928" w:rsidR="482C5A2A">
        <w:rPr>
          <w:rStyle w:val="Strong"/>
          <w:b w:val="0"/>
          <w:bCs w:val="0"/>
        </w:rPr>
        <w:t xml:space="preserve"> 2221664</w:t>
      </w:r>
      <w:r>
        <w:br/>
      </w:r>
    </w:p>
    <w:p xmlns:wp14="http://schemas.microsoft.com/office/word/2010/wordml" w:rsidR="00224800" w:rsidP="00224800" w:rsidRDefault="00EB6C35" w14:paraId="5A39BBE3" wp14:textId="77777777">
      <w:r w:rsidRPr="00EB6C35">
        <w:rPr>
          <w:noProof/>
          <w14:ligatures w14:val="standardContextual"/>
        </w:rPr>
        <w:pict w14:anchorId="375E545A">
          <v:rect id="_x0000_i1025" style="width:451.3pt;height:.05pt;mso-width-percent:0;mso-height-percent:0;mso-width-percent:0;mso-height-percent:0" alt="" o:hr="t" o:hrstd="t" o:hralign="center" fillcolor="#a0a0a0" stroked="f"/>
        </w:pict>
      </w:r>
    </w:p>
    <w:p xmlns:wp14="http://schemas.microsoft.com/office/word/2010/wordml" w:rsidR="00224800" w:rsidP="00224800" w:rsidRDefault="00224800" w14:paraId="4E7B3660" wp14:textId="77777777">
      <w:pPr>
        <w:pStyle w:val="NormalWeb"/>
      </w:pPr>
      <w:r w:rsidRPr="0B71B928" w:rsidR="00224800">
        <w:rPr>
          <w:rStyle w:val="Strong"/>
        </w:rPr>
        <w:t>Submission Date:</w:t>
      </w:r>
      <w:r>
        <w:br/>
      </w:r>
      <w:r w:rsidR="00224800">
        <w:rPr/>
        <w:t>16 November 2025</w:t>
      </w:r>
    </w:p>
    <w:p xmlns:wp14="http://schemas.microsoft.com/office/word/2010/wordml" w:rsidR="00224800" w:rsidP="0B71B928" w:rsidRDefault="00224800" w14:paraId="41C8F396" wp14:textId="77777777">
      <w:pPr>
        <w:spacing w:before="100" w:beforeAutospacing="on" w:after="100" w:afterAutospacing="on" w:line="360" w:lineRule="auto"/>
        <w:jc w:val="both"/>
        <w:rPr>
          <w:b w:val="1"/>
          <w:bCs w:val="1"/>
        </w:rPr>
      </w:pPr>
    </w:p>
    <w:p xmlns:wp14="http://schemas.microsoft.com/office/word/2010/wordml" w:rsidR="00224800" w:rsidP="0B71B928" w:rsidRDefault="00224800" w14:paraId="72A3D3EC" wp14:textId="77777777">
      <w:pPr>
        <w:spacing w:before="100" w:beforeAutospacing="on" w:after="100" w:afterAutospacing="on" w:line="360" w:lineRule="auto"/>
        <w:jc w:val="both"/>
        <w:rPr>
          <w:b w:val="1"/>
          <w:bCs w:val="1"/>
        </w:rPr>
      </w:pPr>
    </w:p>
    <w:p xmlns:wp14="http://schemas.microsoft.com/office/word/2010/wordml" w:rsidR="00224800" w:rsidP="0B71B928" w:rsidRDefault="00224800" w14:paraId="0D0B940D" wp14:textId="77777777">
      <w:pPr>
        <w:spacing w:before="100" w:beforeAutospacing="on" w:after="100" w:afterAutospacing="on" w:line="360" w:lineRule="auto"/>
        <w:jc w:val="both"/>
        <w:rPr>
          <w:b w:val="1"/>
          <w:bCs w:val="1"/>
        </w:rPr>
      </w:pPr>
    </w:p>
    <w:p xmlns:wp14="http://schemas.microsoft.com/office/word/2010/wordml" w:rsidR="00224800" w:rsidP="0B71B928" w:rsidRDefault="00224800" w14:paraId="0E27B00A" wp14:textId="77777777">
      <w:pPr>
        <w:spacing w:before="100" w:beforeAutospacing="on" w:after="100" w:afterAutospacing="on" w:line="360" w:lineRule="auto"/>
        <w:jc w:val="both"/>
        <w:rPr>
          <w:b w:val="1"/>
          <w:bCs w:val="1"/>
        </w:rPr>
      </w:pPr>
    </w:p>
    <w:p xmlns:wp14="http://schemas.microsoft.com/office/word/2010/wordml" w:rsidRPr="00224800" w:rsidR="00B926C1" w:rsidP="00224800" w:rsidRDefault="00D341EF" w14:paraId="13BA0828" wp14:textId="77777777">
      <w:pPr>
        <w:spacing w:before="100" w:beforeAutospacing="1" w:after="100" w:afterAutospacing="1" w:line="360" w:lineRule="auto"/>
        <w:jc w:val="both"/>
      </w:pPr>
      <w:r w:rsidRPr="00224800">
        <w:rPr>
          <w:b/>
          <w:bCs/>
        </w:rPr>
        <w:t>A critical analysis of Sustainable Development Goal 3 (Good Health and Well-being) and Sustainable Development Goal 5 (Gender Equality): global, national and local implications for women’s health, with reference to Birmingham, UK</w:t>
      </w:r>
    </w:p>
    <w:p xmlns:wp14="http://schemas.microsoft.com/office/word/2010/wordml" w:rsidRPr="00224800" w:rsidR="00D341EF" w:rsidP="00224800" w:rsidRDefault="00D341EF" w14:paraId="32A36C38" wp14:textId="77777777">
      <w:pPr>
        <w:spacing w:before="100" w:beforeAutospacing="1" w:after="100" w:afterAutospacing="1" w:line="360" w:lineRule="auto"/>
        <w:jc w:val="both"/>
      </w:pPr>
      <w:r w:rsidRPr="00224800">
        <w:rPr>
          <w:b/>
          <w:bCs/>
        </w:rPr>
        <w:t>1. Introduction</w:t>
      </w:r>
    </w:p>
    <w:p xmlns:wp14="http://schemas.microsoft.com/office/word/2010/wordml" w:rsidRPr="00224800" w:rsidR="00B926C1" w:rsidP="00224800" w:rsidRDefault="00B926C1" w14:paraId="56D955AE" wp14:textId="77777777">
      <w:pPr>
        <w:pStyle w:val="NormalWeb"/>
        <w:spacing w:line="360" w:lineRule="auto"/>
        <w:jc w:val="both"/>
      </w:pPr>
      <w:r w:rsidR="00B926C1">
        <w:rPr/>
        <w:t>This report is one</w:t>
      </w:r>
      <w:r w:rsidR="00B926C1">
        <w:rPr/>
        <w:t> </w:t>
      </w:r>
      <w:r w:rsidR="00B926C1">
        <w:rPr/>
        <w:t>of the first to offer a critical analysis of how SDG 3: Health and Well-being (SDG 3) and SDG 5: Gender Equality (SDG; &amp; their related targets have an effect on women’s health, at global, national, regional/global and local levels. It starts by discussing the conceptual</w:t>
      </w:r>
      <w:r w:rsidR="00B926C1">
        <w:rPr/>
        <w:t> </w:t>
      </w:r>
      <w:r w:rsidR="00B926C1">
        <w:rPr/>
        <w:t>and policy context, focusing on health and well-being, including gender equality. It then moves to</w:t>
      </w:r>
      <w:r w:rsidR="00B926C1">
        <w:rPr/>
        <w:t> </w:t>
      </w:r>
      <w:r w:rsidR="00B926C1">
        <w:rPr/>
        <w:t>global analyses of the impact of gender inequality on health and care. The discussion then refines to the national level within the UK examining policy developments such as Women’s Health</w:t>
      </w:r>
      <w:r w:rsidR="00B926C1">
        <w:rPr/>
        <w:t> </w:t>
      </w:r>
      <w:r w:rsidR="00B926C1">
        <w:rPr/>
        <w:t xml:space="preserve">Strategy for England. After this, a local case study from Birmingham is the focus </w:t>
      </w:r>
      <w:r w:rsidR="00B926C1">
        <w:rPr/>
        <w:t>analysing</w:t>
      </w:r>
      <w:r w:rsidR="00B926C1">
        <w:rPr/>
        <w:t> </w:t>
      </w:r>
      <w:r w:rsidR="00B926C1">
        <w:rPr/>
        <w:t>how gendered health inequalities are approached by local public-health initiatives. The final sections draw together the findings, discuss implications for policy impact and offer</w:t>
      </w:r>
      <w:r w:rsidR="00B926C1">
        <w:rPr/>
        <w:t> </w:t>
      </w:r>
      <w:r w:rsidR="00B926C1">
        <w:rPr/>
        <w:t>evidence-based recommendations to enhance the integration of SDG 3 and SDG 5 in health and gender policy/practice.</w:t>
      </w:r>
    </w:p>
    <w:p xmlns:wp14="http://schemas.microsoft.com/office/word/2010/wordml" w:rsidRPr="00224800" w:rsidR="00B926C1" w:rsidP="0B71B928" w:rsidRDefault="00B926C1" w14:paraId="0F7DDE0E" wp14:textId="77777777">
      <w:pPr>
        <w:spacing w:before="100" w:beforeAutospacing="on" w:after="100" w:afterAutospacing="on" w:line="360" w:lineRule="auto"/>
        <w:jc w:val="both"/>
        <w:outlineLvl w:val="2"/>
        <w:rPr>
          <w:b w:val="1"/>
          <w:bCs w:val="1"/>
        </w:rPr>
      </w:pPr>
      <w:r w:rsidRPr="0B71B928" w:rsidR="00B926C1">
        <w:rPr>
          <w:b w:val="1"/>
          <w:bCs w:val="1"/>
        </w:rPr>
        <w:t>2</w:t>
      </w:r>
      <w:r w:rsidRPr="0B71B928" w:rsidR="00D341EF">
        <w:rPr>
          <w:b w:val="1"/>
          <w:bCs w:val="1"/>
        </w:rPr>
        <w:t xml:space="preserve">. </w:t>
      </w:r>
      <w:r w:rsidRPr="0B71B928" w:rsidR="00B926C1">
        <w:rPr>
          <w:b w:val="1"/>
          <w:bCs w:val="1"/>
        </w:rPr>
        <w:t>Conceptual and policy background</w:t>
      </w:r>
    </w:p>
    <w:p xmlns:wp14="http://schemas.microsoft.com/office/word/2010/wordml" w:rsidRPr="00224800" w:rsidR="00B926C1" w:rsidP="00224800" w:rsidRDefault="00B926C1" w14:paraId="0BDFAB64" wp14:textId="77777777">
      <w:pPr>
        <w:pStyle w:val="NormalWeb"/>
        <w:spacing w:line="360" w:lineRule="auto"/>
        <w:jc w:val="both"/>
      </w:pPr>
      <w:r w:rsidR="00B926C1">
        <w:rPr/>
        <w:t>WHO defines health as “a state of complete physical, mental and social well-being and not merely the absence of disease</w:t>
      </w:r>
      <w:r w:rsidR="00B926C1">
        <w:rPr/>
        <w:t> </w:t>
      </w:r>
      <w:r w:rsidR="00B926C1">
        <w:rPr/>
        <w:t>or infirmity” (WHO, 1948). Well-being is broader than clinical health outcomes and encompasses subjective life satisfaction, social connectedness and</w:t>
      </w:r>
      <w:r w:rsidR="00B926C1">
        <w:rPr/>
        <w:t> </w:t>
      </w:r>
      <w:r w:rsidR="00B926C1">
        <w:rPr/>
        <w:t xml:space="preserve">the ability to achieve one’s potential. Definition </w:t>
      </w:r>
      <w:r w:rsidR="00B926C1">
        <w:rPr/>
        <w:t>Susutainable</w:t>
      </w:r>
      <w:r w:rsidR="00B926C1">
        <w:rPr/>
        <w:t xml:space="preserve"> development is often defined as “development that meets the needs of the present without compromising the ability of future generations to meet their</w:t>
      </w:r>
      <w:r w:rsidR="00B926C1">
        <w:rPr/>
        <w:t> </w:t>
      </w:r>
      <w:r w:rsidR="00B926C1">
        <w:rPr/>
        <w:t>own needs” (Brundtland Commission, 1987). The 2030 Agenda for Sustainable Development</w:t>
      </w:r>
      <w:r w:rsidR="00B926C1">
        <w:rPr/>
        <w:t> </w:t>
      </w:r>
      <w:r w:rsidR="00B926C1">
        <w:rPr/>
        <w:t>defined 17 SDGs, with SDG 3 focusing on the health and well-being of all people globally and SDG 5 being devoted to gender equality.</w:t>
      </w:r>
    </w:p>
    <w:p xmlns:wp14="http://schemas.microsoft.com/office/word/2010/wordml" w:rsidRPr="00224800" w:rsidR="00B926C1" w:rsidP="00224800" w:rsidRDefault="00B926C1" w14:paraId="23E2D6DF" wp14:textId="77777777">
      <w:pPr>
        <w:pStyle w:val="NormalWeb"/>
        <w:spacing w:line="360" w:lineRule="auto"/>
        <w:jc w:val="both"/>
      </w:pPr>
      <w:r w:rsidR="00B926C1">
        <w:rPr/>
        <w:t>SDG 3 is to “ensure healthy lives and promote well-being for all at all</w:t>
      </w:r>
      <w:r w:rsidR="00B926C1">
        <w:rPr/>
        <w:t> </w:t>
      </w:r>
      <w:r w:rsidR="00B926C1">
        <w:rPr/>
        <w:t>ages” SDG 5 related to “achieve gender equality and empower all women and girls”. These health and gender equality outcomes are fundamentally connected: gender equality is a social determinant of</w:t>
      </w:r>
      <w:r w:rsidR="00B926C1">
        <w:rPr/>
        <w:t> </w:t>
      </w:r>
      <w:r w:rsidR="00B926C1">
        <w:rPr/>
        <w:t xml:space="preserve">health as power imbalances, violence based on gender, discrimination and unequal access to resources shape the health response (WHO/UN Women, 2023). On the other hand, ill-health and lack of </w:t>
      </w:r>
      <w:r w:rsidR="00B926C1">
        <w:rPr/>
        <w:t>access to health care intensify gender inequalities by impeding women's</w:t>
      </w:r>
      <w:r w:rsidR="00B926C1">
        <w:rPr/>
        <w:t> </w:t>
      </w:r>
      <w:r w:rsidR="00B926C1">
        <w:rPr/>
        <w:t>contribution to social, economic and political life.</w:t>
      </w:r>
    </w:p>
    <w:p xmlns:wp14="http://schemas.microsoft.com/office/word/2010/wordml" w:rsidRPr="00224800" w:rsidR="00B926C1" w:rsidP="00224800" w:rsidRDefault="00B926C1" w14:paraId="66AC9061" wp14:textId="77777777">
      <w:pPr>
        <w:pStyle w:val="NormalWeb"/>
        <w:spacing w:line="360" w:lineRule="auto"/>
        <w:jc w:val="both"/>
      </w:pPr>
      <w:r w:rsidR="00B926C1">
        <w:rPr/>
        <w:t>Social determinants of health model, illustrated by the Dahlgren–Whitehead “rainbow” model, explains</w:t>
      </w:r>
      <w:r w:rsidR="00B926C1">
        <w:rPr/>
        <w:t> </w:t>
      </w:r>
      <w:r w:rsidR="00B926C1">
        <w:rPr/>
        <w:t>that individual health is influenced not only by lifestyle and personal behavior but also social networks, conditions where people live and work in, broad socio‐economic institutions and cultural environment (Dahlgren &amp; Whitehead, 1991). Gender functions through all these levels; women, for instance,</w:t>
      </w:r>
      <w:r w:rsidR="00B926C1">
        <w:rPr/>
        <w:t> </w:t>
      </w:r>
      <w:r w:rsidR="00B926C1">
        <w:rPr/>
        <w:t>may suffer from higher-than-fair shares in unpaid care-work, lower income and decision-making opportunities, all of which can have adverse impacts on their health. At the policy level, responses need to occur at global, national and local levels and across sectors (health, gender, social services)</w:t>
      </w:r>
      <w:r w:rsidR="00B926C1">
        <w:rPr/>
        <w:t> </w:t>
      </w:r>
      <w:r w:rsidR="00B926C1">
        <w:rPr/>
        <w:t>in order to respond effectively to these complexities.</w:t>
      </w:r>
    </w:p>
    <w:p xmlns:wp14="http://schemas.microsoft.com/office/word/2010/wordml" w:rsidRPr="00224800" w:rsidR="00D341EF" w:rsidP="0B71B928" w:rsidRDefault="00D341EF" w14:paraId="425F6401" wp14:textId="77777777">
      <w:pPr>
        <w:spacing w:before="100" w:beforeAutospacing="on" w:after="100" w:afterAutospacing="on" w:line="360" w:lineRule="auto"/>
        <w:jc w:val="both"/>
        <w:outlineLvl w:val="2"/>
        <w:rPr>
          <w:b w:val="1"/>
          <w:bCs w:val="1"/>
        </w:rPr>
      </w:pPr>
      <w:r w:rsidRPr="0B71B928" w:rsidR="00D341EF">
        <w:rPr>
          <w:b w:val="1"/>
          <w:bCs w:val="1"/>
        </w:rPr>
        <w:t xml:space="preserve">3. Global analysis: </w:t>
      </w:r>
      <w:r w:rsidRPr="0B71B928" w:rsidR="00224800">
        <w:rPr>
          <w:b w:val="1"/>
          <w:bCs w:val="1"/>
        </w:rPr>
        <w:t>(</w:t>
      </w:r>
      <w:r w:rsidRPr="0B71B928" w:rsidR="00224800">
        <w:rPr>
          <w:b w:val="1"/>
          <w:bCs w:val="1"/>
        </w:rPr>
        <w:t xml:space="preserve">Sustainable Development </w:t>
      </w:r>
      <w:r w:rsidRPr="0B71B928" w:rsidR="00224800">
        <w:rPr>
          <w:b w:val="1"/>
          <w:bCs w:val="1"/>
        </w:rPr>
        <w:t xml:space="preserve">Goal </w:t>
      </w:r>
      <w:r w:rsidRPr="0B71B928" w:rsidR="00224800">
        <w:rPr>
          <w:b w:val="1"/>
          <w:bCs w:val="1"/>
        </w:rPr>
        <w:t>)</w:t>
      </w:r>
      <w:r w:rsidRPr="0B71B928" w:rsidR="00D341EF">
        <w:rPr>
          <w:b w:val="1"/>
          <w:bCs w:val="1"/>
        </w:rPr>
        <w:t>SDG</w:t>
      </w:r>
      <w:r w:rsidRPr="0B71B928" w:rsidR="00D341EF">
        <w:rPr>
          <w:b w:val="1"/>
          <w:bCs w:val="1"/>
        </w:rPr>
        <w:t xml:space="preserve"> 3 and SDG 5</w:t>
      </w:r>
    </w:p>
    <w:p xmlns:wp14="http://schemas.microsoft.com/office/word/2010/wordml" w:rsidRPr="00224800" w:rsidR="00B926C1" w:rsidP="00224800" w:rsidRDefault="00B926C1" w14:paraId="0AC9872D" wp14:textId="77777777">
      <w:pPr>
        <w:pStyle w:val="NormalWeb"/>
        <w:spacing w:line="360" w:lineRule="auto"/>
        <w:jc w:val="both"/>
      </w:pPr>
      <w:r w:rsidR="00B926C1">
        <w:rPr/>
        <w:t>At the global level, improvements have been many in health indicators —life expectancy has grown and important infectious diseases have</w:t>
      </w:r>
      <w:r w:rsidR="00B926C1">
        <w:rPr/>
        <w:t> </w:t>
      </w:r>
      <w:r w:rsidR="00B926C1">
        <w:rPr/>
        <w:t>declined in a great number of areas. However, substantial challenges remain. Targets of SDG 3 include maternal and child</w:t>
      </w:r>
      <w:r w:rsidR="00B926C1">
        <w:rPr/>
        <w:t> </w:t>
      </w:r>
      <w:r w:rsidR="00B926C1">
        <w:rPr/>
        <w:t>health, infectious diseases, non-communicable diseases (NCD), mental health and universal health coverage (UHC). For SDG 5, on the other hand, elimination of discrimination or</w:t>
      </w:r>
      <w:r w:rsidR="00B926C1">
        <w:rPr/>
        <w:t> </w:t>
      </w:r>
      <w:r w:rsidR="00B926C1">
        <w:rPr/>
        <w:t>harmful practices (e.g., female genital mutilation), as well as ensuring participation and access to services related to sexual and reproductive health are particularly important.</w:t>
      </w:r>
    </w:p>
    <w:p xmlns:wp14="http://schemas.microsoft.com/office/word/2010/wordml" w:rsidRPr="00224800" w:rsidR="00B926C1" w:rsidP="00224800" w:rsidRDefault="00B926C1" w14:paraId="01915033" wp14:textId="77777777">
      <w:pPr>
        <w:pStyle w:val="NormalWeb"/>
        <w:spacing w:line="360" w:lineRule="auto"/>
        <w:jc w:val="both"/>
      </w:pPr>
      <w:r w:rsidR="00B926C1">
        <w:rPr/>
        <w:t>All</w:t>
      </w:r>
      <w:r w:rsidR="00B926C1">
        <w:rPr/>
        <w:t> </w:t>
      </w:r>
      <w:r w:rsidR="00B926C1">
        <w:rPr/>
        <w:t>around the world, women tend to live longer than men but frequently spend more years in ill health and suffer from enduring inequalities. Women and girls in low- and middle-income countries continue to face high maternal</w:t>
      </w:r>
      <w:r w:rsidR="00B926C1">
        <w:rPr/>
        <w:t> </w:t>
      </w:r>
      <w:r w:rsidR="00B926C1">
        <w:rPr/>
        <w:t>mortality ratios and scarce access to sexual and reproductive health services, largely due to poverty, gender norms and weak health systems. In high-income countries</w:t>
      </w:r>
      <w:r w:rsidR="00B926C1">
        <w:rPr/>
        <w:t> </w:t>
      </w:r>
      <w:r w:rsidR="00B926C1">
        <w:rPr/>
        <w:t>such as the UK, women may be diagnosed at a later stage, treated differently or use health care systems that are mostly tailored for men (House of Commons Library, 2025).</w:t>
      </w:r>
    </w:p>
    <w:p xmlns:wp14="http://schemas.microsoft.com/office/word/2010/wordml" w:rsidRPr="00224800" w:rsidR="00B926C1" w:rsidP="00224800" w:rsidRDefault="00B926C1" w14:paraId="41C3DBB1" wp14:textId="77777777">
      <w:pPr>
        <w:pStyle w:val="NormalWeb"/>
        <w:spacing w:line="360" w:lineRule="auto"/>
        <w:jc w:val="both"/>
      </w:pPr>
      <w:r w:rsidR="00B926C1">
        <w:rPr/>
        <w:t>Gender inequality shapes access and health outcomes: women are more likely to bear unpaid care responsibilities, be targets of gender-based</w:t>
      </w:r>
      <w:r w:rsidR="00B926C1">
        <w:rPr/>
        <w:t> </w:t>
      </w:r>
      <w:r w:rsidR="00B926C1">
        <w:rPr/>
        <w:t xml:space="preserve">violence, control fewer resources over their bodies and decisions around seeking healthcare due to intersectional disadvantage (most </w:t>
      </w:r>
      <w:r w:rsidR="00B926C1">
        <w:rPr/>
        <w:t>notably ethnicity, disability and SES). Progress on both SDG 3 and on SDG 5 is uneven, and many</w:t>
      </w:r>
      <w:r w:rsidR="00B926C1">
        <w:rPr/>
        <w:t> </w:t>
      </w:r>
      <w:r w:rsidR="00B926C1">
        <w:rPr/>
        <w:t>vulnerable groups are left behind. As the 2025 briefing from the House of Commons Library argues, ″Access to</w:t>
      </w:r>
      <w:r w:rsidR="00B926C1">
        <w:rPr/>
        <w:t> </w:t>
      </w:r>
      <w:r w:rsidR="00B926C1">
        <w:rPr/>
        <w:t>healthcare and health outcomes are different for women. Injustices include increased risk of pregnancy complications and delays in cancer diagnoses for women from minority ethnic groups, … and severe health inequalities</w:t>
      </w:r>
      <w:r w:rsidR="00B926C1">
        <w:rPr/>
        <w:t> </w:t>
      </w:r>
      <w:r w:rsidR="00B926C1">
        <w:rPr/>
        <w:t xml:space="preserve">faced by </w:t>
      </w:r>
      <w:r w:rsidR="00B926C1">
        <w:rPr/>
        <w:t>low income</w:t>
      </w:r>
      <w:r w:rsidR="00B926C1">
        <w:rPr/>
        <w:t xml:space="preserve"> women, some lesbians and bisexuals, disabled women reducing access to safe treatment for an abortion.” (House of Commons Library, 2025)</w:t>
      </w:r>
    </w:p>
    <w:p xmlns:wp14="http://schemas.microsoft.com/office/word/2010/wordml" w:rsidRPr="00224800" w:rsidR="00B926C1" w:rsidP="00224800" w:rsidRDefault="00B926C1" w14:paraId="00F4B739" wp14:textId="77777777">
      <w:pPr>
        <w:pStyle w:val="NormalWeb"/>
        <w:spacing w:line="360" w:lineRule="auto"/>
        <w:jc w:val="both"/>
      </w:pPr>
      <w:r w:rsidR="00B926C1">
        <w:rPr/>
        <w:t>Accordingly, although the SDG framework has provided international attention for health and gender equity issues, structural inequalities within institutions and society more broadly</w:t>
      </w:r>
      <w:r w:rsidR="00B926C1">
        <w:rPr/>
        <w:t> </w:t>
      </w:r>
      <w:r w:rsidR="00B926C1">
        <w:rPr/>
        <w:t>as well as a lack of investment in research exploring women’s health [9] have resulted in the continued existence of a substantive gap in relation to the gendered distribution of health. To accomplish SDG 3 and SDG 5, bold actions are called for on the social determinants of health, gender norms and unequal</w:t>
      </w:r>
      <w:r w:rsidR="00B926C1">
        <w:rPr/>
        <w:t> </w:t>
      </w:r>
      <w:r w:rsidR="00B926C1">
        <w:rPr/>
        <w:t>health systems.</w:t>
      </w:r>
    </w:p>
    <w:p xmlns:wp14="http://schemas.microsoft.com/office/word/2010/wordml" w:rsidRPr="00224800" w:rsidR="00D341EF" w:rsidP="0B71B928" w:rsidRDefault="00D341EF" w14:paraId="4F26FAAB" wp14:textId="77777777">
      <w:pPr>
        <w:spacing w:before="100" w:beforeAutospacing="on" w:after="100" w:afterAutospacing="on" w:line="360" w:lineRule="auto"/>
        <w:jc w:val="both"/>
        <w:outlineLvl w:val="2"/>
        <w:rPr>
          <w:b w:val="1"/>
          <w:bCs w:val="1"/>
        </w:rPr>
      </w:pPr>
      <w:r w:rsidRPr="0B71B928" w:rsidR="00D341EF">
        <w:rPr>
          <w:b w:val="1"/>
          <w:bCs w:val="1"/>
        </w:rPr>
        <w:t>4. National context: the United Kingdom</w:t>
      </w:r>
    </w:p>
    <w:p xmlns:wp14="http://schemas.microsoft.com/office/word/2010/wordml" w:rsidRPr="00224800" w:rsidR="00B926C1" w:rsidP="00224800" w:rsidRDefault="00B926C1" w14:paraId="53A7984E" wp14:textId="77777777">
      <w:pPr>
        <w:pStyle w:val="NormalWeb"/>
        <w:spacing w:line="360" w:lineRule="auto"/>
        <w:jc w:val="both"/>
      </w:pPr>
      <w:r w:rsidR="00B926C1">
        <w:rPr/>
        <w:t>In the UK long standing gender</w:t>
      </w:r>
      <w:r w:rsidR="00B926C1">
        <w:rPr/>
        <w:t> </w:t>
      </w:r>
      <w:r w:rsidR="00B926C1">
        <w:rPr/>
        <w:t>health gaps persist. For instance, women from the most deprived areas in England are</w:t>
      </w:r>
      <w:r w:rsidR="00B926C1">
        <w:rPr/>
        <w:t> </w:t>
      </w:r>
      <w:r w:rsidR="00B926C1">
        <w:rPr/>
        <w:t>anticipated to have a much shorter healthy life expectancy than those individuals from the least deprived areas (Office for National Statistics, 2022). In response, the Women’s Health Strategy for England was launched by the Government in August 2022 – the UK’s first ever national strategy</w:t>
      </w:r>
      <w:r w:rsidR="00B926C1">
        <w:rPr/>
        <w:t> </w:t>
      </w:r>
      <w:r w:rsidR="00B926C1">
        <w:rPr/>
        <w:t>to concentrate solely on women’s health (Department of Health &amp; Social Care, 2022).</w:t>
      </w:r>
    </w:p>
    <w:p xmlns:wp14="http://schemas.microsoft.com/office/word/2010/wordml" w:rsidRPr="00224800" w:rsidR="00B926C1" w:rsidP="00224800" w:rsidRDefault="00B926C1" w14:paraId="129BB793" wp14:textId="77777777">
      <w:pPr>
        <w:pStyle w:val="NormalWeb"/>
        <w:spacing w:line="360" w:lineRule="auto"/>
        <w:jc w:val="both"/>
      </w:pPr>
      <w:r w:rsidR="00B926C1">
        <w:rPr/>
        <w:t>The Strategy is based on a ten-year plan and takes a life-cycle perspective,</w:t>
      </w:r>
      <w:r w:rsidR="00B926C1">
        <w:rPr/>
        <w:t> </w:t>
      </w:r>
      <w:r w:rsidR="00B926C1">
        <w:rPr/>
        <w:t>focusing on five themes: (1) ensuring women’s voices are heard; (2) improving access to services; (3) tackling variations in outcomes; 21/55 10 July 2025 providing better information and education; and supporting research and data (House of Commons Library, 2045). Some of these include expanding women’s health hubs, enhancing digital information, mandating services be trauma-informed and</w:t>
      </w:r>
      <w:r w:rsidR="00B926C1">
        <w:rPr/>
        <w:t> </w:t>
      </w:r>
      <w:r w:rsidR="00B926C1">
        <w:rPr/>
        <w:t>a Women’s Health Ambassador (Department of Health &amp; Social Care, 2022).</w:t>
      </w:r>
    </w:p>
    <w:p xmlns:wp14="http://schemas.microsoft.com/office/word/2010/wordml" w:rsidRPr="00224800" w:rsidR="00B926C1" w:rsidP="00224800" w:rsidRDefault="00B926C1" w14:paraId="4B7337C9" wp14:textId="77777777">
      <w:pPr>
        <w:pStyle w:val="NormalWeb"/>
        <w:spacing w:line="360" w:lineRule="auto"/>
        <w:jc w:val="both"/>
      </w:pPr>
      <w:r w:rsidR="00B926C1">
        <w:rPr/>
        <w:t xml:space="preserve">There are early indications of progress: by the first anniversary of the Strategy, £25 million had been allocated to women’s health hubs which will be part of the offer (Wellbeing of Women, 2023) and women had seen a voluntary pregnancy-loss certificate adopted; better online </w:t>
      </w:r>
      <w:r w:rsidR="00B926C1">
        <w:rPr/>
        <w:t>resources for women’s health created; as well as increased accessibility to hormone-replacement therapy (HRT) for menopausal women in less than twelve months since</w:t>
      </w:r>
      <w:r w:rsidR="00B926C1">
        <w:rPr/>
        <w:t> </w:t>
      </w:r>
      <w:r w:rsidR="00B926C1">
        <w:rPr/>
        <w:t xml:space="preserve">launch. However, critics also highlight significant remaining challenges: lengthy </w:t>
      </w:r>
      <w:r w:rsidR="00B926C1">
        <w:rPr/>
        <w:t>gynaecology</w:t>
      </w:r>
      <w:r w:rsidR="00B926C1">
        <w:rPr/>
        <w:t xml:space="preserve"> waiting lists; continuing geographical ‘postcode lotteries’ and lack</w:t>
      </w:r>
      <w:r w:rsidR="00B926C1">
        <w:rPr/>
        <w:t> </w:t>
      </w:r>
      <w:r w:rsidR="00B926C1">
        <w:rPr/>
        <w:t xml:space="preserve">of funds and accountability (Nursing in Practice, 2024). </w:t>
      </w:r>
      <w:r w:rsidR="00B926C1">
        <w:rPr/>
        <w:t>So</w:t>
      </w:r>
      <w:r w:rsidR="00B926C1">
        <w:rPr/>
        <w:t xml:space="preserve"> despite the Strategy being a major step, we are at great risk of seeing only partial implementation against this volume</w:t>
      </w:r>
      <w:r w:rsidR="00B926C1">
        <w:rPr/>
        <w:t> </w:t>
      </w:r>
      <w:r w:rsidR="00B926C1">
        <w:rPr/>
        <w:t>of need.</w:t>
      </w:r>
    </w:p>
    <w:p xmlns:wp14="http://schemas.microsoft.com/office/word/2010/wordml" w:rsidRPr="00224800" w:rsidR="00B926C1" w:rsidP="00224800" w:rsidRDefault="00B926C1" w14:paraId="6818028D" wp14:textId="77777777">
      <w:pPr>
        <w:pStyle w:val="NormalWeb"/>
        <w:spacing w:line="360" w:lineRule="auto"/>
        <w:jc w:val="both"/>
      </w:pPr>
      <w:r w:rsidR="00B926C1">
        <w:rPr/>
        <w:t>For the purpose of SDG mainstreaming, the Strategy contributes to SDG 3 in terms of positive health impacts and supports for facilitating SDG 5 by its focus on specific gender-related obstacles</w:t>
      </w:r>
      <w:r w:rsidR="00B926C1">
        <w:rPr/>
        <w:t> </w:t>
      </w:r>
      <w:r w:rsidR="00B926C1">
        <w:rPr/>
        <w:t>in health care. But structural inequalities, based</w:t>
      </w:r>
      <w:r w:rsidR="00B926C1">
        <w:rPr/>
        <w:t> </w:t>
      </w:r>
      <w:r w:rsidR="00B926C1">
        <w:rPr/>
        <w:t>on socio-economic disadvantage, ethnicity and disability still restrict access and success. The point of convergence between SDG 3, SDG 5 and even</w:t>
      </w:r>
      <w:r w:rsidR="00B926C1">
        <w:rPr/>
        <w:t> </w:t>
      </w:r>
      <w:r w:rsidR="00B926C1">
        <w:rPr/>
        <w:t>SDG 10 (Reduced Inequalities) is clear: to strengthen the health of women, gender and socio-economic inequities must be confronted simultaneously.</w:t>
      </w:r>
    </w:p>
    <w:p xmlns:wp14="http://schemas.microsoft.com/office/word/2010/wordml" w:rsidRPr="00224800" w:rsidR="00D341EF" w:rsidP="0B71B928" w:rsidRDefault="00D341EF" w14:paraId="09B79A57" wp14:textId="77777777">
      <w:pPr>
        <w:spacing w:before="100" w:beforeAutospacing="on" w:after="100" w:afterAutospacing="on" w:line="360" w:lineRule="auto"/>
        <w:jc w:val="both"/>
        <w:outlineLvl w:val="2"/>
        <w:rPr>
          <w:b w:val="1"/>
          <w:bCs w:val="1"/>
        </w:rPr>
      </w:pPr>
      <w:r w:rsidRPr="0B71B928" w:rsidR="00D341EF">
        <w:rPr>
          <w:b w:val="1"/>
          <w:bCs w:val="1"/>
        </w:rPr>
        <w:t>5. Local initiative: Birmingham</w:t>
      </w:r>
    </w:p>
    <w:p xmlns:wp14="http://schemas.microsoft.com/office/word/2010/wordml" w:rsidRPr="00224800" w:rsidR="00B926C1" w:rsidP="00224800" w:rsidRDefault="00B926C1" w14:paraId="42ED2778" wp14:textId="77777777">
      <w:pPr>
        <w:pStyle w:val="NormalWeb"/>
        <w:spacing w:line="360" w:lineRule="auto"/>
        <w:jc w:val="both"/>
      </w:pPr>
      <w:r w:rsidR="00B926C1">
        <w:rPr/>
        <w:t>Local health needs Local health authorities and public-health</w:t>
      </w:r>
      <w:r w:rsidR="00B926C1">
        <w:rPr/>
        <w:t> </w:t>
      </w:r>
      <w:r w:rsidR="00B926C1">
        <w:rPr/>
        <w:t xml:space="preserve">departments in the city of Birmingham initiated specific </w:t>
      </w:r>
      <w:r w:rsidR="00B926C1">
        <w:rPr/>
        <w:t>programmes</w:t>
      </w:r>
      <w:r w:rsidR="00B926C1">
        <w:rPr/>
        <w:t xml:space="preserve"> aimed at addressing gender-related women's inequality in health (Birmingham City Council, 2024). The city’s population is also diverse and multi-ethnic, with higher rates of poverty and health deprivation than national averages, disparities in maternal</w:t>
      </w:r>
      <w:r w:rsidR="00B926C1">
        <w:rPr/>
        <w:t> </w:t>
      </w:r>
      <w:r w:rsidR="00B926C1">
        <w:rPr/>
        <w:t>outcomes and access to mental-health services for women from minority ethnic groups.</w:t>
      </w:r>
    </w:p>
    <w:p xmlns:wp14="http://schemas.microsoft.com/office/word/2010/wordml" w:rsidRPr="00224800" w:rsidR="00B926C1" w:rsidP="00224800" w:rsidRDefault="00B926C1" w14:paraId="2D0450D2" wp14:textId="4351E6FF">
      <w:pPr>
        <w:pStyle w:val="NormalWeb"/>
        <w:spacing w:line="360" w:lineRule="auto"/>
        <w:jc w:val="both"/>
      </w:pPr>
      <w:r w:rsidR="00B926C1">
        <w:rPr/>
        <w:t>One such is Women’s Health Needs in Birmingham (April 2024) which makes specific proposals about lifestyle risk factors;</w:t>
      </w:r>
      <w:r w:rsidR="00B926C1">
        <w:rPr/>
        <w:t> </w:t>
      </w:r>
      <w:r w:rsidR="00B926C1">
        <w:rPr/>
        <w:t>smoking and activity, unmet mental-health needs for women with caring responsibilities and differential experience of maternity services within Black African and Black Caribbean groups (BCC, 2024). It is a multiagency response that includes public health, local NHS partnerships, the</w:t>
      </w:r>
      <w:r w:rsidR="00B926C1">
        <w:rPr/>
        <w:t> </w:t>
      </w:r>
      <w:r w:rsidR="00B926C1">
        <w:rPr/>
        <w:t xml:space="preserve">voluntary </w:t>
      </w:r>
      <w:r w:rsidR="72B10D3C">
        <w:rPr/>
        <w:t>sector,</w:t>
      </w:r>
      <w:r w:rsidR="00B926C1">
        <w:rPr/>
        <w:t xml:space="preserve"> and grassroot groups.</w:t>
      </w:r>
    </w:p>
    <w:p xmlns:wp14="http://schemas.microsoft.com/office/word/2010/wordml" w:rsidRPr="00224800" w:rsidR="00B926C1" w:rsidP="00224800" w:rsidRDefault="00B926C1" w14:paraId="4213DF51" wp14:textId="06037676">
      <w:pPr>
        <w:pStyle w:val="NormalWeb"/>
        <w:spacing w:line="360" w:lineRule="auto"/>
        <w:jc w:val="both"/>
      </w:pPr>
      <w:r w:rsidR="00B926C1">
        <w:rPr/>
        <w:t xml:space="preserve">Strengths of the </w:t>
      </w:r>
      <w:r w:rsidR="00B926C1">
        <w:rPr/>
        <w:t>program</w:t>
      </w:r>
      <w:r w:rsidR="79EF03F1">
        <w:rPr/>
        <w:t>s</w:t>
      </w:r>
      <w:r w:rsidR="00B926C1">
        <w:rPr/>
        <w:t xml:space="preserve"> are that it takes an intersectional approach (in terms</w:t>
      </w:r>
      <w:r w:rsidR="00B926C1">
        <w:rPr/>
        <w:t> </w:t>
      </w:r>
      <w:r w:rsidR="00B926C1">
        <w:rPr/>
        <w:t xml:space="preserve">of ethnicity, </w:t>
      </w:r>
      <w:r w:rsidR="00B926C1">
        <w:rPr/>
        <w:t>age</w:t>
      </w:r>
      <w:r w:rsidR="00B926C1">
        <w:rPr/>
        <w:t xml:space="preserve"> and social status), </w:t>
      </w:r>
      <w:r w:rsidR="00B926C1">
        <w:rPr/>
        <w:t>utilises</w:t>
      </w:r>
      <w:r w:rsidR="00B926C1">
        <w:rPr/>
        <w:t xml:space="preserve"> local data to </w:t>
      </w:r>
      <w:r w:rsidR="00B926C1">
        <w:rPr/>
        <w:t>identify</w:t>
      </w:r>
      <w:r w:rsidR="00B926C1">
        <w:rPr/>
        <w:t xml:space="preserve"> priority areas, and expects to partner with others. But there are also some big obstacles: funding is often short-term</w:t>
      </w:r>
      <w:r w:rsidR="00B926C1">
        <w:rPr/>
        <w:t> </w:t>
      </w:r>
      <w:r w:rsidR="00B926C1">
        <w:rPr/>
        <w:t xml:space="preserve">and project-specific; evaluation is patchy, at best; accessibility varies hugely between wards and communities. There </w:t>
      </w:r>
      <w:r w:rsidR="00B926C1">
        <w:rPr/>
        <w:t>are varying reports among</w:t>
      </w:r>
      <w:r w:rsidR="00B926C1">
        <w:rPr/>
        <w:t> </w:t>
      </w:r>
      <w:r w:rsidR="00B926C1">
        <w:rPr/>
        <w:t xml:space="preserve">service users about service quality and still existing barriers, including transport, </w:t>
      </w:r>
      <w:r w:rsidR="7C46F07F">
        <w:rPr/>
        <w:t>childcare</w:t>
      </w:r>
      <w:r w:rsidR="00B926C1">
        <w:rPr/>
        <w:t xml:space="preserve"> and digital exclusion.</w:t>
      </w:r>
    </w:p>
    <w:p xmlns:wp14="http://schemas.microsoft.com/office/word/2010/wordml" w:rsidRPr="00224800" w:rsidR="00B926C1" w:rsidP="00224800" w:rsidRDefault="00B926C1" w14:paraId="496CA67F" wp14:textId="77777777">
      <w:pPr>
        <w:pStyle w:val="NormalWeb"/>
        <w:spacing w:line="360" w:lineRule="auto"/>
        <w:jc w:val="both"/>
      </w:pPr>
      <w:r w:rsidR="00B926C1">
        <w:rPr/>
        <w:t>From the perspective of SDG integration, Birmingham is an example of what it means to apply policy on a national level into local</w:t>
      </w:r>
      <w:r w:rsidR="00B926C1">
        <w:rPr/>
        <w:t> </w:t>
      </w:r>
      <w:r w:rsidR="00B926C1">
        <w:rPr/>
        <w:t>measures implementation with regard to SDGs 3 (health) and 5 (gender equality). But it also shows how local actions need to be matched by system-wide change: without better resource allocation, service design and community participation, there will remain gender-health</w:t>
      </w:r>
      <w:r w:rsidR="00B926C1">
        <w:rPr/>
        <w:t> </w:t>
      </w:r>
      <w:r w:rsidR="00B926C1">
        <w:rPr/>
        <w:t>gaps.</w:t>
      </w:r>
    </w:p>
    <w:p xmlns:wp14="http://schemas.microsoft.com/office/word/2010/wordml" w:rsidRPr="00224800" w:rsidR="00D341EF" w:rsidP="0B71B928" w:rsidRDefault="00D341EF" w14:paraId="21ADFD05" wp14:textId="77777777">
      <w:pPr>
        <w:spacing w:before="100" w:beforeAutospacing="on" w:after="100" w:afterAutospacing="on" w:line="360" w:lineRule="auto"/>
        <w:jc w:val="both"/>
        <w:outlineLvl w:val="2"/>
        <w:rPr>
          <w:b w:val="1"/>
          <w:bCs w:val="1"/>
        </w:rPr>
      </w:pPr>
      <w:r w:rsidRPr="0B71B928" w:rsidR="00D341EF">
        <w:rPr>
          <w:b w:val="1"/>
          <w:bCs w:val="1"/>
        </w:rPr>
        <w:t>6. Critical synthesis and recommendations</w:t>
      </w:r>
    </w:p>
    <w:p xmlns:wp14="http://schemas.microsoft.com/office/word/2010/wordml" w:rsidRPr="00224800" w:rsidR="00224800" w:rsidP="00224800" w:rsidRDefault="00224800" w14:paraId="6D2763BF" wp14:textId="30E7677B">
      <w:pPr>
        <w:pStyle w:val="NormalWeb"/>
        <w:spacing w:line="360" w:lineRule="auto"/>
        <w:jc w:val="both"/>
      </w:pPr>
      <w:r w:rsidR="00224800">
        <w:rPr/>
        <w:t>There is</w:t>
      </w:r>
      <w:r w:rsidR="00224800">
        <w:rPr/>
        <w:t> </w:t>
      </w:r>
      <w:r w:rsidR="00224800">
        <w:rPr/>
        <w:t xml:space="preserve">a clear link between SDG 3 and goal five at global, </w:t>
      </w:r>
      <w:r w:rsidR="00224800">
        <w:rPr/>
        <w:t>national</w:t>
      </w:r>
      <w:r w:rsidR="00224800">
        <w:rPr/>
        <w:t xml:space="preserve"> and domestic levels. Gender equality is also a significant, yet</w:t>
      </w:r>
      <w:r w:rsidR="00224800">
        <w:rPr/>
        <w:t> </w:t>
      </w:r>
      <w:r w:rsidR="0ABC2E6C">
        <w:rPr/>
        <w:t>under addressed</w:t>
      </w:r>
      <w:r w:rsidR="00224800">
        <w:rPr/>
        <w:t xml:space="preserve">, determinant of health globally. At a national level in the UK, the Women’s Health Strategy for England </w:t>
      </w:r>
      <w:r w:rsidR="00224800">
        <w:rPr/>
        <w:t>demonstrates</w:t>
      </w:r>
      <w:r w:rsidR="00224800">
        <w:rPr/>
        <w:t xml:space="preserve"> political will to address this gender health </w:t>
      </w:r>
      <w:r w:rsidR="00224800">
        <w:rPr/>
        <w:t>gap</w:t>
      </w:r>
      <w:r w:rsidR="00224800">
        <w:rPr/>
        <w:t xml:space="preserve"> but its adoption into</w:t>
      </w:r>
      <w:r w:rsidR="00224800">
        <w:rPr/>
        <w:t> </w:t>
      </w:r>
      <w:r w:rsidR="00224800">
        <w:rPr/>
        <w:t xml:space="preserve">policy </w:t>
      </w:r>
      <w:r w:rsidR="3EEE7796">
        <w:rPr/>
        <w:t>making,</w:t>
      </w:r>
      <w:r w:rsidR="00224800">
        <w:rPr/>
        <w:t xml:space="preserve"> and practice is reliant on robust delivery, </w:t>
      </w:r>
      <w:r w:rsidR="00224800">
        <w:rPr/>
        <w:t>resourcing</w:t>
      </w:r>
      <w:r w:rsidR="00224800">
        <w:rPr/>
        <w:t xml:space="preserve"> and accountability. On the local level, Birmingham’s health needs assessment and its associated initiatives also </w:t>
      </w:r>
      <w:r w:rsidR="00224800">
        <w:rPr/>
        <w:t>demonstrate</w:t>
      </w:r>
      <w:r w:rsidR="00224800">
        <w:rPr/>
        <w:t xml:space="preserve"> how national policy</w:t>
      </w:r>
      <w:r w:rsidR="00224800">
        <w:rPr/>
        <w:t> </w:t>
      </w:r>
      <w:r w:rsidR="00224800">
        <w:rPr/>
        <w:t>can be shaped to meet local need, but they also highlight that old obstacles of resource and access and structural inequality remain in place.</w:t>
      </w:r>
    </w:p>
    <w:p xmlns:wp14="http://schemas.microsoft.com/office/word/2010/wordml" w:rsidRPr="00224800" w:rsidR="00224800" w:rsidP="00224800" w:rsidRDefault="00224800" w14:paraId="3AC6A56F" wp14:textId="77777777">
      <w:pPr>
        <w:pStyle w:val="NormalWeb"/>
        <w:spacing w:line="360" w:lineRule="auto"/>
        <w:jc w:val="both"/>
      </w:pPr>
      <w:r w:rsidR="00224800">
        <w:rPr/>
        <w:t>When examined through the lens of social determinants of health, it is evident</w:t>
      </w:r>
      <w:r w:rsidR="00224800">
        <w:rPr/>
        <w:t> </w:t>
      </w:r>
      <w:r w:rsidR="00224800">
        <w:rPr/>
        <w:t>that much of what drives gendered inequality in healthcare extends beyond clinical service provision: women’s health and their access to care are both influenced by poverty, employment, housing, education, and safety. Interventions targeting the functioning of health systems,</w:t>
      </w:r>
      <w:r w:rsidR="00224800">
        <w:rPr/>
        <w:t> </w:t>
      </w:r>
      <w:r w:rsidR="00224800">
        <w:rPr/>
        <w:t>that do not also address these broader determinants will have a more limited impact. The connections of</w:t>
      </w:r>
      <w:r w:rsidR="00224800">
        <w:rPr/>
        <w:t> </w:t>
      </w:r>
      <w:r w:rsidR="00224800">
        <w:rPr/>
        <w:t>SDG 5 to SDG 3 and SDG 10 is thus key: one cannot achieve gender equality without also addressing socio-economic equity.</w:t>
      </w:r>
    </w:p>
    <w:p xmlns:wp14="http://schemas.microsoft.com/office/word/2010/wordml" w:rsidRPr="00224800" w:rsidR="00224800" w:rsidP="00224800" w:rsidRDefault="00224800" w14:paraId="1B5DEEA1" wp14:textId="77777777">
      <w:pPr>
        <w:pStyle w:val="NormalWeb"/>
        <w:spacing w:line="360" w:lineRule="auto"/>
        <w:jc w:val="both"/>
        <w:rPr>
          <w:b w:val="1"/>
          <w:bCs w:val="1"/>
        </w:rPr>
      </w:pPr>
      <w:r w:rsidRPr="0B71B928" w:rsidR="00224800">
        <w:rPr>
          <w:b w:val="1"/>
          <w:bCs w:val="1"/>
        </w:rPr>
        <w:t>Recommendations:</w:t>
      </w:r>
    </w:p>
    <w:p xmlns:wp14="http://schemas.microsoft.com/office/word/2010/wordml" w:rsidRPr="00224800" w:rsidR="00224800" w:rsidP="00224800" w:rsidRDefault="00224800" w14:paraId="197038BE" wp14:textId="77777777">
      <w:pPr>
        <w:pStyle w:val="NormalWeb"/>
        <w:numPr>
          <w:ilvl w:val="0"/>
          <w:numId w:val="5"/>
        </w:numPr>
        <w:spacing w:line="360" w:lineRule="auto"/>
        <w:jc w:val="both"/>
        <w:rPr/>
      </w:pPr>
      <w:r w:rsidR="00224800">
        <w:rPr/>
        <w:t>Build the foundation for gender-responsive health systems both nationally and locally: integrate a sex-disaggregated approach to all health policies; ensure evidence is gender disaggregated Data are deposited in repositories such</w:t>
      </w:r>
      <w:r w:rsidR="00224800">
        <w:rPr/>
        <w:t> </w:t>
      </w:r>
      <w:r w:rsidR="00224800">
        <w:rPr/>
        <w:t xml:space="preserve">as </w:t>
      </w:r>
      <w:r w:rsidR="00224800">
        <w:rPr/>
        <w:t>bioRxiv</w:t>
      </w:r>
      <w:r w:rsidR="00224800">
        <w:rPr/>
        <w:t xml:space="preserve">, </w:t>
      </w:r>
      <w:r w:rsidR="00224800">
        <w:rPr/>
        <w:t>medRxiv</w:t>
      </w:r>
      <w:r w:rsidR="00224800">
        <w:rPr/>
        <w:t xml:space="preserve"> (Department of Health &amp; Social Care, 2022).</w:t>
      </w:r>
    </w:p>
    <w:p xmlns:wp14="http://schemas.microsoft.com/office/word/2010/wordml" w:rsidRPr="00224800" w:rsidR="00224800" w:rsidP="00224800" w:rsidRDefault="00224800" w14:paraId="118FCD6A" wp14:textId="77777777">
      <w:pPr>
        <w:pStyle w:val="NormalWeb"/>
        <w:numPr>
          <w:ilvl w:val="0"/>
          <w:numId w:val="5"/>
        </w:numPr>
        <w:spacing w:line="360" w:lineRule="auto"/>
        <w:jc w:val="both"/>
        <w:rPr/>
      </w:pPr>
      <w:r w:rsidR="00224800">
        <w:rPr/>
        <w:t>Explicitly targeting social</w:t>
      </w:r>
      <w:r w:rsidR="00224800">
        <w:rPr/>
        <w:t> </w:t>
      </w:r>
      <w:r w:rsidR="00224800">
        <w:rPr/>
        <w:t>determinants: Align initiatives to improve women’s health with policies on poverty reduction, employment and housing in order to address the deprivation-gradient in healthy life expectancy for women (Office for National Statistics, 2022). Birmingham should</w:t>
      </w:r>
      <w:r w:rsidR="00224800">
        <w:rPr/>
        <w:t> </w:t>
      </w:r>
      <w:r w:rsidR="00224800">
        <w:rPr/>
        <w:t>channel resources into the most deprived wards and invest in community owned outreach to minority ethnic women.</w:t>
      </w:r>
    </w:p>
    <w:p xmlns:wp14="http://schemas.microsoft.com/office/word/2010/wordml" w:rsidRPr="00224800" w:rsidR="00224800" w:rsidP="00224800" w:rsidRDefault="00224800" w14:paraId="640AA661" wp14:textId="77777777">
      <w:pPr>
        <w:pStyle w:val="NormalWeb"/>
        <w:numPr>
          <w:ilvl w:val="0"/>
          <w:numId w:val="5"/>
        </w:numPr>
        <w:spacing w:line="360" w:lineRule="auto"/>
        <w:jc w:val="both"/>
        <w:rPr/>
      </w:pPr>
      <w:r w:rsidR="00224800">
        <w:rPr/>
        <w:t xml:space="preserve">4 Improve women’s experience of care and address structural bias: Further roll out training for health professionals on women’s health needs, </w:t>
      </w:r>
      <w:r w:rsidR="00224800">
        <w:rPr/>
        <w:t>gynaecological</w:t>
      </w:r>
      <w:r w:rsidR="00224800">
        <w:rPr/>
        <w:t xml:space="preserve"> conditions, the menopause, and trauma-informed care; establish co-designed women’s health</w:t>
      </w:r>
      <w:r w:rsidR="00224800">
        <w:rPr/>
        <w:t> </w:t>
      </w:r>
      <w:r w:rsidR="00224800">
        <w:rPr/>
        <w:t>hubs in Birmingham with user intervention in design and evaluation (Wellbeing of Women 2023).</w:t>
      </w:r>
    </w:p>
    <w:p xmlns:wp14="http://schemas.microsoft.com/office/word/2010/wordml" w:rsidRPr="00224800" w:rsidR="00224800" w:rsidP="00224800" w:rsidRDefault="00224800" w14:paraId="205F88ED" wp14:textId="77777777">
      <w:pPr>
        <w:pStyle w:val="NormalWeb"/>
        <w:numPr>
          <w:ilvl w:val="0"/>
          <w:numId w:val="5"/>
        </w:numPr>
        <w:spacing w:line="360" w:lineRule="auto"/>
        <w:jc w:val="both"/>
        <w:rPr/>
      </w:pPr>
      <w:r w:rsidR="00224800">
        <w:rPr/>
        <w:t>Improve monitoring, evaluation and community engagement: Develop local SDG-relevant indicators (</w:t>
      </w:r>
      <w:r w:rsidR="00224800">
        <w:rPr/>
        <w:t>eg</w:t>
      </w:r>
      <w:r w:rsidR="00224800">
        <w:rPr/>
        <w:t xml:space="preserve">, reduced gender specific waiting-lists; increased uptake of women’s mental health services; decreased incidence of domestic violence) support robust longitudinal evaluation of </w:t>
      </w:r>
      <w:r w:rsidR="00224800">
        <w:rPr/>
        <w:t>programmes</w:t>
      </w:r>
      <w:r w:rsidR="00224800">
        <w:rPr/>
        <w:t xml:space="preserve"> commissions with results feeding back to communities</w:t>
      </w:r>
      <w:r w:rsidR="00224800">
        <w:rPr/>
        <w:t> </w:t>
      </w:r>
      <w:r w:rsidR="00224800">
        <w:rPr/>
        <w:t>and policy makers.</w:t>
      </w:r>
    </w:p>
    <w:p xmlns:wp14="http://schemas.microsoft.com/office/word/2010/wordml" w:rsidRPr="00224800" w:rsidR="00224800" w:rsidP="0B71B928" w:rsidRDefault="00D341EF" w14:paraId="16A1F5A8" wp14:textId="77777777">
      <w:pPr>
        <w:spacing w:before="100" w:beforeAutospacing="on" w:after="100" w:afterAutospacing="on" w:line="360" w:lineRule="auto"/>
        <w:jc w:val="both"/>
        <w:outlineLvl w:val="2"/>
        <w:rPr>
          <w:b w:val="1"/>
          <w:bCs w:val="1"/>
        </w:rPr>
      </w:pPr>
      <w:r w:rsidRPr="0B71B928" w:rsidR="00D341EF">
        <w:rPr>
          <w:b w:val="1"/>
          <w:bCs w:val="1"/>
        </w:rPr>
        <w:t>7. Conclusion</w:t>
      </w:r>
    </w:p>
    <w:p xmlns:wp14="http://schemas.microsoft.com/office/word/2010/wordml" w:rsidRPr="00224800" w:rsidR="00D341EF" w:rsidP="0B71B928" w:rsidRDefault="00D341EF" w14:paraId="4162CB37" wp14:textId="77777777">
      <w:pPr>
        <w:spacing w:before="100" w:beforeAutospacing="on" w:after="100" w:afterAutospacing="on" w:line="360" w:lineRule="auto"/>
        <w:jc w:val="both"/>
        <w:outlineLvl w:val="2"/>
        <w:rPr>
          <w:b w:val="1"/>
          <w:bCs w:val="1"/>
        </w:rPr>
      </w:pPr>
      <w:r w:rsidR="00D341EF">
        <w:rPr/>
        <w:t xml:space="preserve">This report has examined the interconnections between SDG 3 (Good Health and Well-being) and SDG 5 (Gender Equality) at global, national and local levels, with a particular focus on Birmingham in the United Kingdom. Globally, despite improvements in many health indicators, persistent gender-related health inequities continue to undermine progress. Nationally, the </w:t>
      </w:r>
      <w:r w:rsidRPr="0B71B928" w:rsidR="00D341EF">
        <w:rPr>
          <w:i w:val="1"/>
          <w:iCs w:val="1"/>
        </w:rPr>
        <w:t>Women’s Health Strategy for England</w:t>
      </w:r>
      <w:r w:rsidR="00D341EF">
        <w:rPr/>
        <w:t xml:space="preserve"> marks a positive policy development, yet implementation and equity of impact remain patchy. Locally, Birmingham’s responses illustrate how policy can be adapted to meet local needs, though constraints in funding, accessibility and evaluation limit potential impact.</w:t>
      </w:r>
    </w:p>
    <w:p xmlns:wp14="http://schemas.microsoft.com/office/word/2010/wordml" w:rsidRPr="00224800" w:rsidR="00D341EF" w:rsidP="00224800" w:rsidRDefault="00D341EF" w14:paraId="3F3BDC19" wp14:textId="77777777">
      <w:pPr>
        <w:spacing w:before="100" w:beforeAutospacing="1" w:after="100" w:afterAutospacing="1" w:line="360" w:lineRule="auto"/>
        <w:jc w:val="both"/>
      </w:pPr>
      <w:r w:rsidR="00D341EF">
        <w:rPr/>
        <w:t>Achieving the combined aspirations of SDG 3 and SDG 5 requires sustained, integrated and multi-layered action: gender-responsive health systems; policies addressing the social determinants of health; meaningful engagement with women and communities; and robust monitoring to ensure that benefits reach those most disadvantaged. Only through such comprehensive and equity‐centric approaches can health and gender equality be advanced in ways that are both effective and sustainable.</w:t>
      </w:r>
    </w:p>
    <w:p w:rsidR="0B71B928" w:rsidP="0B71B928" w:rsidRDefault="0B71B928" w14:paraId="419FCC40" w14:textId="0E231060">
      <w:pPr>
        <w:spacing w:beforeAutospacing="on" w:afterAutospacing="on" w:line="360" w:lineRule="auto"/>
        <w:jc w:val="both"/>
      </w:pPr>
    </w:p>
    <w:p w:rsidR="0B71B928" w:rsidP="0B71B928" w:rsidRDefault="0B71B928" w14:paraId="198AEE62" w14:textId="1FB72A75">
      <w:pPr>
        <w:spacing w:beforeAutospacing="on" w:afterAutospacing="on" w:line="360" w:lineRule="auto"/>
        <w:jc w:val="both"/>
      </w:pPr>
    </w:p>
    <w:p w:rsidR="0B71B928" w:rsidP="0B71B928" w:rsidRDefault="0B71B928" w14:paraId="32AF3C29" w14:textId="2F9D5CDF">
      <w:pPr>
        <w:spacing w:beforeAutospacing="on" w:afterAutospacing="on" w:line="360" w:lineRule="auto"/>
        <w:jc w:val="both"/>
      </w:pPr>
    </w:p>
    <w:p xmlns:wp14="http://schemas.microsoft.com/office/word/2010/wordml" w:rsidRPr="00224800" w:rsidR="00D341EF" w:rsidP="0B71B928" w:rsidRDefault="00D341EF" w14:paraId="071E4E01" wp14:textId="77777777">
      <w:pPr>
        <w:spacing w:before="100" w:beforeAutospacing="on" w:after="100" w:afterAutospacing="on"/>
        <w:outlineLvl w:val="1"/>
        <w:rPr>
          <w:b w:val="1"/>
          <w:bCs w:val="1"/>
        </w:rPr>
      </w:pPr>
      <w:r w:rsidRPr="0B71B928" w:rsidR="00D341EF">
        <w:rPr>
          <w:b w:val="1"/>
          <w:bCs w:val="1"/>
        </w:rPr>
        <w:t>References</w:t>
      </w:r>
    </w:p>
    <w:p xmlns:wp14="http://schemas.microsoft.com/office/word/2010/wordml" w:rsidRPr="00D341EF" w:rsidR="00D341EF" w:rsidP="0B71B928" w:rsidRDefault="00D341EF" w14:paraId="476584EF" wp14:textId="77777777">
      <w:pPr>
        <w:spacing w:before="100" w:beforeAutospacing="on" w:after="100" w:afterAutospacing="on" w:line="360" w:lineRule="auto"/>
      </w:pPr>
      <w:r w:rsidR="00D341EF">
        <w:rPr/>
        <w:t xml:space="preserve">Brundtland Commission (1987) </w:t>
      </w:r>
      <w:r w:rsidRPr="0B71B928" w:rsidR="00D341EF">
        <w:rPr>
          <w:i w:val="1"/>
          <w:iCs w:val="1"/>
        </w:rPr>
        <w:t>Our Common Future</w:t>
      </w:r>
      <w:r w:rsidR="00D341EF">
        <w:rPr/>
        <w:t>. Oxford: Oxford University Press.</w:t>
      </w:r>
      <w:r>
        <w:br/>
      </w:r>
      <w:r w:rsidR="00D341EF">
        <w:rPr/>
        <w:t xml:space="preserve">Birmingham City Council (2024) </w:t>
      </w:r>
      <w:r w:rsidRPr="0B71B928" w:rsidR="00D341EF">
        <w:rPr>
          <w:i w:val="1"/>
          <w:iCs w:val="1"/>
        </w:rPr>
        <w:t>Women’s Health Needs in Birmingham</w:t>
      </w:r>
      <w:r w:rsidR="00D341EF">
        <w:rPr/>
        <w:t>. Birmingham: Birmingham City Council.</w:t>
      </w:r>
      <w:r>
        <w:br/>
      </w:r>
      <w:r w:rsidR="00D341EF">
        <w:rPr/>
        <w:t xml:space="preserve">Dahlgren, G. &amp; Whitehead, M. (1991) ‘Policies and strategies to promote social equity in health’, </w:t>
      </w:r>
      <w:r w:rsidRPr="0B71B928" w:rsidR="00D341EF">
        <w:rPr>
          <w:i w:val="1"/>
          <w:iCs w:val="1"/>
        </w:rPr>
        <w:t>Institute for Futures Studies Report</w:t>
      </w:r>
      <w:r w:rsidR="00D341EF">
        <w:rPr/>
        <w:t>, Stockholm.</w:t>
      </w:r>
      <w:r>
        <w:br/>
      </w:r>
      <w:r w:rsidR="00D341EF">
        <w:rPr/>
        <w:t xml:space="preserve">Department of Health &amp; Social Care (2022) </w:t>
      </w:r>
      <w:r w:rsidRPr="0B71B928" w:rsidR="00D341EF">
        <w:rPr>
          <w:i w:val="1"/>
          <w:iCs w:val="1"/>
        </w:rPr>
        <w:t>Women’s Health Strategy for England</w:t>
      </w:r>
      <w:r w:rsidR="00D341EF">
        <w:rPr/>
        <w:t xml:space="preserve">. London: Department of Health &amp; Social Care. Available at: </w:t>
      </w:r>
      <w:hyperlink r:id="R2f1ec374d6194149">
        <w:r w:rsidRPr="0B71B928" w:rsidR="00D341EF">
          <w:rPr>
            <w:color w:val="0000FF"/>
            <w:u w:val="single"/>
          </w:rPr>
          <w:t>https://www.gov.uk/government/publications/womens-health-strategy-for-england/womens-health-strategy-for-england</w:t>
        </w:r>
      </w:hyperlink>
      <w:r w:rsidR="00D341EF">
        <w:rPr/>
        <w:t xml:space="preserve"> (Accessed: 15 November 2025).</w:t>
      </w:r>
      <w:r>
        <w:br/>
      </w:r>
      <w:r w:rsidR="00D341EF">
        <w:rPr/>
        <w:t xml:space="preserve">House of Commons Library (2025) ‘‘Women’s health’ research briefing’, Briefing Paper CDP 2025-0038. London: UK Parliament. Available at: </w:t>
      </w:r>
      <w:hyperlink r:id="R53a1b55344854ea5">
        <w:r w:rsidRPr="0B71B928" w:rsidR="00D341EF">
          <w:rPr>
            <w:color w:val="0000FF"/>
            <w:u w:val="single"/>
          </w:rPr>
          <w:t>https://commonslibrary.parliament.uk/research-briefings/cdp-2025-0038/</w:t>
        </w:r>
      </w:hyperlink>
      <w:r w:rsidR="00D341EF">
        <w:rPr/>
        <w:t xml:space="preserve"> (Accessed: 15 November 2025).</w:t>
      </w:r>
      <w:r>
        <w:br/>
      </w:r>
      <w:r w:rsidR="00D341EF">
        <w:rPr/>
        <w:t xml:space="preserve">Nursing in Practice (2024) ‘Women’s health strategy: Where are we now?’, </w:t>
      </w:r>
      <w:r w:rsidRPr="0B71B928" w:rsidR="00D341EF">
        <w:rPr>
          <w:i w:val="1"/>
          <w:iCs w:val="1"/>
        </w:rPr>
        <w:t>Nursing in Practice</w:t>
      </w:r>
      <w:r w:rsidR="00D341EF">
        <w:rPr/>
        <w:t xml:space="preserve">, 20 December 2024. Available at: </w:t>
      </w:r>
      <w:hyperlink r:id="R5762877f2f174ac7">
        <w:r w:rsidRPr="0B71B928" w:rsidR="00D341EF">
          <w:rPr>
            <w:color w:val="0000FF"/>
            <w:u w:val="single"/>
          </w:rPr>
          <w:t>https://www.nursinginpractice.com/clinical/womens-health-strategy-where-are-we-now/</w:t>
        </w:r>
      </w:hyperlink>
      <w:r w:rsidR="00D341EF">
        <w:rPr/>
        <w:t xml:space="preserve"> (Accessed: 15 November 2025).</w:t>
      </w:r>
      <w:r>
        <w:br/>
      </w:r>
      <w:r w:rsidR="00D341EF">
        <w:rPr/>
        <w:t xml:space="preserve">Office for National Statistics (2022) </w:t>
      </w:r>
      <w:r w:rsidRPr="0B71B928" w:rsidR="00D341EF">
        <w:rPr>
          <w:i w:val="1"/>
          <w:iCs w:val="1"/>
        </w:rPr>
        <w:t>Health state life expectancies by Index of Multiple Deprivation: England, 2018 to 2020</w:t>
      </w:r>
      <w:r w:rsidR="00D341EF">
        <w:rPr/>
        <w:t xml:space="preserve">. Newport: ONS. Available at: </w:t>
      </w:r>
      <w:hyperlink r:id="R90465c4f05044064">
        <w:r w:rsidRPr="0B71B928" w:rsidR="00D341EF">
          <w:rPr>
            <w:color w:val="0000FF"/>
            <w:u w:val="single"/>
          </w:rPr>
          <w:t>https://www.ons.gov.uk/peoplepopulationandcommunity/healthandsocialcare/healthinequalities/bulletins/healthstatelifeexpectanciesbyindexofmultipledeprivationimd/2018to2020</w:t>
        </w:r>
      </w:hyperlink>
      <w:r w:rsidR="00D341EF">
        <w:rPr/>
        <w:t xml:space="preserve"> (Accessed: 15 November 2025).</w:t>
      </w:r>
      <w:r>
        <w:br/>
      </w:r>
      <w:r w:rsidR="00D341EF">
        <w:rPr/>
        <w:t xml:space="preserve">Wellbeing of Women (2023) ‘Women’s Health Strategy: One year on’. London: Wellbeing of Women. Available at: </w:t>
      </w:r>
      <w:hyperlink r:id="R73fe87c576814e8c">
        <w:r w:rsidRPr="0B71B928" w:rsidR="00D341EF">
          <w:rPr>
            <w:color w:val="0000FF"/>
            <w:u w:val="single"/>
          </w:rPr>
          <w:t>https://www.wellbeingofwomen.org.uk/news/womens-health-strategy-one-year-on/</w:t>
        </w:r>
      </w:hyperlink>
      <w:r w:rsidR="00D341EF">
        <w:rPr/>
        <w:t xml:space="preserve"> (Accessed: 15 November 2025).</w:t>
      </w:r>
      <w:r>
        <w:br/>
      </w:r>
      <w:r w:rsidR="00D341EF">
        <w:rPr/>
        <w:t xml:space="preserve">World Health Organization (1948) </w:t>
      </w:r>
      <w:r w:rsidRPr="0B71B928" w:rsidR="00D341EF">
        <w:rPr>
          <w:i w:val="1"/>
          <w:iCs w:val="1"/>
        </w:rPr>
        <w:t>Preamble to the Constitution of the World Health Organization as adopted by the International Health Conference, New York, 19–22 June 1946; signed 22 July 1946 by the representatives of 61 States (Official Records of the World Health Organization, no. 2, p.100)</w:t>
      </w:r>
      <w:r w:rsidR="00D341EF">
        <w:rPr/>
        <w:t>. Geneva: WHO.</w:t>
      </w:r>
    </w:p>
    <w:p xmlns:wp14="http://schemas.microsoft.com/office/word/2010/wordml" w:rsidR="001522DD" w:rsidP="00224800" w:rsidRDefault="001522DD" w14:paraId="60061E4C" wp14:textId="77777777">
      <w:pPr>
        <w:spacing w:line="360" w:lineRule="auto"/>
      </w:pPr>
    </w:p>
    <w:sectPr w:rsidR="001522DD" w:rsidSect="0023602C">
      <w:pgSz w:w="11909" w:h="16834" w:orient="portrait"/>
      <w:pgMar w:top="1440" w:right="1440" w:bottom="180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C72CC"/>
    <w:multiLevelType w:val="multilevel"/>
    <w:tmpl w:val="94F05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84A44"/>
    <w:multiLevelType w:val="multilevel"/>
    <w:tmpl w:val="AC4E9E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151770"/>
    <w:multiLevelType w:val="multilevel"/>
    <w:tmpl w:val="A2F04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4522E9"/>
    <w:multiLevelType w:val="multilevel"/>
    <w:tmpl w:val="02364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797A90"/>
    <w:multiLevelType w:val="multilevel"/>
    <w:tmpl w:val="4DE6E5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7964999">
    <w:abstractNumId w:val="3"/>
  </w:num>
  <w:num w:numId="2" w16cid:durableId="1502159449">
    <w:abstractNumId w:val="2"/>
  </w:num>
  <w:num w:numId="3" w16cid:durableId="1018896862">
    <w:abstractNumId w:val="1"/>
  </w:num>
  <w:num w:numId="4" w16cid:durableId="1680421430">
    <w:abstractNumId w:val="4"/>
  </w:num>
  <w:num w:numId="5" w16cid:durableId="171064316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proofState w:spelling="clean" w:grammar="dirty"/>
  <w:trackRevisions w:val="false"/>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EF"/>
    <w:rsid w:val="001522DD"/>
    <w:rsid w:val="00224800"/>
    <w:rsid w:val="0023602C"/>
    <w:rsid w:val="008C1C7E"/>
    <w:rsid w:val="008E0E44"/>
    <w:rsid w:val="009A6273"/>
    <w:rsid w:val="00AF2EB7"/>
    <w:rsid w:val="00B604AD"/>
    <w:rsid w:val="00B926C1"/>
    <w:rsid w:val="00D341EF"/>
    <w:rsid w:val="00E27F68"/>
    <w:rsid w:val="00EB6C35"/>
    <w:rsid w:val="018D3928"/>
    <w:rsid w:val="0ABC2E6C"/>
    <w:rsid w:val="0B71B928"/>
    <w:rsid w:val="243DA003"/>
    <w:rsid w:val="3232FF2F"/>
    <w:rsid w:val="3EEE7796"/>
    <w:rsid w:val="3FFA87A3"/>
    <w:rsid w:val="41E745C3"/>
    <w:rsid w:val="482C5A2A"/>
    <w:rsid w:val="72B10D3C"/>
    <w:rsid w:val="745D8FC3"/>
    <w:rsid w:val="79EF03F1"/>
    <w:rsid w:val="7C46F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AFBE"/>
  <w15:chartTrackingRefBased/>
  <w15:docId w15:val="{357C68DB-050B-E843-9A3E-0E269146E6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B71B928"/>
    <w:rPr>
      <w:rFonts w:ascii="Times New Roman" w:hAnsi="Times New Roman" w:eastAsia="Times New Roman" w:cs="Times New Roman"/>
      <w:noProof w:val="0"/>
      <w:lang w:val="en-GB" w:eastAsia="en-GB"/>
    </w:rPr>
  </w:style>
  <w:style w:type="paragraph" w:styleId="Heading2">
    <w:uiPriority w:val="9"/>
    <w:name w:val="heading 2"/>
    <w:basedOn w:val="Normal"/>
    <w:link w:val="Heading2Char"/>
    <w:qFormat/>
    <w:rsid w:val="0B71B928"/>
    <w:rPr>
      <w:b w:val="1"/>
      <w:bCs w:val="1"/>
      <w:sz w:val="36"/>
      <w:szCs w:val="36"/>
    </w:rPr>
    <w:pPr>
      <w:spacing w:beforeAutospacing="on" w:afterAutospacing="on"/>
      <w:outlineLvl w:val="1"/>
    </w:pPr>
  </w:style>
  <w:style w:type="paragraph" w:styleId="Heading3">
    <w:uiPriority w:val="9"/>
    <w:name w:val="heading 3"/>
    <w:basedOn w:val="Normal"/>
    <w:link w:val="Heading3Char"/>
    <w:qFormat/>
    <w:rsid w:val="0B71B928"/>
    <w:rPr>
      <w:b w:val="1"/>
      <w:bCs w:val="1"/>
      <w:sz w:val="27"/>
      <w:szCs w:val="27"/>
    </w:rPr>
    <w:pPr>
      <w:spacing w:beforeAutospacing="on" w:afterAutospacing="on"/>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D341EF"/>
    <w:rPr>
      <w:rFonts w:ascii="Times New Roman" w:hAnsi="Times New Roman" w:eastAsia="Times New Roman" w:cs="Times New Roman"/>
      <w:b/>
      <w:bCs/>
      <w:kern w:val="0"/>
      <w:sz w:val="36"/>
      <w:szCs w:val="36"/>
      <w:lang w:eastAsia="en-GB"/>
      <w14:ligatures w14:val="none"/>
    </w:rPr>
  </w:style>
  <w:style w:type="character" w:styleId="Heading3Char" w:customStyle="1">
    <w:name w:val="Heading 3 Char"/>
    <w:basedOn w:val="DefaultParagraphFont"/>
    <w:link w:val="Heading3"/>
    <w:uiPriority w:val="9"/>
    <w:rsid w:val="00D341EF"/>
    <w:rPr>
      <w:rFonts w:ascii="Times New Roman" w:hAnsi="Times New Roman" w:eastAsia="Times New Roman" w:cs="Times New Roman"/>
      <w:b/>
      <w:bCs/>
      <w:kern w:val="0"/>
      <w:sz w:val="27"/>
      <w:szCs w:val="27"/>
      <w:lang w:eastAsia="en-GB"/>
      <w14:ligatures w14:val="none"/>
    </w:rPr>
  </w:style>
  <w:style w:type="paragraph" w:styleId="NormalWeb">
    <w:uiPriority w:val="99"/>
    <w:name w:val="Normal (Web)"/>
    <w:basedOn w:val="Normal"/>
    <w:semiHidden/>
    <w:unhideWhenUsed/>
    <w:rsid w:val="0B71B928"/>
    <w:pPr>
      <w:spacing w:beforeAutospacing="on" w:afterAutospacing="on"/>
    </w:pPr>
  </w:style>
  <w:style w:type="character" w:styleId="Strong">
    <w:name w:val="Strong"/>
    <w:basedOn w:val="DefaultParagraphFont"/>
    <w:uiPriority w:val="22"/>
    <w:qFormat/>
    <w:rsid w:val="00D341EF"/>
    <w:rPr>
      <w:b/>
      <w:bCs/>
    </w:rPr>
  </w:style>
  <w:style w:type="character" w:styleId="Emphasis">
    <w:name w:val="Emphasis"/>
    <w:basedOn w:val="DefaultParagraphFont"/>
    <w:uiPriority w:val="20"/>
    <w:qFormat/>
    <w:rsid w:val="00D341EF"/>
    <w:rPr>
      <w:i/>
      <w:iCs/>
    </w:rPr>
  </w:style>
  <w:style w:type="character" w:styleId="Hyperlink">
    <w:name w:val="Hyperlink"/>
    <w:basedOn w:val="DefaultParagraphFont"/>
    <w:uiPriority w:val="99"/>
    <w:semiHidden/>
    <w:unhideWhenUsed/>
    <w:rsid w:val="00D341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8054">
      <w:bodyDiv w:val="1"/>
      <w:marLeft w:val="0"/>
      <w:marRight w:val="0"/>
      <w:marTop w:val="0"/>
      <w:marBottom w:val="0"/>
      <w:divBdr>
        <w:top w:val="none" w:sz="0" w:space="0" w:color="auto"/>
        <w:left w:val="none" w:sz="0" w:space="0" w:color="auto"/>
        <w:bottom w:val="none" w:sz="0" w:space="0" w:color="auto"/>
        <w:right w:val="none" w:sz="0" w:space="0" w:color="auto"/>
      </w:divBdr>
    </w:div>
    <w:div w:id="212158035">
      <w:bodyDiv w:val="1"/>
      <w:marLeft w:val="0"/>
      <w:marRight w:val="0"/>
      <w:marTop w:val="0"/>
      <w:marBottom w:val="0"/>
      <w:divBdr>
        <w:top w:val="none" w:sz="0" w:space="0" w:color="auto"/>
        <w:left w:val="none" w:sz="0" w:space="0" w:color="auto"/>
        <w:bottom w:val="none" w:sz="0" w:space="0" w:color="auto"/>
        <w:right w:val="none" w:sz="0" w:space="0" w:color="auto"/>
      </w:divBdr>
    </w:div>
    <w:div w:id="911085775">
      <w:bodyDiv w:val="1"/>
      <w:marLeft w:val="0"/>
      <w:marRight w:val="0"/>
      <w:marTop w:val="0"/>
      <w:marBottom w:val="0"/>
      <w:divBdr>
        <w:top w:val="none" w:sz="0" w:space="0" w:color="auto"/>
        <w:left w:val="none" w:sz="0" w:space="0" w:color="auto"/>
        <w:bottom w:val="none" w:sz="0" w:space="0" w:color="auto"/>
        <w:right w:val="none" w:sz="0" w:space="0" w:color="auto"/>
      </w:divBdr>
    </w:div>
    <w:div w:id="1075205206">
      <w:bodyDiv w:val="1"/>
      <w:marLeft w:val="0"/>
      <w:marRight w:val="0"/>
      <w:marTop w:val="0"/>
      <w:marBottom w:val="0"/>
      <w:divBdr>
        <w:top w:val="none" w:sz="0" w:space="0" w:color="auto"/>
        <w:left w:val="none" w:sz="0" w:space="0" w:color="auto"/>
        <w:bottom w:val="none" w:sz="0" w:space="0" w:color="auto"/>
        <w:right w:val="none" w:sz="0" w:space="0" w:color="auto"/>
      </w:divBdr>
    </w:div>
    <w:div w:id="1105534582">
      <w:bodyDiv w:val="1"/>
      <w:marLeft w:val="0"/>
      <w:marRight w:val="0"/>
      <w:marTop w:val="0"/>
      <w:marBottom w:val="0"/>
      <w:divBdr>
        <w:top w:val="none" w:sz="0" w:space="0" w:color="auto"/>
        <w:left w:val="none" w:sz="0" w:space="0" w:color="auto"/>
        <w:bottom w:val="none" w:sz="0" w:space="0" w:color="auto"/>
        <w:right w:val="none" w:sz="0" w:space="0" w:color="auto"/>
      </w:divBdr>
    </w:div>
    <w:div w:id="1145857802">
      <w:bodyDiv w:val="1"/>
      <w:marLeft w:val="0"/>
      <w:marRight w:val="0"/>
      <w:marTop w:val="0"/>
      <w:marBottom w:val="0"/>
      <w:divBdr>
        <w:top w:val="none" w:sz="0" w:space="0" w:color="auto"/>
        <w:left w:val="none" w:sz="0" w:space="0" w:color="auto"/>
        <w:bottom w:val="none" w:sz="0" w:space="0" w:color="auto"/>
        <w:right w:val="none" w:sz="0" w:space="0" w:color="auto"/>
      </w:divBdr>
    </w:div>
    <w:div w:id="1577861545">
      <w:bodyDiv w:val="1"/>
      <w:marLeft w:val="0"/>
      <w:marRight w:val="0"/>
      <w:marTop w:val="0"/>
      <w:marBottom w:val="0"/>
      <w:divBdr>
        <w:top w:val="none" w:sz="0" w:space="0" w:color="auto"/>
        <w:left w:val="none" w:sz="0" w:space="0" w:color="auto"/>
        <w:bottom w:val="none" w:sz="0" w:space="0" w:color="auto"/>
        <w:right w:val="none" w:sz="0" w:space="0" w:color="auto"/>
      </w:divBdr>
    </w:div>
    <w:div w:id="1647662711">
      <w:bodyDiv w:val="1"/>
      <w:marLeft w:val="0"/>
      <w:marRight w:val="0"/>
      <w:marTop w:val="0"/>
      <w:marBottom w:val="0"/>
      <w:divBdr>
        <w:top w:val="none" w:sz="0" w:space="0" w:color="auto"/>
        <w:left w:val="none" w:sz="0" w:space="0" w:color="auto"/>
        <w:bottom w:val="none" w:sz="0" w:space="0" w:color="auto"/>
        <w:right w:val="none" w:sz="0" w:space="0" w:color="auto"/>
      </w:divBdr>
    </w:div>
    <w:div w:id="207141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gov.uk/government/publications/womens-health-strategy-for-england/womens-health-strategy-for-england?utm_source=chatgpt.com" TargetMode="External" Id="R2f1ec374d6194149" /><Relationship Type="http://schemas.openxmlformats.org/officeDocument/2006/relationships/hyperlink" Target="https://commonslibrary.parliament.uk/research-briefings/cdp-2025-0038/?utm_source=chatgpt.com" TargetMode="External" Id="R53a1b55344854ea5" /><Relationship Type="http://schemas.openxmlformats.org/officeDocument/2006/relationships/hyperlink" Target="https://www.nursinginpractice.com/clinical/womens-health-strategy-where-are-we-now/?utm_source=chatgpt.com" TargetMode="External" Id="R5762877f2f174ac7" /><Relationship Type="http://schemas.openxmlformats.org/officeDocument/2006/relationships/hyperlink" Target="https://www.ons.gov.uk/peoplepopulationandcommunity/healthandsocialcare/healthinequalities/bulletins/healthstatelifeexpectanciesbyindexofmultipledeprivationimd/2018to2020?utm_source=chatgpt.com" TargetMode="External" Id="R90465c4f05044064" /><Relationship Type="http://schemas.openxmlformats.org/officeDocument/2006/relationships/hyperlink" Target="https://www.wellbeingofwomen.org.uk/news/womens-health-strategy-one-year-on/?utm_source=chatgpt.com" TargetMode="External" Id="R73fe87c576814e8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Fatema Khatun (2221664)</lastModifiedBy>
  <revision>3</revision>
  <dcterms:created xsi:type="dcterms:W3CDTF">2025-11-15T10:52:00.0000000Z</dcterms:created>
  <dcterms:modified xsi:type="dcterms:W3CDTF">2025-11-16T12:17:21.3124355Z</dcterms:modified>
</coreProperties>
</file>