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1522475554"/>
        <w:docPartObj>
          <w:docPartGallery w:val="Cover Pages"/>
          <w:docPartUnique/>
        </w:docPartObj>
      </w:sdtPr>
      <w:sdtEndPr>
        <w:rPr>
          <w:rFonts w:ascii="Arial" w:hAnsi="Arial" w:cs="Arial"/>
          <w:b/>
          <w:bCs/>
          <w:color w:val="auto"/>
          <w:sz w:val="28"/>
          <w:szCs w:val="28"/>
        </w:rPr>
      </w:sdtEndPr>
      <w:sdtContent>
        <w:p w14:paraId="78ACA379"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0A241134" wp14:editId="24B4B06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2085BC9" w14:textId="1767C1C9" w:rsidR="007D1947" w:rsidRPr="00E754B9" w:rsidRDefault="00E754B9" w:rsidP="00E754B9">
              <w:pPr>
                <w:pStyle w:val="NoSpacing"/>
                <w:pBdr>
                  <w:top w:val="single" w:sz="6" w:space="6" w:color="5B9BD5" w:themeColor="accent1"/>
                  <w:bottom w:val="single" w:sz="6" w:space="6" w:color="5B9BD5" w:themeColor="accent1"/>
                </w:pBdr>
                <w:spacing w:after="240"/>
                <w:jc w:val="center"/>
                <w:rPr>
                  <w:rFonts w:ascii="Arial" w:eastAsiaTheme="majorEastAsia" w:hAnsi="Arial" w:cs="Arial"/>
                  <w:caps/>
                  <w:color w:val="5B9BD5" w:themeColor="accent1"/>
                  <w:sz w:val="80"/>
                  <w:szCs w:val="80"/>
                </w:rPr>
              </w:pPr>
              <w:r>
                <w:rPr>
                  <w:rFonts w:ascii="Arial" w:eastAsiaTheme="majorEastAsia" w:hAnsi="Arial" w:cs="Arial"/>
                  <w:color w:val="5B9BD5" w:themeColor="accent1"/>
                  <w:sz w:val="72"/>
                  <w:szCs w:val="72"/>
                </w:rPr>
                <w:t>Marriott International</w:t>
              </w:r>
            </w:p>
          </w:sdtContent>
        </w:sdt>
        <w:sdt>
          <w:sdtPr>
            <w:rPr>
              <w:rFonts w:ascii="Arial" w:hAnsi="Arial" w:cs="Arial"/>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Content>
            <w:p w14:paraId="65B5E730" w14:textId="250FAA12" w:rsidR="007D1947" w:rsidRPr="00E754B9" w:rsidRDefault="00E754B9">
              <w:pPr>
                <w:pStyle w:val="NoSpacing"/>
                <w:jc w:val="center"/>
                <w:rPr>
                  <w:rFonts w:ascii="Arial" w:hAnsi="Arial" w:cs="Arial"/>
                  <w:color w:val="5B9BD5" w:themeColor="accent1"/>
                  <w:sz w:val="28"/>
                  <w:szCs w:val="28"/>
                </w:rPr>
              </w:pPr>
              <w:r w:rsidRPr="00E754B9">
                <w:rPr>
                  <w:rFonts w:ascii="Arial" w:hAnsi="Arial" w:cs="Arial"/>
                  <w:color w:val="5B9BD5" w:themeColor="accent1"/>
                  <w:sz w:val="28"/>
                  <w:szCs w:val="28"/>
                </w:rPr>
                <w:t>Analysis of the Financial Statement</w:t>
              </w:r>
            </w:p>
          </w:sdtContent>
        </w:sdt>
        <w:p w14:paraId="0E730CFC"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2DF9E28" wp14:editId="17C3365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color w:val="5B9BD5" w:themeColor="accent1"/>
                                  </w:rPr>
                                  <w:alias w:val="Date"/>
                                  <w:tag w:val=""/>
                                  <w:id w:val="197127006"/>
                                  <w:dataBinding w:prefixMappings="xmlns:ns0='http://schemas.microsoft.com/office/2006/coverPageProps' " w:xpath="/ns0:CoverPageProperties[1]/ns0:PublishDate[1]" w:storeItemID="{55AF091B-3C7A-41E3-B477-F2FDAA23CFDA}"/>
                                  <w:date w:fullDate="2022-12-09T00:00:00Z">
                                    <w:dateFormat w:val="MMMM d, yyyy"/>
                                    <w:lid w:val="en-US"/>
                                    <w:storeMappedDataAs w:val="dateTime"/>
                                    <w:calendar w:val="gregorian"/>
                                  </w:date>
                                </w:sdtPr>
                                <w:sdtContent>
                                  <w:p w14:paraId="58731C0A" w14:textId="11E7DD56" w:rsidR="007D1947" w:rsidRPr="00E754B9" w:rsidRDefault="00E754B9">
                                    <w:pPr>
                                      <w:pStyle w:val="NoSpacing"/>
                                      <w:spacing w:after="40"/>
                                      <w:jc w:val="center"/>
                                      <w:rPr>
                                        <w:rFonts w:ascii="Arial" w:hAnsi="Arial" w:cs="Arial"/>
                                        <w:caps/>
                                        <w:color w:val="5B9BD5" w:themeColor="accent1"/>
                                      </w:rPr>
                                    </w:pPr>
                                    <w:r w:rsidRPr="00E754B9">
                                      <w:rPr>
                                        <w:rFonts w:ascii="Arial" w:hAnsi="Arial" w:cs="Arial"/>
                                        <w:caps/>
                                        <w:color w:val="5B9BD5" w:themeColor="accent1"/>
                                      </w:rPr>
                                      <w:t>December 9, 2022</w:t>
                                    </w:r>
                                  </w:p>
                                </w:sdtContent>
                              </w:sdt>
                              <w:p w14:paraId="53078492" w14:textId="77777777" w:rsidR="007D1947" w:rsidRPr="00E754B9" w:rsidRDefault="00000000">
                                <w:pPr>
                                  <w:pStyle w:val="NoSpacing"/>
                                  <w:jc w:val="center"/>
                                  <w:rPr>
                                    <w:rFonts w:ascii="Arial" w:hAnsi="Arial" w:cs="Arial"/>
                                    <w:color w:val="5B9BD5" w:themeColor="accent1"/>
                                  </w:rPr>
                                </w:pPr>
                                <w:sdt>
                                  <w:sdtPr>
                                    <w:rPr>
                                      <w:rFonts w:ascii="Arial" w:hAnsi="Arial" w:cs="Arial"/>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sidRPr="00E754B9">
                                      <w:rPr>
                                        <w:rFonts w:ascii="Arial" w:hAnsi="Arial" w:cs="Arial"/>
                                        <w:caps/>
                                        <w:color w:val="5B9BD5" w:themeColor="accent1"/>
                                        <w:lang w:val="en-GB"/>
                                      </w:rPr>
                                      <w:t>University of Wales Trinity Saint David</w:t>
                                    </w:r>
                                  </w:sdtContent>
                                </w:sdt>
                              </w:p>
                              <w:p w14:paraId="6275C62E"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2DF9E28"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rFonts w:ascii="Arial" w:hAnsi="Arial" w:cs="Arial"/>
                              <w:caps/>
                              <w:color w:val="5B9BD5" w:themeColor="accent1"/>
                            </w:rPr>
                            <w:alias w:val="Date"/>
                            <w:tag w:val=""/>
                            <w:id w:val="197127006"/>
                            <w:dataBinding w:prefixMappings="xmlns:ns0='http://schemas.microsoft.com/office/2006/coverPageProps' " w:xpath="/ns0:CoverPageProperties[1]/ns0:PublishDate[1]" w:storeItemID="{55AF091B-3C7A-41E3-B477-F2FDAA23CFDA}"/>
                            <w:date w:fullDate="2022-12-09T00:00:00Z">
                              <w:dateFormat w:val="MMMM d, yyyy"/>
                              <w:lid w:val="en-US"/>
                              <w:storeMappedDataAs w:val="dateTime"/>
                              <w:calendar w:val="gregorian"/>
                            </w:date>
                          </w:sdtPr>
                          <w:sdtContent>
                            <w:p w14:paraId="58731C0A" w14:textId="11E7DD56" w:rsidR="007D1947" w:rsidRPr="00E754B9" w:rsidRDefault="00E754B9">
                              <w:pPr>
                                <w:pStyle w:val="NoSpacing"/>
                                <w:spacing w:after="40"/>
                                <w:jc w:val="center"/>
                                <w:rPr>
                                  <w:rFonts w:ascii="Arial" w:hAnsi="Arial" w:cs="Arial"/>
                                  <w:caps/>
                                  <w:color w:val="5B9BD5" w:themeColor="accent1"/>
                                </w:rPr>
                              </w:pPr>
                              <w:r w:rsidRPr="00E754B9">
                                <w:rPr>
                                  <w:rFonts w:ascii="Arial" w:hAnsi="Arial" w:cs="Arial"/>
                                  <w:caps/>
                                  <w:color w:val="5B9BD5" w:themeColor="accent1"/>
                                </w:rPr>
                                <w:t>December 9, 2022</w:t>
                              </w:r>
                            </w:p>
                          </w:sdtContent>
                        </w:sdt>
                        <w:p w14:paraId="53078492" w14:textId="77777777" w:rsidR="007D1947" w:rsidRPr="00E754B9" w:rsidRDefault="00000000">
                          <w:pPr>
                            <w:pStyle w:val="NoSpacing"/>
                            <w:jc w:val="center"/>
                            <w:rPr>
                              <w:rFonts w:ascii="Arial" w:hAnsi="Arial" w:cs="Arial"/>
                              <w:color w:val="5B9BD5" w:themeColor="accent1"/>
                            </w:rPr>
                          </w:pPr>
                          <w:sdt>
                            <w:sdtPr>
                              <w:rPr>
                                <w:rFonts w:ascii="Arial" w:hAnsi="Arial" w:cs="Arial"/>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sidRPr="00E754B9">
                                <w:rPr>
                                  <w:rFonts w:ascii="Arial" w:hAnsi="Arial" w:cs="Arial"/>
                                  <w:caps/>
                                  <w:color w:val="5B9BD5" w:themeColor="accent1"/>
                                  <w:lang w:val="en-GB"/>
                                </w:rPr>
                                <w:t>University of Wales Trinity Saint David</w:t>
                              </w:r>
                            </w:sdtContent>
                          </w:sdt>
                        </w:p>
                        <w:p w14:paraId="6275C62E"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37090206" wp14:editId="6F9F662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6F14963" w14:textId="69C55976" w:rsidR="007D1947" w:rsidRPr="00FF43B3" w:rsidRDefault="006F26D9" w:rsidP="004C2581">
          <w:pPr>
            <w:pStyle w:val="Heading1"/>
          </w:pPr>
          <w:r>
            <w:rPr>
              <w:noProof/>
            </w:rPr>
            <mc:AlternateContent>
              <mc:Choice Requires="wps">
                <w:drawing>
                  <wp:anchor distT="0" distB="0" distL="114300" distR="114300" simplePos="0" relativeHeight="251661312" behindDoc="0" locked="0" layoutInCell="1" allowOverlap="1" wp14:anchorId="5305EB58" wp14:editId="781CA646">
                    <wp:simplePos x="0" y="0"/>
                    <wp:positionH relativeFrom="margin">
                      <wp:align>center</wp:align>
                    </wp:positionH>
                    <wp:positionV relativeFrom="paragraph">
                      <wp:posOffset>1774190</wp:posOffset>
                    </wp:positionV>
                    <wp:extent cx="3263900" cy="1549400"/>
                    <wp:effectExtent l="0" t="0" r="12700" b="12700"/>
                    <wp:wrapNone/>
                    <wp:docPr id="2" name="Text Box 2"/>
                    <wp:cNvGraphicFramePr/>
                    <a:graphic xmlns:a="http://schemas.openxmlformats.org/drawingml/2006/main">
                      <a:graphicData uri="http://schemas.microsoft.com/office/word/2010/wordprocessingShape">
                        <wps:wsp>
                          <wps:cNvSpPr txBox="1"/>
                          <wps:spPr>
                            <a:xfrm>
                              <a:off x="0" y="0"/>
                              <a:ext cx="3263900" cy="1549400"/>
                            </a:xfrm>
                            <a:prstGeom prst="rect">
                              <a:avLst/>
                            </a:prstGeom>
                            <a:solidFill>
                              <a:schemeClr val="lt1"/>
                            </a:solidFill>
                            <a:ln w="6350">
                              <a:solidFill>
                                <a:prstClr val="black"/>
                              </a:solidFill>
                            </a:ln>
                          </wps:spPr>
                          <wps:txbx>
                            <w:txbxContent>
                              <w:p w14:paraId="1AEFFD0B" w14:textId="021398FF" w:rsidR="006F26D9" w:rsidRDefault="006F26D9" w:rsidP="006F26D9">
                                <w:pPr>
                                  <w:jc w:val="center"/>
                                  <w:rPr>
                                    <w:rFonts w:ascii="Arial" w:hAnsi="Arial" w:cs="Arial"/>
                                    <w:sz w:val="24"/>
                                    <w:szCs w:val="24"/>
                                  </w:rPr>
                                </w:pPr>
                                <w:r>
                                  <w:rPr>
                                    <w:rFonts w:ascii="Arial" w:hAnsi="Arial" w:cs="Arial"/>
                                    <w:sz w:val="24"/>
                                    <w:szCs w:val="24"/>
                                  </w:rPr>
                                  <w:t>Antonela Puiu</w:t>
                                </w:r>
                              </w:p>
                              <w:p w14:paraId="44E12EB3" w14:textId="2A57EE1E" w:rsidR="006F26D9" w:rsidRDefault="006F26D9" w:rsidP="006F26D9">
                                <w:pPr>
                                  <w:jc w:val="center"/>
                                  <w:rPr>
                                    <w:rFonts w:ascii="Arial" w:hAnsi="Arial" w:cs="Arial"/>
                                    <w:sz w:val="24"/>
                                    <w:szCs w:val="24"/>
                                  </w:rPr>
                                </w:pPr>
                                <w:r>
                                  <w:rPr>
                                    <w:rFonts w:ascii="Arial" w:hAnsi="Arial" w:cs="Arial"/>
                                    <w:sz w:val="24"/>
                                    <w:szCs w:val="24"/>
                                  </w:rPr>
                                  <w:t>2025260</w:t>
                                </w:r>
                              </w:p>
                              <w:p w14:paraId="0A56C41A" w14:textId="6223E219" w:rsidR="006F26D9" w:rsidRDefault="006F26D9" w:rsidP="006F26D9">
                                <w:pPr>
                                  <w:jc w:val="center"/>
                                  <w:rPr>
                                    <w:rFonts w:ascii="Arial" w:hAnsi="Arial" w:cs="Arial"/>
                                    <w:sz w:val="24"/>
                                    <w:szCs w:val="24"/>
                                  </w:rPr>
                                </w:pPr>
                                <w:r>
                                  <w:rPr>
                                    <w:rFonts w:ascii="Arial" w:hAnsi="Arial" w:cs="Arial"/>
                                    <w:sz w:val="24"/>
                                    <w:szCs w:val="24"/>
                                  </w:rPr>
                                  <w:t>Financial Management for the Hotel Industry</w:t>
                                </w:r>
                              </w:p>
                              <w:p w14:paraId="15A5B9BE" w14:textId="1D8F9B73" w:rsidR="006F26D9" w:rsidRDefault="006F26D9" w:rsidP="006F26D9">
                                <w:pPr>
                                  <w:jc w:val="center"/>
                                  <w:rPr>
                                    <w:rFonts w:ascii="Arial" w:hAnsi="Arial" w:cs="Arial"/>
                                    <w:sz w:val="24"/>
                                    <w:szCs w:val="24"/>
                                  </w:rPr>
                                </w:pPr>
                                <w:r>
                                  <w:rPr>
                                    <w:rFonts w:ascii="Arial" w:hAnsi="Arial" w:cs="Arial"/>
                                    <w:sz w:val="24"/>
                                    <w:szCs w:val="24"/>
                                  </w:rPr>
                                  <w:t>BMIH5007</w:t>
                                </w:r>
                              </w:p>
                              <w:p w14:paraId="294B5841" w14:textId="33B0FB81" w:rsidR="006F26D9" w:rsidRPr="006F26D9" w:rsidRDefault="006F26D9" w:rsidP="006F26D9">
                                <w:pPr>
                                  <w:jc w:val="center"/>
                                  <w:rPr>
                                    <w:rFonts w:ascii="Arial" w:hAnsi="Arial" w:cs="Arial"/>
                                    <w:sz w:val="24"/>
                                    <w:szCs w:val="24"/>
                                  </w:rPr>
                                </w:pPr>
                                <w:r>
                                  <w:rPr>
                                    <w:rFonts w:ascii="Arial" w:hAnsi="Arial" w:cs="Arial"/>
                                    <w:sz w:val="24"/>
                                    <w:szCs w:val="24"/>
                                  </w:rPr>
                                  <w:t>Dale Clarke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05EB58" id="Text Box 2" o:spid="_x0000_s1027" type="#_x0000_t202" style="position:absolute;margin-left:0;margin-top:139.7pt;width:257pt;height:122pt;z-index:25166131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" fillcolor="white [3201]" strokeweight=".5pt">
                    <v:textbox>
                      <w:txbxContent>
                        <w:p w14:paraId="1AEFFD0B" w14:textId="021398FF" w:rsidR="006F26D9" w:rsidRDefault="006F26D9" w:rsidP="006F26D9">
                          <w:pPr>
                            <w:jc w:val="center"/>
                            <w:rPr>
                              <w:rFonts w:ascii="Arial" w:hAnsi="Arial" w:cs="Arial"/>
                              <w:sz w:val="24"/>
                              <w:szCs w:val="24"/>
                            </w:rPr>
                          </w:pPr>
                          <w:r>
                            <w:rPr>
                              <w:rFonts w:ascii="Arial" w:hAnsi="Arial" w:cs="Arial"/>
                              <w:sz w:val="24"/>
                              <w:szCs w:val="24"/>
                            </w:rPr>
                            <w:t>Antonela Puiu</w:t>
                          </w:r>
                        </w:p>
                        <w:p w14:paraId="44E12EB3" w14:textId="2A57EE1E" w:rsidR="006F26D9" w:rsidRDefault="006F26D9" w:rsidP="006F26D9">
                          <w:pPr>
                            <w:jc w:val="center"/>
                            <w:rPr>
                              <w:rFonts w:ascii="Arial" w:hAnsi="Arial" w:cs="Arial"/>
                              <w:sz w:val="24"/>
                              <w:szCs w:val="24"/>
                            </w:rPr>
                          </w:pPr>
                          <w:r>
                            <w:rPr>
                              <w:rFonts w:ascii="Arial" w:hAnsi="Arial" w:cs="Arial"/>
                              <w:sz w:val="24"/>
                              <w:szCs w:val="24"/>
                            </w:rPr>
                            <w:t>2025260</w:t>
                          </w:r>
                        </w:p>
                        <w:p w14:paraId="0A56C41A" w14:textId="6223E219" w:rsidR="006F26D9" w:rsidRDefault="006F26D9" w:rsidP="006F26D9">
                          <w:pPr>
                            <w:jc w:val="center"/>
                            <w:rPr>
                              <w:rFonts w:ascii="Arial" w:hAnsi="Arial" w:cs="Arial"/>
                              <w:sz w:val="24"/>
                              <w:szCs w:val="24"/>
                            </w:rPr>
                          </w:pPr>
                          <w:r>
                            <w:rPr>
                              <w:rFonts w:ascii="Arial" w:hAnsi="Arial" w:cs="Arial"/>
                              <w:sz w:val="24"/>
                              <w:szCs w:val="24"/>
                            </w:rPr>
                            <w:t>Financial Management for the Hotel Industry</w:t>
                          </w:r>
                        </w:p>
                        <w:p w14:paraId="15A5B9BE" w14:textId="1D8F9B73" w:rsidR="006F26D9" w:rsidRDefault="006F26D9" w:rsidP="006F26D9">
                          <w:pPr>
                            <w:jc w:val="center"/>
                            <w:rPr>
                              <w:rFonts w:ascii="Arial" w:hAnsi="Arial" w:cs="Arial"/>
                              <w:sz w:val="24"/>
                              <w:szCs w:val="24"/>
                            </w:rPr>
                          </w:pPr>
                          <w:r>
                            <w:rPr>
                              <w:rFonts w:ascii="Arial" w:hAnsi="Arial" w:cs="Arial"/>
                              <w:sz w:val="24"/>
                              <w:szCs w:val="24"/>
                            </w:rPr>
                            <w:t>BMIH5007</w:t>
                          </w:r>
                        </w:p>
                        <w:p w14:paraId="294B5841" w14:textId="33B0FB81" w:rsidR="006F26D9" w:rsidRPr="006F26D9" w:rsidRDefault="006F26D9" w:rsidP="006F26D9">
                          <w:pPr>
                            <w:jc w:val="center"/>
                            <w:rPr>
                              <w:rFonts w:ascii="Arial" w:hAnsi="Arial" w:cs="Arial"/>
                              <w:sz w:val="24"/>
                              <w:szCs w:val="24"/>
                            </w:rPr>
                          </w:pPr>
                          <w:r>
                            <w:rPr>
                              <w:rFonts w:ascii="Arial" w:hAnsi="Arial" w:cs="Arial"/>
                              <w:sz w:val="24"/>
                              <w:szCs w:val="24"/>
                            </w:rPr>
                            <w:t>Dale Clarke</w:t>
                          </w:r>
                        </w:p>
                      </w:txbxContent>
                    </v:textbox>
                    <w10:wrap anchorx="margin"/>
                  </v:shape>
                </w:pict>
              </mc:Fallback>
            </mc:AlternateContent>
          </w:r>
          <w:r w:rsidR="007D1947">
            <w:br w:type="page"/>
          </w:r>
        </w:p>
        <w:p w14:paraId="319933FB" w14:textId="48A38684" w:rsidR="007D1947" w:rsidRDefault="004C2581">
          <w:pPr>
            <w:rPr>
              <w:rFonts w:ascii="Arial" w:hAnsi="Arial" w:cs="Arial"/>
              <w:b/>
              <w:bCs/>
              <w:sz w:val="28"/>
              <w:szCs w:val="28"/>
            </w:rPr>
          </w:pPr>
          <w:r>
            <w:rPr>
              <w:rFonts w:ascii="Arial" w:hAnsi="Arial" w:cs="Arial"/>
              <w:b/>
              <w:bCs/>
              <w:sz w:val="28"/>
              <w:szCs w:val="28"/>
            </w:rPr>
            <w:lastRenderedPageBreak/>
            <w:t>Executive Summary</w:t>
          </w:r>
        </w:p>
        <w:p w14:paraId="446C4873" w14:textId="28AA9F3E" w:rsidR="004C2581" w:rsidRPr="004C2581" w:rsidRDefault="004C2581" w:rsidP="004C2581">
          <w:pPr>
            <w:spacing w:line="360" w:lineRule="auto"/>
            <w:jc w:val="both"/>
            <w:rPr>
              <w:rFonts w:ascii="Arial" w:hAnsi="Arial" w:cs="Arial"/>
              <w:sz w:val="24"/>
              <w:szCs w:val="24"/>
            </w:rPr>
          </w:pPr>
          <w:r>
            <w:rPr>
              <w:rFonts w:ascii="Arial" w:hAnsi="Arial" w:cs="Arial"/>
              <w:sz w:val="24"/>
              <w:szCs w:val="24"/>
            </w:rPr>
            <w:t>The aim of this paper is to interpret the analysis of Marriott’s financial statement over the period of two years, such as 2020 and 2021, discussing the analysis trends and their limitation.</w:t>
          </w:r>
        </w:p>
        <w:p w14:paraId="5D6BF5EE" w14:textId="77777777" w:rsidR="007D1947" w:rsidRDefault="007D1947" w:rsidP="004C2581">
          <w:pPr>
            <w:spacing w:line="360" w:lineRule="auto"/>
            <w:jc w:val="both"/>
          </w:pPr>
        </w:p>
        <w:p w14:paraId="11C68BD2" w14:textId="77777777" w:rsidR="007D1947" w:rsidRDefault="007D1947"/>
        <w:p w14:paraId="08EEC166" w14:textId="77777777" w:rsidR="007D1947" w:rsidRDefault="007D1947"/>
        <w:p w14:paraId="4A7E0BD1" w14:textId="77777777" w:rsidR="007D1947" w:rsidRDefault="007D1947"/>
        <w:p w14:paraId="60983FBE" w14:textId="77777777" w:rsidR="007D1947" w:rsidRDefault="007D1947"/>
        <w:p w14:paraId="4BD24EAA" w14:textId="77777777" w:rsidR="007D1947" w:rsidRDefault="007D1947"/>
        <w:p w14:paraId="5E20A626" w14:textId="77777777" w:rsidR="007D1947" w:rsidRDefault="007D1947"/>
        <w:p w14:paraId="2592EA34" w14:textId="77777777" w:rsidR="007D1947" w:rsidRDefault="007D1947"/>
        <w:p w14:paraId="102FA409" w14:textId="77777777" w:rsidR="007D1947" w:rsidRDefault="007D1947"/>
        <w:p w14:paraId="0EB4AA44" w14:textId="77777777" w:rsidR="007D1947" w:rsidRDefault="007D1947"/>
        <w:p w14:paraId="43F4A0A2" w14:textId="77777777" w:rsidR="007D1947" w:rsidRDefault="007D1947"/>
        <w:p w14:paraId="1AC34DF5" w14:textId="77777777" w:rsidR="007D1947" w:rsidRDefault="007D1947"/>
        <w:p w14:paraId="51926115" w14:textId="77777777" w:rsidR="007D1947" w:rsidRDefault="007D1947"/>
        <w:p w14:paraId="77A33B7E" w14:textId="77777777" w:rsidR="007D1947" w:rsidRDefault="007D1947"/>
        <w:p w14:paraId="4C2E3AF2" w14:textId="77777777" w:rsidR="007D1947" w:rsidRDefault="007D1947"/>
        <w:p w14:paraId="24983E97" w14:textId="77777777" w:rsidR="007D1947" w:rsidRDefault="007D1947"/>
        <w:p w14:paraId="7FA5F72D" w14:textId="77777777" w:rsidR="007D1947" w:rsidRDefault="007D1947"/>
        <w:p w14:paraId="1D086EC3" w14:textId="77777777" w:rsidR="007D1947" w:rsidRDefault="007D1947"/>
        <w:p w14:paraId="678DFA97" w14:textId="77777777" w:rsidR="007D1947" w:rsidRDefault="007D1947"/>
        <w:p w14:paraId="4CD36532" w14:textId="77777777" w:rsidR="007D1947" w:rsidRDefault="007D1947"/>
        <w:p w14:paraId="64DE100B" w14:textId="77777777" w:rsidR="007D1947" w:rsidRDefault="007D1947"/>
        <w:p w14:paraId="361A70E1" w14:textId="77777777" w:rsidR="007D1947" w:rsidRDefault="007D1947"/>
        <w:p w14:paraId="2F693D62" w14:textId="77777777" w:rsidR="007D1947" w:rsidRDefault="007D1947"/>
        <w:p w14:paraId="7364A3AD" w14:textId="77777777" w:rsidR="007D1947" w:rsidRDefault="007D1947"/>
        <w:p w14:paraId="76E82432" w14:textId="77777777" w:rsidR="007D1947" w:rsidRDefault="007D1947"/>
        <w:p w14:paraId="42C19836" w14:textId="77777777" w:rsidR="007D1947" w:rsidRDefault="007D1947"/>
        <w:sdt>
          <w:sdtPr>
            <w:rPr>
              <w:rFonts w:ascii="Arial" w:eastAsiaTheme="minorHAnsi" w:hAnsi="Arial" w:cs="Arial"/>
              <w:color w:val="auto"/>
              <w:sz w:val="24"/>
              <w:szCs w:val="24"/>
              <w:lang w:val="en-GB"/>
            </w:rPr>
            <w:id w:val="-1297214018"/>
            <w:docPartObj>
              <w:docPartGallery w:val="Table of Contents"/>
              <w:docPartUnique/>
            </w:docPartObj>
          </w:sdtPr>
          <w:sdtEndPr>
            <w:rPr>
              <w:rFonts w:asciiTheme="minorHAnsi" w:hAnsiTheme="minorHAnsi" w:cstheme="minorBidi"/>
              <w:b/>
              <w:bCs/>
              <w:noProof/>
              <w:sz w:val="22"/>
              <w:szCs w:val="22"/>
            </w:rPr>
          </w:sdtEndPr>
          <w:sdtContent>
            <w:p w14:paraId="17F927D0" w14:textId="77777777" w:rsidR="007D1947" w:rsidRPr="001C329E" w:rsidRDefault="007D1947" w:rsidP="001C329E">
              <w:pPr>
                <w:pStyle w:val="TOCHeading"/>
                <w:spacing w:line="360" w:lineRule="auto"/>
                <w:rPr>
                  <w:rFonts w:ascii="Arial" w:hAnsi="Arial" w:cs="Arial"/>
                  <w:b/>
                  <w:bCs/>
                  <w:color w:val="auto"/>
                  <w:sz w:val="28"/>
                  <w:szCs w:val="28"/>
                </w:rPr>
              </w:pPr>
              <w:r w:rsidRPr="001C329E">
                <w:rPr>
                  <w:rFonts w:ascii="Arial" w:hAnsi="Arial" w:cs="Arial"/>
                  <w:b/>
                  <w:bCs/>
                  <w:color w:val="auto"/>
                  <w:sz w:val="28"/>
                  <w:szCs w:val="28"/>
                </w:rPr>
                <w:t>Table of Contents</w:t>
              </w:r>
            </w:p>
            <w:p w14:paraId="4C790205" w14:textId="77777777" w:rsidR="00115B96" w:rsidRPr="001C329E" w:rsidRDefault="007D1947" w:rsidP="001C329E">
              <w:pPr>
                <w:pStyle w:val="TOC1"/>
                <w:tabs>
                  <w:tab w:val="right" w:leader="dot" w:pos="9016"/>
                </w:tabs>
                <w:spacing w:line="360" w:lineRule="auto"/>
                <w:rPr>
                  <w:rFonts w:ascii="Arial" w:eastAsiaTheme="minorEastAsia" w:hAnsi="Arial" w:cs="Arial"/>
                  <w:noProof/>
                  <w:sz w:val="24"/>
                  <w:szCs w:val="24"/>
                  <w:lang w:eastAsia="en-GB"/>
                </w:rPr>
              </w:pPr>
              <w:r w:rsidRPr="001C329E">
                <w:rPr>
                  <w:rFonts w:ascii="Arial" w:hAnsi="Arial" w:cs="Arial"/>
                  <w:sz w:val="24"/>
                  <w:szCs w:val="24"/>
                </w:rPr>
                <w:fldChar w:fldCharType="begin"/>
              </w:r>
              <w:r w:rsidRPr="001C329E">
                <w:rPr>
                  <w:rFonts w:ascii="Arial" w:hAnsi="Arial" w:cs="Arial"/>
                  <w:sz w:val="24"/>
                  <w:szCs w:val="24"/>
                </w:rPr>
                <w:instrText xml:space="preserve"> TOC \o "1-3" \h \z \u </w:instrText>
              </w:r>
              <w:r w:rsidRPr="001C329E">
                <w:rPr>
                  <w:rFonts w:ascii="Arial" w:hAnsi="Arial" w:cs="Arial"/>
                  <w:sz w:val="24"/>
                  <w:szCs w:val="24"/>
                </w:rPr>
                <w:fldChar w:fldCharType="separate"/>
              </w:r>
              <w:hyperlink w:anchor="_Toc463944599" w:history="1">
                <w:r w:rsidR="00115B96" w:rsidRPr="001C329E">
                  <w:rPr>
                    <w:rStyle w:val="Hyperlink"/>
                    <w:rFonts w:ascii="Arial" w:hAnsi="Arial" w:cs="Arial"/>
                    <w:noProof/>
                    <w:color w:val="auto"/>
                    <w:sz w:val="24"/>
                    <w:szCs w:val="24"/>
                  </w:rPr>
                  <w:t>Executive Summary</w:t>
                </w:r>
                <w:r w:rsidR="00115B96" w:rsidRPr="001C329E">
                  <w:rPr>
                    <w:rFonts w:ascii="Arial" w:hAnsi="Arial" w:cs="Arial"/>
                    <w:noProof/>
                    <w:webHidden/>
                    <w:sz w:val="24"/>
                    <w:szCs w:val="24"/>
                  </w:rPr>
                  <w:tab/>
                </w:r>
                <w:r w:rsidR="00115B96" w:rsidRPr="001C329E">
                  <w:rPr>
                    <w:rFonts w:ascii="Arial" w:hAnsi="Arial" w:cs="Arial"/>
                    <w:noProof/>
                    <w:webHidden/>
                    <w:sz w:val="24"/>
                    <w:szCs w:val="24"/>
                  </w:rPr>
                  <w:fldChar w:fldCharType="begin"/>
                </w:r>
                <w:r w:rsidR="00115B96" w:rsidRPr="001C329E">
                  <w:rPr>
                    <w:rFonts w:ascii="Arial" w:hAnsi="Arial" w:cs="Arial"/>
                    <w:noProof/>
                    <w:webHidden/>
                    <w:sz w:val="24"/>
                    <w:szCs w:val="24"/>
                  </w:rPr>
                  <w:instrText xml:space="preserve"> PAGEREF _Toc463944599 \h </w:instrText>
                </w:r>
                <w:r w:rsidR="00115B96" w:rsidRPr="001C329E">
                  <w:rPr>
                    <w:rFonts w:ascii="Arial" w:hAnsi="Arial" w:cs="Arial"/>
                    <w:noProof/>
                    <w:webHidden/>
                    <w:sz w:val="24"/>
                    <w:szCs w:val="24"/>
                  </w:rPr>
                </w:r>
                <w:r w:rsidR="00115B96" w:rsidRPr="001C329E">
                  <w:rPr>
                    <w:rFonts w:ascii="Arial" w:hAnsi="Arial" w:cs="Arial"/>
                    <w:noProof/>
                    <w:webHidden/>
                    <w:sz w:val="24"/>
                    <w:szCs w:val="24"/>
                  </w:rPr>
                  <w:fldChar w:fldCharType="separate"/>
                </w:r>
                <w:r w:rsidR="00115B96" w:rsidRPr="001C329E">
                  <w:rPr>
                    <w:rFonts w:ascii="Arial" w:hAnsi="Arial" w:cs="Arial"/>
                    <w:noProof/>
                    <w:webHidden/>
                    <w:sz w:val="24"/>
                    <w:szCs w:val="24"/>
                  </w:rPr>
                  <w:t>1</w:t>
                </w:r>
                <w:r w:rsidR="00115B96" w:rsidRPr="001C329E">
                  <w:rPr>
                    <w:rFonts w:ascii="Arial" w:hAnsi="Arial" w:cs="Arial"/>
                    <w:noProof/>
                    <w:webHidden/>
                    <w:sz w:val="24"/>
                    <w:szCs w:val="24"/>
                  </w:rPr>
                  <w:fldChar w:fldCharType="end"/>
                </w:r>
              </w:hyperlink>
            </w:p>
            <w:p w14:paraId="594F6124" w14:textId="77777777" w:rsidR="00115B96" w:rsidRPr="001C329E" w:rsidRDefault="00000000" w:rsidP="001C329E">
              <w:pPr>
                <w:pStyle w:val="TOC1"/>
                <w:tabs>
                  <w:tab w:val="right" w:leader="dot" w:pos="9016"/>
                </w:tabs>
                <w:spacing w:line="360" w:lineRule="auto"/>
                <w:rPr>
                  <w:rFonts w:ascii="Arial" w:eastAsiaTheme="minorEastAsia" w:hAnsi="Arial" w:cs="Arial"/>
                  <w:noProof/>
                  <w:sz w:val="24"/>
                  <w:szCs w:val="24"/>
                  <w:lang w:eastAsia="en-GB"/>
                </w:rPr>
              </w:pPr>
              <w:hyperlink w:anchor="_Toc463944600" w:history="1">
                <w:r w:rsidR="00115B96" w:rsidRPr="001C329E">
                  <w:rPr>
                    <w:rStyle w:val="Hyperlink"/>
                    <w:rFonts w:ascii="Arial" w:hAnsi="Arial" w:cs="Arial"/>
                    <w:noProof/>
                    <w:color w:val="auto"/>
                    <w:sz w:val="24"/>
                    <w:szCs w:val="24"/>
                  </w:rPr>
                  <w:t>Introduction</w:t>
                </w:r>
                <w:r w:rsidR="00115B96" w:rsidRPr="001C329E">
                  <w:rPr>
                    <w:rFonts w:ascii="Arial" w:hAnsi="Arial" w:cs="Arial"/>
                    <w:noProof/>
                    <w:webHidden/>
                    <w:sz w:val="24"/>
                    <w:szCs w:val="24"/>
                  </w:rPr>
                  <w:tab/>
                </w:r>
                <w:r w:rsidR="00115B96" w:rsidRPr="001C329E">
                  <w:rPr>
                    <w:rFonts w:ascii="Arial" w:hAnsi="Arial" w:cs="Arial"/>
                    <w:noProof/>
                    <w:webHidden/>
                    <w:sz w:val="24"/>
                    <w:szCs w:val="24"/>
                  </w:rPr>
                  <w:fldChar w:fldCharType="begin"/>
                </w:r>
                <w:r w:rsidR="00115B96" w:rsidRPr="001C329E">
                  <w:rPr>
                    <w:rFonts w:ascii="Arial" w:hAnsi="Arial" w:cs="Arial"/>
                    <w:noProof/>
                    <w:webHidden/>
                    <w:sz w:val="24"/>
                    <w:szCs w:val="24"/>
                  </w:rPr>
                  <w:instrText xml:space="preserve"> PAGEREF _Toc463944600 \h </w:instrText>
                </w:r>
                <w:r w:rsidR="00115B96" w:rsidRPr="001C329E">
                  <w:rPr>
                    <w:rFonts w:ascii="Arial" w:hAnsi="Arial" w:cs="Arial"/>
                    <w:noProof/>
                    <w:webHidden/>
                    <w:sz w:val="24"/>
                    <w:szCs w:val="24"/>
                  </w:rPr>
                </w:r>
                <w:r w:rsidR="00115B96" w:rsidRPr="001C329E">
                  <w:rPr>
                    <w:rFonts w:ascii="Arial" w:hAnsi="Arial" w:cs="Arial"/>
                    <w:noProof/>
                    <w:webHidden/>
                    <w:sz w:val="24"/>
                    <w:szCs w:val="24"/>
                  </w:rPr>
                  <w:fldChar w:fldCharType="separate"/>
                </w:r>
                <w:r w:rsidR="00115B96" w:rsidRPr="001C329E">
                  <w:rPr>
                    <w:rFonts w:ascii="Arial" w:hAnsi="Arial" w:cs="Arial"/>
                    <w:noProof/>
                    <w:webHidden/>
                    <w:sz w:val="24"/>
                    <w:szCs w:val="24"/>
                  </w:rPr>
                  <w:t>3</w:t>
                </w:r>
                <w:r w:rsidR="00115B96" w:rsidRPr="001C329E">
                  <w:rPr>
                    <w:rFonts w:ascii="Arial" w:hAnsi="Arial" w:cs="Arial"/>
                    <w:noProof/>
                    <w:webHidden/>
                    <w:sz w:val="24"/>
                    <w:szCs w:val="24"/>
                  </w:rPr>
                  <w:fldChar w:fldCharType="end"/>
                </w:r>
              </w:hyperlink>
            </w:p>
            <w:p w14:paraId="554E8E6C" w14:textId="670BC074" w:rsidR="00115B96" w:rsidRPr="001C329E" w:rsidRDefault="00000000" w:rsidP="001C329E">
              <w:pPr>
                <w:pStyle w:val="TOC1"/>
                <w:tabs>
                  <w:tab w:val="right" w:leader="dot" w:pos="9016"/>
                </w:tabs>
                <w:spacing w:line="360" w:lineRule="auto"/>
                <w:rPr>
                  <w:rFonts w:ascii="Arial" w:eastAsiaTheme="minorEastAsia" w:hAnsi="Arial" w:cs="Arial"/>
                  <w:noProof/>
                  <w:sz w:val="24"/>
                  <w:szCs w:val="24"/>
                  <w:lang w:eastAsia="en-GB"/>
                </w:rPr>
              </w:pPr>
              <w:hyperlink w:anchor="_Toc463944602" w:history="1">
                <w:r w:rsidR="00115B96" w:rsidRPr="001C329E">
                  <w:rPr>
                    <w:rStyle w:val="Hyperlink"/>
                    <w:rFonts w:ascii="Arial" w:hAnsi="Arial" w:cs="Arial"/>
                    <w:noProof/>
                    <w:color w:val="auto"/>
                    <w:sz w:val="24"/>
                    <w:szCs w:val="24"/>
                  </w:rPr>
                  <w:t>Financial Analysis Trends</w:t>
                </w:r>
                <w:r w:rsidR="00115B96" w:rsidRPr="001C329E">
                  <w:rPr>
                    <w:rFonts w:ascii="Arial" w:hAnsi="Arial" w:cs="Arial"/>
                    <w:noProof/>
                    <w:webHidden/>
                    <w:sz w:val="24"/>
                    <w:szCs w:val="24"/>
                  </w:rPr>
                  <w:tab/>
                </w:r>
                <w:r w:rsidR="004D16A2" w:rsidRPr="001C329E">
                  <w:rPr>
                    <w:rFonts w:ascii="Arial" w:hAnsi="Arial" w:cs="Arial"/>
                    <w:noProof/>
                    <w:webHidden/>
                    <w:sz w:val="24"/>
                    <w:szCs w:val="24"/>
                  </w:rPr>
                  <w:t>3</w:t>
                </w:r>
              </w:hyperlink>
            </w:p>
            <w:p w14:paraId="41BAB81A" w14:textId="77777777" w:rsidR="00115B96" w:rsidRPr="001C329E" w:rsidRDefault="00000000" w:rsidP="001C329E">
              <w:pPr>
                <w:pStyle w:val="TOC2"/>
                <w:tabs>
                  <w:tab w:val="right" w:leader="dot" w:pos="9016"/>
                </w:tabs>
                <w:spacing w:line="360" w:lineRule="auto"/>
                <w:rPr>
                  <w:rFonts w:ascii="Arial" w:hAnsi="Arial" w:cs="Arial"/>
                  <w:noProof/>
                  <w:sz w:val="24"/>
                  <w:szCs w:val="24"/>
                </w:rPr>
              </w:pPr>
              <w:hyperlink w:anchor="_Toc463944603" w:history="1">
                <w:r w:rsidR="00115B96" w:rsidRPr="001C329E">
                  <w:rPr>
                    <w:rStyle w:val="Hyperlink"/>
                    <w:rFonts w:ascii="Arial" w:hAnsi="Arial" w:cs="Arial"/>
                    <w:noProof/>
                    <w:color w:val="auto"/>
                    <w:sz w:val="24"/>
                    <w:szCs w:val="24"/>
                  </w:rPr>
                  <w:t>Profitability</w:t>
                </w:r>
                <w:r w:rsidR="00115B96" w:rsidRPr="001C329E">
                  <w:rPr>
                    <w:rFonts w:ascii="Arial" w:hAnsi="Arial" w:cs="Arial"/>
                    <w:noProof/>
                    <w:webHidden/>
                    <w:sz w:val="24"/>
                    <w:szCs w:val="24"/>
                  </w:rPr>
                  <w:tab/>
                </w:r>
                <w:r w:rsidR="00115B96" w:rsidRPr="001C329E">
                  <w:rPr>
                    <w:rFonts w:ascii="Arial" w:hAnsi="Arial" w:cs="Arial"/>
                    <w:noProof/>
                    <w:webHidden/>
                    <w:sz w:val="24"/>
                    <w:szCs w:val="24"/>
                  </w:rPr>
                  <w:fldChar w:fldCharType="begin"/>
                </w:r>
                <w:r w:rsidR="00115B96" w:rsidRPr="001C329E">
                  <w:rPr>
                    <w:rFonts w:ascii="Arial" w:hAnsi="Arial" w:cs="Arial"/>
                    <w:noProof/>
                    <w:webHidden/>
                    <w:sz w:val="24"/>
                    <w:szCs w:val="24"/>
                  </w:rPr>
                  <w:instrText xml:space="preserve"> PAGEREF _Toc463944603 \h </w:instrText>
                </w:r>
                <w:r w:rsidR="00115B96" w:rsidRPr="001C329E">
                  <w:rPr>
                    <w:rFonts w:ascii="Arial" w:hAnsi="Arial" w:cs="Arial"/>
                    <w:noProof/>
                    <w:webHidden/>
                    <w:sz w:val="24"/>
                    <w:szCs w:val="24"/>
                  </w:rPr>
                </w:r>
                <w:r w:rsidR="00115B96" w:rsidRPr="001C329E">
                  <w:rPr>
                    <w:rFonts w:ascii="Arial" w:hAnsi="Arial" w:cs="Arial"/>
                    <w:noProof/>
                    <w:webHidden/>
                    <w:sz w:val="24"/>
                    <w:szCs w:val="24"/>
                  </w:rPr>
                  <w:fldChar w:fldCharType="separate"/>
                </w:r>
                <w:r w:rsidR="00115B96" w:rsidRPr="001C329E">
                  <w:rPr>
                    <w:rFonts w:ascii="Arial" w:hAnsi="Arial" w:cs="Arial"/>
                    <w:noProof/>
                    <w:webHidden/>
                    <w:sz w:val="24"/>
                    <w:szCs w:val="24"/>
                  </w:rPr>
                  <w:t>4</w:t>
                </w:r>
                <w:r w:rsidR="00115B96" w:rsidRPr="001C329E">
                  <w:rPr>
                    <w:rFonts w:ascii="Arial" w:hAnsi="Arial" w:cs="Arial"/>
                    <w:noProof/>
                    <w:webHidden/>
                    <w:sz w:val="24"/>
                    <w:szCs w:val="24"/>
                  </w:rPr>
                  <w:fldChar w:fldCharType="end"/>
                </w:r>
              </w:hyperlink>
            </w:p>
            <w:p w14:paraId="33358261" w14:textId="6A5796E7" w:rsidR="00115B96" w:rsidRPr="001C329E" w:rsidRDefault="00000000" w:rsidP="001C329E">
              <w:pPr>
                <w:pStyle w:val="TOC2"/>
                <w:tabs>
                  <w:tab w:val="right" w:leader="dot" w:pos="9016"/>
                </w:tabs>
                <w:spacing w:line="360" w:lineRule="auto"/>
                <w:rPr>
                  <w:rFonts w:ascii="Arial" w:hAnsi="Arial" w:cs="Arial"/>
                  <w:noProof/>
                  <w:sz w:val="24"/>
                  <w:szCs w:val="24"/>
                </w:rPr>
              </w:pPr>
              <w:hyperlink w:anchor="_Toc463944604" w:history="1">
                <w:r w:rsidR="00115B96" w:rsidRPr="001C329E">
                  <w:rPr>
                    <w:rStyle w:val="Hyperlink"/>
                    <w:rFonts w:ascii="Arial" w:hAnsi="Arial" w:cs="Arial"/>
                    <w:noProof/>
                    <w:color w:val="auto"/>
                    <w:sz w:val="24"/>
                    <w:szCs w:val="24"/>
                  </w:rPr>
                  <w:t>Liquidity</w:t>
                </w:r>
                <w:r w:rsidR="00115B96" w:rsidRPr="001C329E">
                  <w:rPr>
                    <w:rFonts w:ascii="Arial" w:hAnsi="Arial" w:cs="Arial"/>
                    <w:noProof/>
                    <w:webHidden/>
                    <w:sz w:val="24"/>
                    <w:szCs w:val="24"/>
                  </w:rPr>
                  <w:tab/>
                </w:r>
                <w:r w:rsidR="00242A2A" w:rsidRPr="001C329E">
                  <w:rPr>
                    <w:rFonts w:ascii="Arial" w:hAnsi="Arial" w:cs="Arial"/>
                    <w:noProof/>
                    <w:webHidden/>
                    <w:sz w:val="24"/>
                    <w:szCs w:val="24"/>
                  </w:rPr>
                  <w:t>5</w:t>
                </w:r>
              </w:hyperlink>
            </w:p>
            <w:p w14:paraId="26D7A146" w14:textId="16AA1172" w:rsidR="00115B96" w:rsidRPr="001C329E" w:rsidRDefault="00000000" w:rsidP="001C329E">
              <w:pPr>
                <w:pStyle w:val="TOC2"/>
                <w:tabs>
                  <w:tab w:val="right" w:leader="dot" w:pos="9016"/>
                </w:tabs>
                <w:spacing w:line="360" w:lineRule="auto"/>
                <w:rPr>
                  <w:rFonts w:ascii="Arial" w:hAnsi="Arial" w:cs="Arial"/>
                  <w:noProof/>
                  <w:sz w:val="24"/>
                  <w:szCs w:val="24"/>
                </w:rPr>
              </w:pPr>
              <w:hyperlink w:anchor="_Toc463944605" w:history="1">
                <w:r w:rsidR="00115B96" w:rsidRPr="001C329E">
                  <w:rPr>
                    <w:rStyle w:val="Hyperlink"/>
                    <w:rFonts w:ascii="Arial" w:hAnsi="Arial" w:cs="Arial"/>
                    <w:noProof/>
                    <w:color w:val="auto"/>
                    <w:sz w:val="24"/>
                    <w:szCs w:val="24"/>
                  </w:rPr>
                  <w:t>Gearing</w:t>
                </w:r>
                <w:r w:rsidR="00115B96" w:rsidRPr="001C329E">
                  <w:rPr>
                    <w:rFonts w:ascii="Arial" w:hAnsi="Arial" w:cs="Arial"/>
                    <w:noProof/>
                    <w:webHidden/>
                    <w:sz w:val="24"/>
                    <w:szCs w:val="24"/>
                  </w:rPr>
                  <w:tab/>
                </w:r>
                <w:r w:rsidR="00242A2A" w:rsidRPr="001C329E">
                  <w:rPr>
                    <w:rFonts w:ascii="Arial" w:hAnsi="Arial" w:cs="Arial"/>
                    <w:noProof/>
                    <w:webHidden/>
                    <w:sz w:val="24"/>
                    <w:szCs w:val="24"/>
                  </w:rPr>
                  <w:t>6</w:t>
                </w:r>
              </w:hyperlink>
            </w:p>
            <w:p w14:paraId="3952D2B2" w14:textId="7DE03780" w:rsidR="00115B96" w:rsidRPr="001C329E" w:rsidRDefault="00000000" w:rsidP="001C329E">
              <w:pPr>
                <w:pStyle w:val="TOC1"/>
                <w:tabs>
                  <w:tab w:val="right" w:leader="dot" w:pos="9016"/>
                </w:tabs>
                <w:spacing w:line="360" w:lineRule="auto"/>
                <w:rPr>
                  <w:rFonts w:ascii="Arial" w:eastAsiaTheme="minorEastAsia" w:hAnsi="Arial" w:cs="Arial"/>
                  <w:noProof/>
                  <w:sz w:val="24"/>
                  <w:szCs w:val="24"/>
                  <w:lang w:eastAsia="en-GB"/>
                </w:rPr>
              </w:pPr>
              <w:hyperlink w:anchor="_Toc463944606" w:history="1">
                <w:r w:rsidR="00115B96" w:rsidRPr="001C329E">
                  <w:rPr>
                    <w:rStyle w:val="Hyperlink"/>
                    <w:rFonts w:ascii="Arial" w:hAnsi="Arial" w:cs="Arial"/>
                    <w:noProof/>
                    <w:color w:val="auto"/>
                    <w:sz w:val="24"/>
                    <w:szCs w:val="24"/>
                  </w:rPr>
                  <w:t>Knowledge from Ratio Analysis</w:t>
                </w:r>
                <w:r w:rsidR="00115B96" w:rsidRPr="001C329E">
                  <w:rPr>
                    <w:rFonts w:ascii="Arial" w:hAnsi="Arial" w:cs="Arial"/>
                    <w:noProof/>
                    <w:webHidden/>
                    <w:sz w:val="24"/>
                    <w:szCs w:val="24"/>
                  </w:rPr>
                  <w:tab/>
                </w:r>
                <w:r w:rsidR="007C17FF">
                  <w:rPr>
                    <w:rFonts w:ascii="Arial" w:hAnsi="Arial" w:cs="Arial"/>
                    <w:noProof/>
                    <w:webHidden/>
                    <w:sz w:val="24"/>
                    <w:szCs w:val="24"/>
                  </w:rPr>
                  <w:t>7</w:t>
                </w:r>
              </w:hyperlink>
            </w:p>
            <w:p w14:paraId="3969CF74" w14:textId="29830447" w:rsidR="00115B96" w:rsidRPr="001C329E" w:rsidRDefault="00000000" w:rsidP="001C329E">
              <w:pPr>
                <w:pStyle w:val="TOC1"/>
                <w:tabs>
                  <w:tab w:val="right" w:leader="dot" w:pos="9016"/>
                </w:tabs>
                <w:spacing w:line="360" w:lineRule="auto"/>
                <w:rPr>
                  <w:rFonts w:ascii="Arial" w:eastAsiaTheme="minorEastAsia" w:hAnsi="Arial" w:cs="Arial"/>
                  <w:noProof/>
                  <w:sz w:val="24"/>
                  <w:szCs w:val="24"/>
                  <w:lang w:eastAsia="en-GB"/>
                </w:rPr>
              </w:pPr>
              <w:hyperlink w:anchor="_Toc463944607" w:history="1">
                <w:r w:rsidR="00115B96" w:rsidRPr="001C329E">
                  <w:rPr>
                    <w:rStyle w:val="Hyperlink"/>
                    <w:rFonts w:ascii="Arial" w:hAnsi="Arial" w:cs="Arial"/>
                    <w:noProof/>
                    <w:color w:val="auto"/>
                    <w:sz w:val="24"/>
                    <w:szCs w:val="24"/>
                  </w:rPr>
                  <w:t>Benefits and Limitations of Ratio Analysis</w:t>
                </w:r>
                <w:r w:rsidR="00115B96" w:rsidRPr="001C329E">
                  <w:rPr>
                    <w:rFonts w:ascii="Arial" w:hAnsi="Arial" w:cs="Arial"/>
                    <w:noProof/>
                    <w:webHidden/>
                    <w:sz w:val="24"/>
                    <w:szCs w:val="24"/>
                  </w:rPr>
                  <w:tab/>
                </w:r>
                <w:r w:rsidR="001311ED">
                  <w:rPr>
                    <w:rFonts w:ascii="Arial" w:hAnsi="Arial" w:cs="Arial"/>
                    <w:noProof/>
                    <w:webHidden/>
                    <w:sz w:val="24"/>
                    <w:szCs w:val="24"/>
                  </w:rPr>
                  <w:t>8</w:t>
                </w:r>
              </w:hyperlink>
            </w:p>
            <w:p w14:paraId="2B487859" w14:textId="673AC667" w:rsidR="00115B96" w:rsidRPr="001C329E" w:rsidRDefault="00000000" w:rsidP="001C329E">
              <w:pPr>
                <w:pStyle w:val="TOC1"/>
                <w:tabs>
                  <w:tab w:val="right" w:leader="dot" w:pos="9016"/>
                </w:tabs>
                <w:spacing w:line="360" w:lineRule="auto"/>
                <w:rPr>
                  <w:rFonts w:ascii="Arial" w:eastAsiaTheme="minorEastAsia" w:hAnsi="Arial" w:cs="Arial"/>
                  <w:noProof/>
                  <w:sz w:val="24"/>
                  <w:szCs w:val="24"/>
                  <w:lang w:eastAsia="en-GB"/>
                </w:rPr>
              </w:pPr>
              <w:hyperlink w:anchor="_Toc463944608" w:history="1">
                <w:r w:rsidR="00115B96" w:rsidRPr="001C329E">
                  <w:rPr>
                    <w:rStyle w:val="Hyperlink"/>
                    <w:rFonts w:ascii="Arial" w:hAnsi="Arial" w:cs="Arial"/>
                    <w:noProof/>
                    <w:color w:val="auto"/>
                    <w:sz w:val="24"/>
                    <w:szCs w:val="24"/>
                  </w:rPr>
                  <w:t>Conclusion (average of 10% of word count)</w:t>
                </w:r>
                <w:r w:rsidR="00115B96" w:rsidRPr="001C329E">
                  <w:rPr>
                    <w:rFonts w:ascii="Arial" w:hAnsi="Arial" w:cs="Arial"/>
                    <w:noProof/>
                    <w:webHidden/>
                    <w:sz w:val="24"/>
                    <w:szCs w:val="24"/>
                  </w:rPr>
                  <w:tab/>
                </w:r>
                <w:r w:rsidR="00242A2A" w:rsidRPr="001C329E">
                  <w:rPr>
                    <w:rFonts w:ascii="Arial" w:hAnsi="Arial" w:cs="Arial"/>
                    <w:noProof/>
                    <w:webHidden/>
                    <w:sz w:val="24"/>
                    <w:szCs w:val="24"/>
                  </w:rPr>
                  <w:t>8</w:t>
                </w:r>
              </w:hyperlink>
            </w:p>
            <w:p w14:paraId="163DB4B1" w14:textId="4C94853B" w:rsidR="00115B96" w:rsidRPr="001C329E" w:rsidRDefault="00000000" w:rsidP="001C329E">
              <w:pPr>
                <w:pStyle w:val="TOC1"/>
                <w:tabs>
                  <w:tab w:val="right" w:leader="dot" w:pos="9016"/>
                </w:tabs>
                <w:spacing w:line="360" w:lineRule="auto"/>
                <w:rPr>
                  <w:rFonts w:ascii="Arial" w:eastAsiaTheme="minorEastAsia" w:hAnsi="Arial" w:cs="Arial"/>
                  <w:noProof/>
                  <w:sz w:val="24"/>
                  <w:szCs w:val="24"/>
                  <w:lang w:eastAsia="en-GB"/>
                </w:rPr>
              </w:pPr>
              <w:hyperlink w:anchor="_Toc463944609" w:history="1">
                <w:r w:rsidR="009B29BA" w:rsidRPr="001C329E">
                  <w:rPr>
                    <w:rStyle w:val="Hyperlink"/>
                    <w:rFonts w:ascii="Arial" w:hAnsi="Arial" w:cs="Arial"/>
                    <w:noProof/>
                    <w:color w:val="auto"/>
                    <w:sz w:val="24"/>
                    <w:szCs w:val="24"/>
                  </w:rPr>
                  <w:t>Reference</w:t>
                </w:r>
                <w:r w:rsidR="00115B96" w:rsidRPr="001C329E">
                  <w:rPr>
                    <w:rFonts w:ascii="Arial" w:hAnsi="Arial" w:cs="Arial"/>
                    <w:noProof/>
                    <w:webHidden/>
                    <w:sz w:val="24"/>
                    <w:szCs w:val="24"/>
                  </w:rPr>
                  <w:tab/>
                </w:r>
                <w:r w:rsidR="009B29BA" w:rsidRPr="001C329E">
                  <w:rPr>
                    <w:rFonts w:ascii="Arial" w:hAnsi="Arial" w:cs="Arial"/>
                    <w:noProof/>
                    <w:webHidden/>
                    <w:sz w:val="24"/>
                    <w:szCs w:val="24"/>
                  </w:rPr>
                  <w:t>9</w:t>
                </w:r>
              </w:hyperlink>
            </w:p>
            <w:p w14:paraId="5849B348" w14:textId="09FE763E" w:rsidR="007D1947" w:rsidRDefault="007D1947" w:rsidP="001C329E">
              <w:pPr>
                <w:spacing w:line="360" w:lineRule="auto"/>
              </w:pPr>
              <w:r w:rsidRPr="001C329E">
                <w:rPr>
                  <w:rFonts w:ascii="Arial" w:hAnsi="Arial" w:cs="Arial"/>
                  <w:b/>
                  <w:bCs/>
                  <w:noProof/>
                  <w:sz w:val="24"/>
                  <w:szCs w:val="24"/>
                </w:rPr>
                <w:fldChar w:fldCharType="end"/>
              </w:r>
              <w:r w:rsidR="0079208E">
                <w:rPr>
                  <w:b/>
                  <w:bCs/>
                  <w:noProof/>
                </w:rPr>
                <w:t xml:space="preserve"> </w:t>
              </w:r>
            </w:p>
          </w:sdtContent>
        </w:sdt>
        <w:p w14:paraId="1E6FA7DA" w14:textId="77777777" w:rsidR="007D1947" w:rsidRDefault="007D1947"/>
        <w:p w14:paraId="3C870FBE" w14:textId="77777777" w:rsidR="007D1947" w:rsidRDefault="007D1947"/>
        <w:p w14:paraId="2473B2AF" w14:textId="77777777" w:rsidR="007D1947" w:rsidRDefault="007D1947"/>
        <w:p w14:paraId="059AA211" w14:textId="77777777" w:rsidR="007D1947" w:rsidRDefault="007D1947"/>
        <w:p w14:paraId="18482C63" w14:textId="77777777" w:rsidR="007D1947" w:rsidRDefault="007D1947"/>
        <w:p w14:paraId="23DB8D03" w14:textId="77777777" w:rsidR="007D1947" w:rsidRDefault="007D1947"/>
        <w:p w14:paraId="38BD64A9" w14:textId="77777777" w:rsidR="007D1947" w:rsidRDefault="007D1947"/>
        <w:p w14:paraId="54CB868D" w14:textId="77777777" w:rsidR="007D1947" w:rsidRDefault="007D1947"/>
        <w:p w14:paraId="1EF5C34A" w14:textId="77777777" w:rsidR="007D1947" w:rsidRDefault="007D1947"/>
        <w:p w14:paraId="5551AF38" w14:textId="08E9DB57" w:rsidR="007D1947" w:rsidRDefault="007D1947"/>
        <w:p w14:paraId="39BBE02B" w14:textId="64BE9E50" w:rsidR="007D1947" w:rsidRDefault="007D1947"/>
        <w:p w14:paraId="7793AFE1" w14:textId="4100C1A5" w:rsidR="007D1947" w:rsidRDefault="007D1947"/>
        <w:p w14:paraId="77CF37E8" w14:textId="77777777" w:rsidR="007D1947" w:rsidRDefault="007D1947"/>
        <w:p w14:paraId="63A0B225" w14:textId="77777777" w:rsidR="007D1947" w:rsidRDefault="007D1947"/>
        <w:p w14:paraId="69C7FAEE" w14:textId="622FD5DE" w:rsidR="007D1947" w:rsidRDefault="007D1947" w:rsidP="007D1947"/>
        <w:p w14:paraId="602C9D62" w14:textId="77777777" w:rsidR="0080566D" w:rsidRDefault="0080566D" w:rsidP="007D1947"/>
        <w:p w14:paraId="5344B2AD" w14:textId="68919C3C" w:rsidR="004A11F6" w:rsidRDefault="004A11F6" w:rsidP="007D1947">
          <w:pPr>
            <w:rPr>
              <w:color w:val="FF0000"/>
            </w:rPr>
          </w:pPr>
        </w:p>
        <w:p w14:paraId="2AEF1E86" w14:textId="77777777" w:rsidR="00813F5D" w:rsidRDefault="00813F5D" w:rsidP="00317E9A">
          <w:pPr>
            <w:spacing w:line="360" w:lineRule="auto"/>
            <w:rPr>
              <w:rFonts w:ascii="Arial" w:hAnsi="Arial" w:cs="Arial"/>
              <w:b/>
              <w:bCs/>
              <w:color w:val="000000" w:themeColor="text1"/>
              <w:sz w:val="28"/>
              <w:szCs w:val="28"/>
            </w:rPr>
          </w:pPr>
        </w:p>
        <w:p w14:paraId="25D668CA" w14:textId="77777777" w:rsidR="004C2581" w:rsidRDefault="004C2581" w:rsidP="00317E9A">
          <w:pPr>
            <w:spacing w:line="360" w:lineRule="auto"/>
            <w:rPr>
              <w:rFonts w:ascii="Arial" w:hAnsi="Arial" w:cs="Arial"/>
              <w:b/>
              <w:bCs/>
              <w:color w:val="000000" w:themeColor="text1"/>
              <w:sz w:val="28"/>
              <w:szCs w:val="28"/>
            </w:rPr>
          </w:pPr>
        </w:p>
        <w:p w14:paraId="7E91C78B" w14:textId="61AF86E2" w:rsidR="00317E9A" w:rsidRPr="00FF43B3" w:rsidRDefault="00FF43B3" w:rsidP="00317E9A">
          <w:pPr>
            <w:spacing w:line="360" w:lineRule="auto"/>
            <w:rPr>
              <w:rFonts w:ascii="Arial" w:hAnsi="Arial" w:cs="Arial"/>
              <w:b/>
              <w:bCs/>
              <w:color w:val="000000" w:themeColor="text1"/>
              <w:sz w:val="28"/>
              <w:szCs w:val="28"/>
            </w:rPr>
          </w:pPr>
          <w:r w:rsidRPr="00FF43B3">
            <w:rPr>
              <w:rFonts w:ascii="Arial" w:hAnsi="Arial" w:cs="Arial"/>
              <w:b/>
              <w:bCs/>
              <w:color w:val="000000" w:themeColor="text1"/>
              <w:sz w:val="28"/>
              <w:szCs w:val="28"/>
            </w:rPr>
            <w:t>Introduction</w:t>
          </w:r>
        </w:p>
        <w:p w14:paraId="58727B5A" w14:textId="3166E066" w:rsidR="0080566D" w:rsidRDefault="00FF43B3" w:rsidP="00317E9A">
          <w:pPr>
            <w:spacing w:line="360" w:lineRule="auto"/>
            <w:jc w:val="both"/>
            <w:rPr>
              <w:rFonts w:ascii="Arial" w:hAnsi="Arial" w:cs="Arial"/>
              <w:sz w:val="24"/>
              <w:szCs w:val="24"/>
            </w:rPr>
          </w:pPr>
          <w:r w:rsidRPr="00FF43B3">
            <w:rPr>
              <w:rFonts w:ascii="Arial" w:hAnsi="Arial" w:cs="Arial"/>
              <w:sz w:val="24"/>
              <w:szCs w:val="24"/>
            </w:rPr>
            <w:t>Marriott International is a multinational company that operates, franchises, and licences timeshare, residential, and hotel properties under 30 brand names in 133 nations and territories. Marriott International primarily manages or franchises properties under the asset-light business model as opposed to owning them</w:t>
          </w:r>
          <w:r>
            <w:rPr>
              <w:rFonts w:ascii="Arial" w:hAnsi="Arial" w:cs="Arial"/>
              <w:sz w:val="24"/>
              <w:szCs w:val="24"/>
            </w:rPr>
            <w:t xml:space="preserve"> (</w:t>
          </w:r>
          <w:r w:rsidR="00A27C5B">
            <w:rPr>
              <w:rFonts w:ascii="Arial" w:hAnsi="Arial" w:cs="Arial"/>
              <w:sz w:val="24"/>
              <w:szCs w:val="24"/>
            </w:rPr>
            <w:t>Marriott International, 2020)</w:t>
          </w:r>
          <w:r w:rsidRPr="00FF43B3">
            <w:rPr>
              <w:rFonts w:ascii="Arial" w:hAnsi="Arial" w:cs="Arial"/>
              <w:sz w:val="24"/>
              <w:szCs w:val="24"/>
            </w:rPr>
            <w:t>.</w:t>
          </w:r>
          <w:r w:rsidR="00D84D87">
            <w:rPr>
              <w:rFonts w:ascii="Arial" w:hAnsi="Arial" w:cs="Arial"/>
              <w:sz w:val="24"/>
              <w:szCs w:val="24"/>
            </w:rPr>
            <w:t xml:space="preserve"> </w:t>
          </w:r>
          <w:r w:rsidR="009679B9" w:rsidRPr="009679B9">
            <w:rPr>
              <w:rFonts w:ascii="Arial" w:hAnsi="Arial" w:cs="Arial"/>
              <w:sz w:val="24"/>
              <w:szCs w:val="24"/>
            </w:rPr>
            <w:t>Marriott International is divided into two operating clusters: Marriott Lodging, which accounts for over 60% of corporate income, and the Marriott Service Group, which provides contract services.</w:t>
          </w:r>
          <w:r w:rsidR="009679B9">
            <w:rPr>
              <w:rFonts w:ascii="Arial" w:hAnsi="Arial" w:cs="Arial"/>
              <w:sz w:val="24"/>
              <w:szCs w:val="24"/>
            </w:rPr>
            <w:t xml:space="preserve"> </w:t>
          </w:r>
          <w:r w:rsidR="009679B9" w:rsidRPr="009679B9">
            <w:rPr>
              <w:rFonts w:ascii="Arial" w:hAnsi="Arial" w:cs="Arial"/>
              <w:sz w:val="24"/>
              <w:szCs w:val="24"/>
            </w:rPr>
            <w:t>Marriott Lodging oversees or franchisees over 1,350 lodging locations, while Marriott Management Services, Marriott Senior Living Services, and Marriott Distribution Services are part of the Marriott Service Group</w:t>
          </w:r>
          <w:r w:rsidR="009679B9">
            <w:rPr>
              <w:rFonts w:ascii="Arial" w:hAnsi="Arial" w:cs="Arial"/>
              <w:sz w:val="24"/>
              <w:szCs w:val="24"/>
            </w:rPr>
            <w:t xml:space="preserve"> (Marriott International, Inc. forum, 2022)</w:t>
          </w:r>
          <w:r w:rsidR="009679B9" w:rsidRPr="009679B9">
            <w:rPr>
              <w:rFonts w:ascii="Arial" w:hAnsi="Arial" w:cs="Arial"/>
              <w:sz w:val="24"/>
              <w:szCs w:val="24"/>
            </w:rPr>
            <w:t>.</w:t>
          </w:r>
          <w:r w:rsidR="009679B9">
            <w:rPr>
              <w:rFonts w:ascii="Arial" w:hAnsi="Arial" w:cs="Arial"/>
              <w:sz w:val="24"/>
              <w:szCs w:val="24"/>
            </w:rPr>
            <w:t xml:space="preserve"> </w:t>
          </w:r>
          <w:r w:rsidR="00D84D87" w:rsidRPr="00D84D87">
            <w:rPr>
              <w:rFonts w:ascii="Arial" w:hAnsi="Arial" w:cs="Arial"/>
              <w:sz w:val="24"/>
              <w:szCs w:val="24"/>
            </w:rPr>
            <w:t xml:space="preserve">To aid in the study of the hotel's financial records, the firm finances are made clear to the Chief Executive, addressing the </w:t>
          </w:r>
          <w:r w:rsidR="008C2171">
            <w:rPr>
              <w:rFonts w:ascii="Arial" w:hAnsi="Arial" w:cs="Arial"/>
              <w:sz w:val="24"/>
              <w:szCs w:val="24"/>
            </w:rPr>
            <w:t xml:space="preserve">profitability, </w:t>
          </w:r>
          <w:r w:rsidR="00935DFE">
            <w:rPr>
              <w:rFonts w:ascii="Arial" w:hAnsi="Arial" w:cs="Arial"/>
              <w:sz w:val="24"/>
              <w:szCs w:val="24"/>
            </w:rPr>
            <w:t>liquidity,</w:t>
          </w:r>
          <w:r w:rsidR="008C2171">
            <w:rPr>
              <w:rFonts w:ascii="Arial" w:hAnsi="Arial" w:cs="Arial"/>
              <w:sz w:val="24"/>
              <w:szCs w:val="24"/>
            </w:rPr>
            <w:t xml:space="preserve"> and gearing</w:t>
          </w:r>
          <w:r w:rsidR="00D84D87" w:rsidRPr="00D84D87">
            <w:rPr>
              <w:rFonts w:ascii="Arial" w:hAnsi="Arial" w:cs="Arial"/>
              <w:sz w:val="24"/>
              <w:szCs w:val="24"/>
            </w:rPr>
            <w:t xml:space="preserve"> ratios for </w:t>
          </w:r>
          <w:r w:rsidR="009679B9">
            <w:rPr>
              <w:rFonts w:ascii="Arial" w:hAnsi="Arial" w:cs="Arial"/>
              <w:sz w:val="24"/>
              <w:szCs w:val="24"/>
            </w:rPr>
            <w:t xml:space="preserve">year </w:t>
          </w:r>
          <w:r w:rsidR="00D84D87" w:rsidRPr="00D84D87">
            <w:rPr>
              <w:rFonts w:ascii="Arial" w:hAnsi="Arial" w:cs="Arial"/>
              <w:sz w:val="24"/>
              <w:szCs w:val="24"/>
            </w:rPr>
            <w:t>2020 and 2021.</w:t>
          </w:r>
          <w:r w:rsidR="000B6411">
            <w:rPr>
              <w:rFonts w:ascii="Arial" w:hAnsi="Arial" w:cs="Arial"/>
              <w:sz w:val="24"/>
              <w:szCs w:val="24"/>
            </w:rPr>
            <w:t xml:space="preserve"> In addition, the importance of understanding ratio analysis</w:t>
          </w:r>
          <w:r w:rsidR="00A05EBD">
            <w:rPr>
              <w:rFonts w:ascii="Arial" w:hAnsi="Arial" w:cs="Arial"/>
              <w:sz w:val="24"/>
              <w:szCs w:val="24"/>
            </w:rPr>
            <w:t xml:space="preserve"> by manager in the hospitality industry</w:t>
          </w:r>
          <w:r w:rsidR="000B6411">
            <w:rPr>
              <w:rFonts w:ascii="Arial" w:hAnsi="Arial" w:cs="Arial"/>
              <w:sz w:val="24"/>
              <w:szCs w:val="24"/>
            </w:rPr>
            <w:t xml:space="preserve"> and </w:t>
          </w:r>
          <w:r w:rsidR="00A05EBD">
            <w:rPr>
              <w:rFonts w:ascii="Arial" w:hAnsi="Arial" w:cs="Arial"/>
              <w:sz w:val="24"/>
              <w:szCs w:val="24"/>
            </w:rPr>
            <w:t>the</w:t>
          </w:r>
          <w:r w:rsidR="000B6411">
            <w:rPr>
              <w:rFonts w:ascii="Arial" w:hAnsi="Arial" w:cs="Arial"/>
              <w:sz w:val="24"/>
              <w:szCs w:val="24"/>
            </w:rPr>
            <w:t xml:space="preserve"> limitations</w:t>
          </w:r>
          <w:r w:rsidR="00A05EBD">
            <w:rPr>
              <w:rFonts w:ascii="Arial" w:hAnsi="Arial" w:cs="Arial"/>
              <w:sz w:val="24"/>
              <w:szCs w:val="24"/>
            </w:rPr>
            <w:t xml:space="preserve"> ratios come with</w:t>
          </w:r>
          <w:r w:rsidR="000B6411">
            <w:rPr>
              <w:rFonts w:ascii="Arial" w:hAnsi="Arial" w:cs="Arial"/>
              <w:sz w:val="24"/>
              <w:szCs w:val="24"/>
            </w:rPr>
            <w:t xml:space="preserve">, is discussed as well. </w:t>
          </w:r>
        </w:p>
        <w:p w14:paraId="6543F455" w14:textId="7A1AB28B" w:rsidR="00935DFE" w:rsidRDefault="00935DFE" w:rsidP="0080566D">
          <w:pPr>
            <w:spacing w:line="360" w:lineRule="auto"/>
            <w:jc w:val="both"/>
            <w:rPr>
              <w:rFonts w:ascii="Arial" w:hAnsi="Arial" w:cs="Arial"/>
              <w:sz w:val="24"/>
              <w:szCs w:val="24"/>
            </w:rPr>
          </w:pPr>
        </w:p>
        <w:p w14:paraId="6D4065F8" w14:textId="77777777" w:rsidR="004C3734" w:rsidRDefault="004C3734" w:rsidP="0080566D">
          <w:pPr>
            <w:spacing w:line="360" w:lineRule="auto"/>
            <w:jc w:val="both"/>
            <w:rPr>
              <w:rFonts w:ascii="Arial" w:hAnsi="Arial" w:cs="Arial"/>
              <w:sz w:val="24"/>
              <w:szCs w:val="24"/>
            </w:rPr>
          </w:pPr>
        </w:p>
        <w:p w14:paraId="2C34C429" w14:textId="77777777" w:rsidR="00A05EBD" w:rsidRPr="0080566D" w:rsidRDefault="00A05EBD" w:rsidP="0080566D">
          <w:pPr>
            <w:spacing w:line="360" w:lineRule="auto"/>
            <w:jc w:val="both"/>
            <w:rPr>
              <w:rFonts w:ascii="Arial" w:hAnsi="Arial" w:cs="Arial"/>
              <w:sz w:val="24"/>
              <w:szCs w:val="24"/>
            </w:rPr>
          </w:pPr>
        </w:p>
        <w:p w14:paraId="642DD8C0" w14:textId="4DE13748" w:rsidR="00813F5D" w:rsidRPr="00935DFE" w:rsidRDefault="00970773" w:rsidP="00813F5D">
          <w:pPr>
            <w:spacing w:line="360" w:lineRule="auto"/>
            <w:rPr>
              <w:rFonts w:ascii="Arial" w:hAnsi="Arial" w:cs="Arial"/>
              <w:b/>
              <w:bCs/>
              <w:sz w:val="28"/>
              <w:szCs w:val="28"/>
            </w:rPr>
          </w:pPr>
          <w:r>
            <w:rPr>
              <w:rFonts w:ascii="Arial" w:hAnsi="Arial" w:cs="Arial"/>
              <w:b/>
              <w:bCs/>
              <w:sz w:val="28"/>
              <w:szCs w:val="28"/>
            </w:rPr>
            <w:t>Financial Analysis Trends</w:t>
          </w:r>
        </w:p>
        <w:p w14:paraId="6FA48F1C" w14:textId="6AE741A6" w:rsidR="00094A04" w:rsidRDefault="009160E2" w:rsidP="00813F5D">
          <w:pPr>
            <w:spacing w:line="360" w:lineRule="auto"/>
            <w:jc w:val="both"/>
            <w:rPr>
              <w:rFonts w:ascii="Arial" w:hAnsi="Arial" w:cs="Arial"/>
              <w:sz w:val="24"/>
              <w:szCs w:val="24"/>
            </w:rPr>
          </w:pPr>
          <w:r w:rsidRPr="009160E2">
            <w:rPr>
              <w:rFonts w:ascii="Arial" w:hAnsi="Arial" w:cs="Arial"/>
              <w:sz w:val="24"/>
              <w:szCs w:val="24"/>
            </w:rPr>
            <w:t>Financial trend research can bring significant views to businesses by guiding them through rapid decision-making, precise planning and analysis, and forecasting, all while employing the appropriate finance measures.</w:t>
          </w:r>
          <w:r>
            <w:rPr>
              <w:rFonts w:ascii="Arial" w:hAnsi="Arial" w:cs="Arial"/>
              <w:sz w:val="24"/>
              <w:szCs w:val="24"/>
            </w:rPr>
            <w:t xml:space="preserve"> </w:t>
          </w:r>
          <w:r w:rsidRPr="009160E2">
            <w:rPr>
              <w:rFonts w:ascii="Arial" w:hAnsi="Arial" w:cs="Arial"/>
              <w:sz w:val="24"/>
              <w:szCs w:val="24"/>
            </w:rPr>
            <w:t>Trend analysis requires the collecting of data from numerous time intervals. That data is then horizontally examined and displayed to identify trends</w:t>
          </w:r>
          <w:r>
            <w:rPr>
              <w:rFonts w:ascii="Arial" w:hAnsi="Arial" w:cs="Arial"/>
              <w:sz w:val="24"/>
              <w:szCs w:val="24"/>
            </w:rPr>
            <w:t xml:space="preserve"> (Grant, 2022)</w:t>
          </w:r>
          <w:r w:rsidRPr="009160E2">
            <w:rPr>
              <w:rFonts w:ascii="Arial" w:hAnsi="Arial" w:cs="Arial"/>
              <w:sz w:val="24"/>
              <w:szCs w:val="24"/>
            </w:rPr>
            <w:t>.</w:t>
          </w:r>
          <w:r w:rsidR="00813F5D">
            <w:rPr>
              <w:rFonts w:ascii="Arial" w:hAnsi="Arial" w:cs="Arial"/>
              <w:sz w:val="24"/>
              <w:szCs w:val="24"/>
            </w:rPr>
            <w:t xml:space="preserve"> The following figures show Mariott’s data over the period of two years, such as 2020 and 2021.</w:t>
          </w:r>
        </w:p>
        <w:p w14:paraId="7FACC1D3" w14:textId="550642FD" w:rsidR="00813F5D" w:rsidRDefault="00813F5D" w:rsidP="009160E2">
          <w:pPr>
            <w:spacing w:line="360" w:lineRule="auto"/>
            <w:jc w:val="both"/>
            <w:rPr>
              <w:rFonts w:ascii="Arial" w:hAnsi="Arial" w:cs="Arial"/>
              <w:sz w:val="24"/>
              <w:szCs w:val="24"/>
            </w:rPr>
          </w:pPr>
        </w:p>
        <w:p w14:paraId="2E343894" w14:textId="77777777" w:rsidR="001A3B90" w:rsidRPr="009160E2" w:rsidRDefault="001A3B90" w:rsidP="009160E2">
          <w:pPr>
            <w:spacing w:line="360" w:lineRule="auto"/>
            <w:jc w:val="both"/>
            <w:rPr>
              <w:rFonts w:ascii="Arial" w:hAnsi="Arial" w:cs="Arial"/>
              <w:sz w:val="24"/>
              <w:szCs w:val="24"/>
            </w:rPr>
          </w:pPr>
        </w:p>
        <w:tbl>
          <w:tblPr>
            <w:tblStyle w:val="TableGrid"/>
            <w:tblW w:w="0" w:type="auto"/>
            <w:tblLook w:val="04A0" w:firstRow="1" w:lastRow="0" w:firstColumn="1" w:lastColumn="0" w:noHBand="0" w:noVBand="1"/>
          </w:tblPr>
          <w:tblGrid>
            <w:gridCol w:w="4531"/>
            <w:gridCol w:w="2268"/>
            <w:gridCol w:w="2217"/>
          </w:tblGrid>
          <w:tr w:rsidR="00094A04" w:rsidRPr="00121DDB" w14:paraId="2044FB21" w14:textId="77777777" w:rsidTr="002605C2">
            <w:tc>
              <w:tcPr>
                <w:tcW w:w="4531" w:type="dxa"/>
              </w:tcPr>
              <w:p w14:paraId="6D96671E" w14:textId="074E7287" w:rsidR="00094A04" w:rsidRPr="001E4E31" w:rsidRDefault="006B5B68" w:rsidP="006B5B68">
                <w:pPr>
                  <w:jc w:val="center"/>
                  <w:rPr>
                    <w:rFonts w:ascii="Arial" w:hAnsi="Arial" w:cs="Arial"/>
                    <w:sz w:val="24"/>
                    <w:szCs w:val="24"/>
                  </w:rPr>
                </w:pPr>
                <w:r w:rsidRPr="001E4E31">
                  <w:rPr>
                    <w:rFonts w:ascii="Arial" w:hAnsi="Arial" w:cs="Arial"/>
                    <w:sz w:val="24"/>
                    <w:szCs w:val="24"/>
                  </w:rPr>
                  <w:lastRenderedPageBreak/>
                  <w:t>Ratio</w:t>
                </w:r>
              </w:p>
            </w:tc>
            <w:tc>
              <w:tcPr>
                <w:tcW w:w="2268" w:type="dxa"/>
              </w:tcPr>
              <w:p w14:paraId="3DFEE8C1" w14:textId="52800078" w:rsidR="00094A04" w:rsidRPr="001E4E31" w:rsidRDefault="006B5B68" w:rsidP="006B5B68">
                <w:pPr>
                  <w:jc w:val="center"/>
                  <w:rPr>
                    <w:rFonts w:ascii="Arial" w:hAnsi="Arial" w:cs="Arial"/>
                    <w:sz w:val="24"/>
                    <w:szCs w:val="24"/>
                  </w:rPr>
                </w:pPr>
                <w:r w:rsidRPr="001E4E31">
                  <w:rPr>
                    <w:rFonts w:ascii="Arial" w:hAnsi="Arial" w:cs="Arial"/>
                    <w:sz w:val="24"/>
                    <w:szCs w:val="24"/>
                  </w:rPr>
                  <w:t>2020</w:t>
                </w:r>
              </w:p>
            </w:tc>
            <w:tc>
              <w:tcPr>
                <w:tcW w:w="2217" w:type="dxa"/>
              </w:tcPr>
              <w:p w14:paraId="7733FB84" w14:textId="705D9FB9" w:rsidR="00094A04" w:rsidRPr="001E4E31" w:rsidRDefault="006B5B68" w:rsidP="006B5B68">
                <w:pPr>
                  <w:jc w:val="center"/>
                  <w:rPr>
                    <w:rFonts w:ascii="Arial" w:hAnsi="Arial" w:cs="Arial"/>
                    <w:sz w:val="24"/>
                    <w:szCs w:val="24"/>
                  </w:rPr>
                </w:pPr>
                <w:r w:rsidRPr="001E4E31">
                  <w:rPr>
                    <w:rFonts w:ascii="Arial" w:hAnsi="Arial" w:cs="Arial"/>
                    <w:sz w:val="24"/>
                    <w:szCs w:val="24"/>
                  </w:rPr>
                  <w:t>2021</w:t>
                </w:r>
              </w:p>
            </w:tc>
          </w:tr>
          <w:tr w:rsidR="00094A04" w:rsidRPr="00121DDB" w14:paraId="505FC4E9" w14:textId="77777777" w:rsidTr="002605C2">
            <w:tc>
              <w:tcPr>
                <w:tcW w:w="4531" w:type="dxa"/>
              </w:tcPr>
              <w:p w14:paraId="1162E45A" w14:textId="0C16AF4A" w:rsidR="00094A04" w:rsidRPr="001E4E31" w:rsidRDefault="006B5B68" w:rsidP="00284F1F">
                <w:pPr>
                  <w:rPr>
                    <w:rFonts w:ascii="Arial" w:hAnsi="Arial" w:cs="Arial"/>
                    <w:sz w:val="24"/>
                    <w:szCs w:val="24"/>
                  </w:rPr>
                </w:pPr>
                <w:r w:rsidRPr="001E4E31">
                  <w:rPr>
                    <w:rFonts w:ascii="Arial" w:hAnsi="Arial" w:cs="Arial"/>
                    <w:sz w:val="24"/>
                    <w:szCs w:val="24"/>
                  </w:rPr>
                  <w:t>Gross Margin</w:t>
                </w:r>
              </w:p>
            </w:tc>
            <w:tc>
              <w:tcPr>
                <w:tcW w:w="2268" w:type="dxa"/>
              </w:tcPr>
              <w:p w14:paraId="19DF0F7D" w14:textId="01F3519F" w:rsidR="00094A04" w:rsidRPr="001E4E31" w:rsidRDefault="00EF464C" w:rsidP="005453A3">
                <w:pPr>
                  <w:jc w:val="right"/>
                  <w:rPr>
                    <w:rFonts w:ascii="Arial" w:hAnsi="Arial" w:cs="Arial"/>
                    <w:sz w:val="24"/>
                    <w:szCs w:val="24"/>
                  </w:rPr>
                </w:pPr>
                <w:r w:rsidRPr="001E4E31">
                  <w:rPr>
                    <w:rFonts w:ascii="Arial" w:hAnsi="Arial" w:cs="Arial"/>
                    <w:sz w:val="24"/>
                    <w:szCs w:val="24"/>
                  </w:rPr>
                  <w:t>13.80</w:t>
                </w:r>
                <w:r w:rsidR="00F548AF" w:rsidRPr="001E4E31">
                  <w:rPr>
                    <w:rFonts w:ascii="Arial" w:hAnsi="Arial" w:cs="Arial"/>
                    <w:sz w:val="24"/>
                    <w:szCs w:val="24"/>
                  </w:rPr>
                  <w:t>%</w:t>
                </w:r>
              </w:p>
            </w:tc>
            <w:tc>
              <w:tcPr>
                <w:tcW w:w="2217" w:type="dxa"/>
              </w:tcPr>
              <w:p w14:paraId="1D61EA21" w14:textId="75211362" w:rsidR="00094A04" w:rsidRPr="001E4E31" w:rsidRDefault="00EF464C" w:rsidP="005453A3">
                <w:pPr>
                  <w:jc w:val="right"/>
                  <w:rPr>
                    <w:rFonts w:ascii="Arial" w:hAnsi="Arial" w:cs="Arial"/>
                    <w:sz w:val="24"/>
                    <w:szCs w:val="24"/>
                  </w:rPr>
                </w:pPr>
                <w:r w:rsidRPr="001E4E31">
                  <w:rPr>
                    <w:rFonts w:ascii="Arial" w:hAnsi="Arial" w:cs="Arial"/>
                    <w:sz w:val="24"/>
                    <w:szCs w:val="24"/>
                  </w:rPr>
                  <w:t>20.21</w:t>
                </w:r>
                <w:r w:rsidR="00F548AF" w:rsidRPr="001E4E31">
                  <w:rPr>
                    <w:rFonts w:ascii="Arial" w:hAnsi="Arial" w:cs="Arial"/>
                    <w:sz w:val="24"/>
                    <w:szCs w:val="24"/>
                  </w:rPr>
                  <w:t>%</w:t>
                </w:r>
              </w:p>
            </w:tc>
          </w:tr>
          <w:tr w:rsidR="00094A04" w:rsidRPr="00121DDB" w14:paraId="3A1787DE" w14:textId="77777777" w:rsidTr="002605C2">
            <w:tc>
              <w:tcPr>
                <w:tcW w:w="4531" w:type="dxa"/>
              </w:tcPr>
              <w:p w14:paraId="0511FF15" w14:textId="5157C9C7" w:rsidR="00094A04" w:rsidRPr="001E4E31" w:rsidRDefault="006B5B68" w:rsidP="00284F1F">
                <w:pPr>
                  <w:rPr>
                    <w:rFonts w:ascii="Arial" w:hAnsi="Arial" w:cs="Arial"/>
                    <w:sz w:val="24"/>
                    <w:szCs w:val="24"/>
                  </w:rPr>
                </w:pPr>
                <w:r w:rsidRPr="001E4E31">
                  <w:rPr>
                    <w:rFonts w:ascii="Arial" w:hAnsi="Arial" w:cs="Arial"/>
                    <w:sz w:val="24"/>
                    <w:szCs w:val="24"/>
                  </w:rPr>
                  <w:t>Net Profit Margin</w:t>
                </w:r>
              </w:p>
            </w:tc>
            <w:tc>
              <w:tcPr>
                <w:tcW w:w="2268" w:type="dxa"/>
              </w:tcPr>
              <w:p w14:paraId="1E737357" w14:textId="0030417D" w:rsidR="00094A04" w:rsidRPr="001E4E31" w:rsidRDefault="002A6FEF" w:rsidP="005453A3">
                <w:pPr>
                  <w:jc w:val="right"/>
                  <w:rPr>
                    <w:rFonts w:ascii="Arial" w:hAnsi="Arial" w:cs="Arial"/>
                    <w:sz w:val="24"/>
                    <w:szCs w:val="24"/>
                  </w:rPr>
                </w:pPr>
                <w:r w:rsidRPr="001E4E31">
                  <w:rPr>
                    <w:rFonts w:ascii="Arial" w:hAnsi="Arial" w:cs="Arial"/>
                    <w:sz w:val="24"/>
                    <w:szCs w:val="24"/>
                  </w:rPr>
                  <w:t>-2.5</w:t>
                </w:r>
                <w:r w:rsidR="00F548AF" w:rsidRPr="001E4E31">
                  <w:rPr>
                    <w:rFonts w:ascii="Arial" w:hAnsi="Arial" w:cs="Arial"/>
                    <w:sz w:val="24"/>
                    <w:szCs w:val="24"/>
                  </w:rPr>
                  <w:t>3%</w:t>
                </w:r>
              </w:p>
            </w:tc>
            <w:tc>
              <w:tcPr>
                <w:tcW w:w="2217" w:type="dxa"/>
              </w:tcPr>
              <w:p w14:paraId="4E1C989C" w14:textId="3724E197" w:rsidR="00094A04" w:rsidRPr="001E4E31" w:rsidRDefault="002A6FEF" w:rsidP="005453A3">
                <w:pPr>
                  <w:jc w:val="right"/>
                  <w:rPr>
                    <w:rFonts w:ascii="Arial" w:hAnsi="Arial" w:cs="Arial"/>
                    <w:sz w:val="24"/>
                    <w:szCs w:val="24"/>
                  </w:rPr>
                </w:pPr>
                <w:r w:rsidRPr="001E4E31">
                  <w:rPr>
                    <w:rFonts w:ascii="Arial" w:hAnsi="Arial" w:cs="Arial"/>
                    <w:sz w:val="24"/>
                    <w:szCs w:val="24"/>
                  </w:rPr>
                  <w:t>7.93</w:t>
                </w:r>
                <w:r w:rsidR="00F548AF" w:rsidRPr="001E4E31">
                  <w:rPr>
                    <w:rFonts w:ascii="Arial" w:hAnsi="Arial" w:cs="Arial"/>
                    <w:sz w:val="24"/>
                    <w:szCs w:val="24"/>
                  </w:rPr>
                  <w:t>%</w:t>
                </w:r>
              </w:p>
            </w:tc>
          </w:tr>
          <w:tr w:rsidR="00094A04" w:rsidRPr="007247E7" w14:paraId="377B44D0" w14:textId="77777777" w:rsidTr="002605C2">
            <w:tc>
              <w:tcPr>
                <w:tcW w:w="4531" w:type="dxa"/>
              </w:tcPr>
              <w:p w14:paraId="33C41868" w14:textId="56B2586B" w:rsidR="00094A04" w:rsidRPr="001E4E31" w:rsidRDefault="006B5B68" w:rsidP="00284F1F">
                <w:pPr>
                  <w:rPr>
                    <w:rFonts w:ascii="Arial" w:hAnsi="Arial" w:cs="Arial"/>
                    <w:sz w:val="24"/>
                    <w:szCs w:val="24"/>
                  </w:rPr>
                </w:pPr>
                <w:r w:rsidRPr="001E4E31">
                  <w:rPr>
                    <w:rFonts w:ascii="Arial" w:hAnsi="Arial" w:cs="Arial"/>
                    <w:sz w:val="24"/>
                    <w:szCs w:val="24"/>
                  </w:rPr>
                  <w:t>Working Capital</w:t>
                </w:r>
              </w:p>
            </w:tc>
            <w:tc>
              <w:tcPr>
                <w:tcW w:w="2268" w:type="dxa"/>
              </w:tcPr>
              <w:p w14:paraId="04E90F92" w14:textId="4AEFAD21" w:rsidR="00094A04" w:rsidRPr="001E4E31" w:rsidRDefault="007247E7" w:rsidP="005453A3">
                <w:pPr>
                  <w:jc w:val="right"/>
                  <w:rPr>
                    <w:rFonts w:ascii="Arial" w:hAnsi="Arial" w:cs="Arial"/>
                    <w:sz w:val="24"/>
                    <w:szCs w:val="24"/>
                  </w:rPr>
                </w:pPr>
                <w:r w:rsidRPr="001E4E31">
                  <w:rPr>
                    <w:rFonts w:ascii="Arial" w:hAnsi="Arial" w:cs="Arial"/>
                    <w:sz w:val="24"/>
                    <w:szCs w:val="24"/>
                  </w:rPr>
                  <w:t>4.29</w:t>
                </w:r>
                <w:r w:rsidR="00F548AF" w:rsidRPr="001E4E31">
                  <w:rPr>
                    <w:rFonts w:ascii="Arial" w:hAnsi="Arial" w:cs="Arial"/>
                    <w:sz w:val="24"/>
                    <w:szCs w:val="24"/>
                  </w:rPr>
                  <w:t>%</w:t>
                </w:r>
              </w:p>
            </w:tc>
            <w:tc>
              <w:tcPr>
                <w:tcW w:w="2217" w:type="dxa"/>
              </w:tcPr>
              <w:p w14:paraId="7C0719F2" w14:textId="4F0828E1" w:rsidR="00094A04" w:rsidRPr="001E4E31" w:rsidRDefault="007247E7" w:rsidP="005453A3">
                <w:pPr>
                  <w:jc w:val="right"/>
                  <w:rPr>
                    <w:rFonts w:ascii="Arial" w:hAnsi="Arial" w:cs="Arial"/>
                    <w:sz w:val="24"/>
                    <w:szCs w:val="24"/>
                  </w:rPr>
                </w:pPr>
                <w:r w:rsidRPr="001E4E31">
                  <w:rPr>
                    <w:rFonts w:ascii="Arial" w:hAnsi="Arial" w:cs="Arial"/>
                    <w:sz w:val="24"/>
                    <w:szCs w:val="24"/>
                  </w:rPr>
                  <w:t>3.9</w:t>
                </w:r>
                <w:r w:rsidR="00F548AF" w:rsidRPr="001E4E31">
                  <w:rPr>
                    <w:rFonts w:ascii="Arial" w:hAnsi="Arial" w:cs="Arial"/>
                    <w:sz w:val="24"/>
                    <w:szCs w:val="24"/>
                  </w:rPr>
                  <w:t>%</w:t>
                </w:r>
              </w:p>
            </w:tc>
          </w:tr>
          <w:tr w:rsidR="00094A04" w:rsidRPr="00121DDB" w14:paraId="0B5F2532" w14:textId="77777777" w:rsidTr="002605C2">
            <w:tc>
              <w:tcPr>
                <w:tcW w:w="4531" w:type="dxa"/>
              </w:tcPr>
              <w:p w14:paraId="0F0BA89F" w14:textId="34078BAD" w:rsidR="00094A04" w:rsidRPr="001E4E31" w:rsidRDefault="006B5B68" w:rsidP="00284F1F">
                <w:pPr>
                  <w:rPr>
                    <w:rFonts w:ascii="Arial" w:hAnsi="Arial" w:cs="Arial"/>
                    <w:sz w:val="24"/>
                    <w:szCs w:val="24"/>
                  </w:rPr>
                </w:pPr>
                <w:r w:rsidRPr="001E4E31">
                  <w:rPr>
                    <w:rFonts w:ascii="Arial" w:hAnsi="Arial" w:cs="Arial"/>
                    <w:sz w:val="24"/>
                    <w:szCs w:val="24"/>
                  </w:rPr>
                  <w:t>Current Ratio</w:t>
                </w:r>
              </w:p>
            </w:tc>
            <w:tc>
              <w:tcPr>
                <w:tcW w:w="2268" w:type="dxa"/>
              </w:tcPr>
              <w:p w14:paraId="4D50930F" w14:textId="523EE332" w:rsidR="00094A04" w:rsidRPr="001E4E31" w:rsidRDefault="005453A3" w:rsidP="005453A3">
                <w:pPr>
                  <w:jc w:val="right"/>
                  <w:rPr>
                    <w:rFonts w:ascii="Arial" w:hAnsi="Arial" w:cs="Arial"/>
                    <w:sz w:val="24"/>
                    <w:szCs w:val="24"/>
                  </w:rPr>
                </w:pPr>
                <w:r w:rsidRPr="001E4E31">
                  <w:rPr>
                    <w:rFonts w:ascii="Arial" w:hAnsi="Arial" w:cs="Arial"/>
                    <w:sz w:val="24"/>
                    <w:szCs w:val="24"/>
                  </w:rPr>
                  <w:t>0.49</w:t>
                </w:r>
                <w:r w:rsidR="00F548AF" w:rsidRPr="001E4E31">
                  <w:rPr>
                    <w:rFonts w:ascii="Arial" w:hAnsi="Arial" w:cs="Arial"/>
                    <w:sz w:val="24"/>
                    <w:szCs w:val="24"/>
                  </w:rPr>
                  <w:t>%</w:t>
                </w:r>
              </w:p>
            </w:tc>
            <w:tc>
              <w:tcPr>
                <w:tcW w:w="2217" w:type="dxa"/>
              </w:tcPr>
              <w:p w14:paraId="2726823D" w14:textId="508740F2" w:rsidR="00094A04" w:rsidRPr="001E4E31" w:rsidRDefault="005453A3" w:rsidP="005453A3">
                <w:pPr>
                  <w:jc w:val="right"/>
                  <w:rPr>
                    <w:rFonts w:ascii="Arial" w:hAnsi="Arial" w:cs="Arial"/>
                    <w:sz w:val="24"/>
                    <w:szCs w:val="24"/>
                  </w:rPr>
                </w:pPr>
                <w:r w:rsidRPr="001E4E31">
                  <w:rPr>
                    <w:rFonts w:ascii="Arial" w:hAnsi="Arial" w:cs="Arial"/>
                    <w:sz w:val="24"/>
                    <w:szCs w:val="24"/>
                  </w:rPr>
                  <w:t>0.5</w:t>
                </w:r>
                <w:r w:rsidR="00F548AF" w:rsidRPr="001E4E31">
                  <w:rPr>
                    <w:rFonts w:ascii="Arial" w:hAnsi="Arial" w:cs="Arial"/>
                    <w:sz w:val="24"/>
                    <w:szCs w:val="24"/>
                  </w:rPr>
                  <w:t>7%</w:t>
                </w:r>
              </w:p>
            </w:tc>
          </w:tr>
          <w:tr w:rsidR="00121DDB" w:rsidRPr="00121DDB" w14:paraId="38E5DD15" w14:textId="77777777" w:rsidTr="002605C2">
            <w:tc>
              <w:tcPr>
                <w:tcW w:w="4531" w:type="dxa"/>
              </w:tcPr>
              <w:p w14:paraId="5C22AA22" w14:textId="79BBD041" w:rsidR="00121DDB" w:rsidRPr="001E4E31" w:rsidRDefault="002605C2" w:rsidP="00284F1F">
                <w:pPr>
                  <w:rPr>
                    <w:rFonts w:ascii="Arial" w:hAnsi="Arial" w:cs="Arial"/>
                    <w:sz w:val="24"/>
                    <w:szCs w:val="24"/>
                  </w:rPr>
                </w:pPr>
                <w:r w:rsidRPr="001E4E31">
                  <w:rPr>
                    <w:rFonts w:ascii="Arial" w:hAnsi="Arial" w:cs="Arial"/>
                    <w:sz w:val="24"/>
                    <w:szCs w:val="24"/>
                  </w:rPr>
                  <w:t>Return on capital employment (ROCE)</w:t>
                </w:r>
              </w:p>
            </w:tc>
            <w:tc>
              <w:tcPr>
                <w:tcW w:w="2268" w:type="dxa"/>
              </w:tcPr>
              <w:p w14:paraId="38E5B251" w14:textId="3B17299D" w:rsidR="00121DDB" w:rsidRPr="001E4E31" w:rsidRDefault="002605C2" w:rsidP="005453A3">
                <w:pPr>
                  <w:jc w:val="right"/>
                  <w:rPr>
                    <w:rFonts w:ascii="Arial" w:hAnsi="Arial" w:cs="Arial"/>
                    <w:sz w:val="24"/>
                    <w:szCs w:val="24"/>
                  </w:rPr>
                </w:pPr>
                <w:r w:rsidRPr="001E4E31">
                  <w:rPr>
                    <w:rFonts w:ascii="Arial" w:hAnsi="Arial" w:cs="Arial"/>
                    <w:sz w:val="24"/>
                    <w:szCs w:val="24"/>
                  </w:rPr>
                  <w:t>0.01%</w:t>
                </w:r>
              </w:p>
            </w:tc>
            <w:tc>
              <w:tcPr>
                <w:tcW w:w="2217" w:type="dxa"/>
              </w:tcPr>
              <w:p w14:paraId="5EF6B0B4" w14:textId="3A93A4EF" w:rsidR="00121DDB" w:rsidRPr="001E4E31" w:rsidRDefault="002605C2" w:rsidP="005453A3">
                <w:pPr>
                  <w:jc w:val="right"/>
                  <w:rPr>
                    <w:rFonts w:ascii="Arial" w:hAnsi="Arial" w:cs="Arial"/>
                    <w:sz w:val="24"/>
                    <w:szCs w:val="24"/>
                  </w:rPr>
                </w:pPr>
                <w:r w:rsidRPr="001E4E31">
                  <w:rPr>
                    <w:rFonts w:ascii="Arial" w:hAnsi="Arial" w:cs="Arial"/>
                    <w:sz w:val="24"/>
                    <w:szCs w:val="24"/>
                  </w:rPr>
                  <w:t>9.14%</w:t>
                </w:r>
              </w:p>
            </w:tc>
          </w:tr>
          <w:tr w:rsidR="00121DDB" w:rsidRPr="00121DDB" w14:paraId="0117AD2C" w14:textId="77777777" w:rsidTr="002605C2">
            <w:tc>
              <w:tcPr>
                <w:tcW w:w="4531" w:type="dxa"/>
              </w:tcPr>
              <w:p w14:paraId="655F337C" w14:textId="38CED18C" w:rsidR="00121DDB" w:rsidRPr="001E4E31" w:rsidRDefault="00121DDB" w:rsidP="00284F1F">
                <w:pPr>
                  <w:rPr>
                    <w:rFonts w:ascii="Arial" w:hAnsi="Arial" w:cs="Arial"/>
                    <w:sz w:val="24"/>
                    <w:szCs w:val="24"/>
                  </w:rPr>
                </w:pPr>
                <w:r w:rsidRPr="001E4E31">
                  <w:rPr>
                    <w:rFonts w:ascii="Arial" w:hAnsi="Arial" w:cs="Arial"/>
                    <w:sz w:val="24"/>
                    <w:szCs w:val="24"/>
                  </w:rPr>
                  <w:t>De</w:t>
                </w:r>
                <w:r w:rsidR="00CF7773" w:rsidRPr="001E4E31">
                  <w:rPr>
                    <w:rFonts w:ascii="Arial" w:hAnsi="Arial" w:cs="Arial"/>
                    <w:sz w:val="24"/>
                    <w:szCs w:val="24"/>
                  </w:rPr>
                  <w:t>b</w:t>
                </w:r>
                <w:r w:rsidRPr="001E4E31">
                  <w:rPr>
                    <w:rFonts w:ascii="Arial" w:hAnsi="Arial" w:cs="Arial"/>
                    <w:sz w:val="24"/>
                    <w:szCs w:val="24"/>
                  </w:rPr>
                  <w:t>t</w:t>
                </w:r>
                <w:r w:rsidR="00234318" w:rsidRPr="001E4E31">
                  <w:rPr>
                    <w:rFonts w:ascii="Arial" w:hAnsi="Arial" w:cs="Arial"/>
                    <w:sz w:val="24"/>
                    <w:szCs w:val="24"/>
                  </w:rPr>
                  <w:t>/</w:t>
                </w:r>
                <w:r w:rsidR="001910B4" w:rsidRPr="001E4E31">
                  <w:rPr>
                    <w:rFonts w:ascii="Arial" w:hAnsi="Arial" w:cs="Arial"/>
                    <w:sz w:val="24"/>
                    <w:szCs w:val="24"/>
                  </w:rPr>
                  <w:t>Equity</w:t>
                </w:r>
                <w:r w:rsidRPr="001E4E31">
                  <w:rPr>
                    <w:rFonts w:ascii="Arial" w:hAnsi="Arial" w:cs="Arial"/>
                    <w:sz w:val="24"/>
                    <w:szCs w:val="24"/>
                  </w:rPr>
                  <w:t xml:space="preserve"> Ratio</w:t>
                </w:r>
              </w:p>
            </w:tc>
            <w:tc>
              <w:tcPr>
                <w:tcW w:w="2268" w:type="dxa"/>
              </w:tcPr>
              <w:p w14:paraId="1047197B" w14:textId="657D00FB" w:rsidR="00121DDB" w:rsidRPr="001E4E31" w:rsidRDefault="00121DDB" w:rsidP="005453A3">
                <w:pPr>
                  <w:jc w:val="right"/>
                  <w:rPr>
                    <w:rFonts w:ascii="Arial" w:hAnsi="Arial" w:cs="Arial"/>
                    <w:sz w:val="24"/>
                    <w:szCs w:val="24"/>
                  </w:rPr>
                </w:pPr>
                <w:r w:rsidRPr="001E4E31">
                  <w:rPr>
                    <w:rFonts w:ascii="Arial" w:hAnsi="Arial" w:cs="Arial"/>
                    <w:sz w:val="24"/>
                    <w:szCs w:val="24"/>
                  </w:rPr>
                  <w:t>24.13%</w:t>
                </w:r>
              </w:p>
            </w:tc>
            <w:tc>
              <w:tcPr>
                <w:tcW w:w="2217" w:type="dxa"/>
              </w:tcPr>
              <w:p w14:paraId="12A939B6" w14:textId="3628D70E" w:rsidR="00121DDB" w:rsidRPr="001E4E31" w:rsidRDefault="00121DDB" w:rsidP="005453A3">
                <w:pPr>
                  <w:jc w:val="right"/>
                  <w:rPr>
                    <w:rFonts w:ascii="Arial" w:hAnsi="Arial" w:cs="Arial"/>
                    <w:sz w:val="24"/>
                    <w:szCs w:val="24"/>
                  </w:rPr>
                </w:pPr>
                <w:r w:rsidRPr="001E4E31">
                  <w:rPr>
                    <w:rFonts w:ascii="Arial" w:hAnsi="Arial" w:cs="Arial"/>
                    <w:sz w:val="24"/>
                    <w:szCs w:val="24"/>
                  </w:rPr>
                  <w:t>7.17%</w:t>
                </w:r>
              </w:p>
            </w:tc>
          </w:tr>
          <w:tr w:rsidR="002605C2" w:rsidRPr="00121DDB" w14:paraId="6EB212F5" w14:textId="77777777" w:rsidTr="002605C2">
            <w:tc>
              <w:tcPr>
                <w:tcW w:w="4531" w:type="dxa"/>
              </w:tcPr>
              <w:p w14:paraId="045B315A" w14:textId="5CD7F854" w:rsidR="002605C2" w:rsidRPr="001E4E31" w:rsidRDefault="002605C2" w:rsidP="00284F1F">
                <w:pPr>
                  <w:rPr>
                    <w:rFonts w:ascii="Arial" w:hAnsi="Arial" w:cs="Arial"/>
                    <w:sz w:val="24"/>
                    <w:szCs w:val="24"/>
                  </w:rPr>
                </w:pPr>
                <w:r w:rsidRPr="001E4E31">
                  <w:rPr>
                    <w:rFonts w:ascii="Arial" w:hAnsi="Arial" w:cs="Arial"/>
                    <w:sz w:val="24"/>
                    <w:szCs w:val="24"/>
                  </w:rPr>
                  <w:t>Total asset Turnover</w:t>
                </w:r>
              </w:p>
            </w:tc>
            <w:tc>
              <w:tcPr>
                <w:tcW w:w="2268" w:type="dxa"/>
              </w:tcPr>
              <w:p w14:paraId="3980FE4C" w14:textId="79ECD61D" w:rsidR="002605C2" w:rsidRPr="001E4E31" w:rsidRDefault="002605C2" w:rsidP="005453A3">
                <w:pPr>
                  <w:jc w:val="right"/>
                  <w:rPr>
                    <w:rFonts w:ascii="Arial" w:hAnsi="Arial" w:cs="Arial"/>
                    <w:sz w:val="24"/>
                    <w:szCs w:val="24"/>
                  </w:rPr>
                </w:pPr>
                <w:r w:rsidRPr="001E4E31">
                  <w:rPr>
                    <w:rFonts w:ascii="Arial" w:hAnsi="Arial" w:cs="Arial"/>
                    <w:sz w:val="24"/>
                    <w:szCs w:val="24"/>
                  </w:rPr>
                  <w:t>0.43%</w:t>
                </w:r>
              </w:p>
            </w:tc>
            <w:tc>
              <w:tcPr>
                <w:tcW w:w="2217" w:type="dxa"/>
              </w:tcPr>
              <w:p w14:paraId="24A87C37" w14:textId="6E9BB479" w:rsidR="002605C2" w:rsidRPr="001E4E31" w:rsidRDefault="002605C2" w:rsidP="005453A3">
                <w:pPr>
                  <w:jc w:val="right"/>
                  <w:rPr>
                    <w:rFonts w:ascii="Arial" w:hAnsi="Arial" w:cs="Arial"/>
                    <w:sz w:val="24"/>
                    <w:szCs w:val="24"/>
                  </w:rPr>
                </w:pPr>
                <w:r w:rsidRPr="001E4E31">
                  <w:rPr>
                    <w:rFonts w:ascii="Arial" w:hAnsi="Arial" w:cs="Arial"/>
                    <w:sz w:val="24"/>
                    <w:szCs w:val="24"/>
                  </w:rPr>
                  <w:t>0.54%</w:t>
                </w:r>
              </w:p>
            </w:tc>
          </w:tr>
          <w:tr w:rsidR="002605C2" w:rsidRPr="00121DDB" w14:paraId="5A562B02" w14:textId="77777777" w:rsidTr="002605C2">
            <w:tc>
              <w:tcPr>
                <w:tcW w:w="4531" w:type="dxa"/>
              </w:tcPr>
              <w:p w14:paraId="408E3E0F" w14:textId="2821F7C9" w:rsidR="002605C2" w:rsidRPr="001E4E31" w:rsidRDefault="002605C2" w:rsidP="00284F1F">
                <w:pPr>
                  <w:rPr>
                    <w:rFonts w:ascii="Arial" w:hAnsi="Arial" w:cs="Arial"/>
                    <w:sz w:val="24"/>
                    <w:szCs w:val="24"/>
                  </w:rPr>
                </w:pPr>
                <w:r w:rsidRPr="001E4E31">
                  <w:rPr>
                    <w:rFonts w:ascii="Arial" w:hAnsi="Arial" w:cs="Arial"/>
                    <w:sz w:val="24"/>
                    <w:szCs w:val="24"/>
                  </w:rPr>
                  <w:t>Return on Equity (ROE)</w:t>
                </w:r>
              </w:p>
            </w:tc>
            <w:tc>
              <w:tcPr>
                <w:tcW w:w="2268" w:type="dxa"/>
              </w:tcPr>
              <w:p w14:paraId="2BEFA56F" w14:textId="3635F7E9" w:rsidR="002605C2" w:rsidRPr="001E4E31" w:rsidRDefault="002605C2" w:rsidP="005453A3">
                <w:pPr>
                  <w:jc w:val="right"/>
                  <w:rPr>
                    <w:rFonts w:ascii="Arial" w:hAnsi="Arial" w:cs="Arial"/>
                    <w:sz w:val="24"/>
                    <w:szCs w:val="24"/>
                  </w:rPr>
                </w:pPr>
                <w:r w:rsidRPr="001E4E31">
                  <w:rPr>
                    <w:rFonts w:ascii="Arial" w:hAnsi="Arial" w:cs="Arial"/>
                    <w:sz w:val="24"/>
                    <w:szCs w:val="24"/>
                  </w:rPr>
                  <w:t>-62.09%</w:t>
                </w:r>
              </w:p>
            </w:tc>
            <w:tc>
              <w:tcPr>
                <w:tcW w:w="2217" w:type="dxa"/>
              </w:tcPr>
              <w:p w14:paraId="23AA60F4" w14:textId="41406142" w:rsidR="002605C2" w:rsidRPr="001E4E31" w:rsidRDefault="002605C2" w:rsidP="005453A3">
                <w:pPr>
                  <w:jc w:val="right"/>
                  <w:rPr>
                    <w:rFonts w:ascii="Arial" w:hAnsi="Arial" w:cs="Arial"/>
                    <w:sz w:val="24"/>
                    <w:szCs w:val="24"/>
                  </w:rPr>
                </w:pPr>
                <w:r w:rsidRPr="001E4E31">
                  <w:rPr>
                    <w:rFonts w:ascii="Arial" w:hAnsi="Arial" w:cs="Arial"/>
                    <w:sz w:val="24"/>
                    <w:szCs w:val="24"/>
                  </w:rPr>
                  <w:t>77.72%</w:t>
                </w:r>
              </w:p>
            </w:tc>
          </w:tr>
          <w:tr w:rsidR="002605C2" w:rsidRPr="00121DDB" w14:paraId="4DBD4323" w14:textId="77777777" w:rsidTr="002605C2">
            <w:tc>
              <w:tcPr>
                <w:tcW w:w="4531" w:type="dxa"/>
              </w:tcPr>
              <w:p w14:paraId="36BCD8AC" w14:textId="71FF941E" w:rsidR="002605C2" w:rsidRPr="001E4E31" w:rsidRDefault="002605C2" w:rsidP="00284F1F">
                <w:pPr>
                  <w:rPr>
                    <w:rFonts w:ascii="Arial" w:hAnsi="Arial" w:cs="Arial"/>
                    <w:sz w:val="24"/>
                    <w:szCs w:val="24"/>
                  </w:rPr>
                </w:pPr>
                <w:r w:rsidRPr="001E4E31">
                  <w:rPr>
                    <w:rFonts w:ascii="Arial" w:hAnsi="Arial" w:cs="Arial"/>
                    <w:sz w:val="24"/>
                    <w:szCs w:val="24"/>
                  </w:rPr>
                  <w:t>Return on Assets (ROA)</w:t>
                </w:r>
              </w:p>
            </w:tc>
            <w:tc>
              <w:tcPr>
                <w:tcW w:w="2268" w:type="dxa"/>
              </w:tcPr>
              <w:p w14:paraId="05D11C60" w14:textId="236979E8" w:rsidR="002605C2" w:rsidRPr="001E4E31" w:rsidRDefault="002605C2" w:rsidP="005453A3">
                <w:pPr>
                  <w:jc w:val="right"/>
                  <w:rPr>
                    <w:rFonts w:ascii="Arial" w:hAnsi="Arial" w:cs="Arial"/>
                    <w:sz w:val="24"/>
                    <w:szCs w:val="24"/>
                  </w:rPr>
                </w:pPr>
                <w:r w:rsidRPr="001E4E31">
                  <w:rPr>
                    <w:rFonts w:ascii="Arial" w:hAnsi="Arial" w:cs="Arial"/>
                    <w:sz w:val="24"/>
                    <w:szCs w:val="24"/>
                  </w:rPr>
                  <w:t>-1.08%</w:t>
                </w:r>
              </w:p>
            </w:tc>
            <w:tc>
              <w:tcPr>
                <w:tcW w:w="2217" w:type="dxa"/>
              </w:tcPr>
              <w:p w14:paraId="423A32D7" w14:textId="7CFA4055" w:rsidR="002605C2" w:rsidRPr="001E4E31" w:rsidRDefault="002605C2" w:rsidP="005453A3">
                <w:pPr>
                  <w:jc w:val="right"/>
                  <w:rPr>
                    <w:rFonts w:ascii="Arial" w:hAnsi="Arial" w:cs="Arial"/>
                    <w:sz w:val="24"/>
                    <w:szCs w:val="24"/>
                  </w:rPr>
                </w:pPr>
                <w:r w:rsidRPr="001E4E31">
                  <w:rPr>
                    <w:rFonts w:ascii="Arial" w:hAnsi="Arial" w:cs="Arial"/>
                    <w:sz w:val="24"/>
                    <w:szCs w:val="24"/>
                  </w:rPr>
                  <w:t>4.30%</w:t>
                </w:r>
              </w:p>
            </w:tc>
          </w:tr>
          <w:tr w:rsidR="002605C2" w:rsidRPr="00121DDB" w14:paraId="5E844090" w14:textId="77777777" w:rsidTr="002605C2">
            <w:tc>
              <w:tcPr>
                <w:tcW w:w="4531" w:type="dxa"/>
              </w:tcPr>
              <w:p w14:paraId="70C5782B" w14:textId="64AFFD58" w:rsidR="002605C2" w:rsidRPr="001E4E31" w:rsidRDefault="002605C2" w:rsidP="00284F1F">
                <w:pPr>
                  <w:rPr>
                    <w:rFonts w:ascii="Arial" w:hAnsi="Arial" w:cs="Arial"/>
                    <w:sz w:val="24"/>
                    <w:szCs w:val="24"/>
                  </w:rPr>
                </w:pPr>
                <w:r w:rsidRPr="001E4E31">
                  <w:rPr>
                    <w:rFonts w:ascii="Arial" w:hAnsi="Arial" w:cs="Arial"/>
                    <w:sz w:val="24"/>
                    <w:szCs w:val="24"/>
                  </w:rPr>
                  <w:t>Operating Cash Flow</w:t>
                </w:r>
              </w:p>
            </w:tc>
            <w:tc>
              <w:tcPr>
                <w:tcW w:w="2268" w:type="dxa"/>
              </w:tcPr>
              <w:p w14:paraId="629FFD62" w14:textId="1143D17C" w:rsidR="002605C2" w:rsidRPr="001E4E31" w:rsidRDefault="002605C2" w:rsidP="005453A3">
                <w:pPr>
                  <w:jc w:val="right"/>
                  <w:rPr>
                    <w:rFonts w:ascii="Arial" w:hAnsi="Arial" w:cs="Arial"/>
                    <w:sz w:val="24"/>
                    <w:szCs w:val="24"/>
                  </w:rPr>
                </w:pPr>
                <w:r w:rsidRPr="001E4E31">
                  <w:rPr>
                    <w:rFonts w:ascii="Arial" w:hAnsi="Arial" w:cs="Arial"/>
                    <w:sz w:val="24"/>
                    <w:szCs w:val="24"/>
                  </w:rPr>
                  <w:t>0.01%</w:t>
                </w:r>
              </w:p>
            </w:tc>
            <w:tc>
              <w:tcPr>
                <w:tcW w:w="2217" w:type="dxa"/>
              </w:tcPr>
              <w:p w14:paraId="2EC88ADE" w14:textId="29E7F9C6" w:rsidR="002605C2" w:rsidRPr="001E4E31" w:rsidRDefault="002605C2" w:rsidP="005453A3">
                <w:pPr>
                  <w:jc w:val="right"/>
                  <w:rPr>
                    <w:rFonts w:ascii="Arial" w:hAnsi="Arial" w:cs="Arial"/>
                    <w:sz w:val="24"/>
                    <w:szCs w:val="24"/>
                  </w:rPr>
                </w:pPr>
                <w:r w:rsidRPr="001E4E31">
                  <w:rPr>
                    <w:rFonts w:ascii="Arial" w:hAnsi="Arial" w:cs="Arial"/>
                    <w:sz w:val="24"/>
                    <w:szCs w:val="24"/>
                  </w:rPr>
                  <w:t>-1.46%</w:t>
                </w:r>
              </w:p>
            </w:tc>
          </w:tr>
          <w:tr w:rsidR="00CF7773" w:rsidRPr="00121DDB" w14:paraId="489BDC89" w14:textId="77777777" w:rsidTr="002605C2">
            <w:tc>
              <w:tcPr>
                <w:tcW w:w="4531" w:type="dxa"/>
              </w:tcPr>
              <w:p w14:paraId="5864B5EB" w14:textId="553E2CFE" w:rsidR="00CF7773" w:rsidRPr="001E4E31" w:rsidRDefault="00CF7773" w:rsidP="00284F1F">
                <w:pPr>
                  <w:rPr>
                    <w:rFonts w:ascii="Arial" w:hAnsi="Arial" w:cs="Arial"/>
                    <w:sz w:val="24"/>
                    <w:szCs w:val="24"/>
                  </w:rPr>
                </w:pPr>
                <w:r w:rsidRPr="001E4E31">
                  <w:rPr>
                    <w:rFonts w:ascii="Arial" w:hAnsi="Arial" w:cs="Arial"/>
                    <w:sz w:val="24"/>
                    <w:szCs w:val="24"/>
                  </w:rPr>
                  <w:t>Operating Margin</w:t>
                </w:r>
              </w:p>
            </w:tc>
            <w:tc>
              <w:tcPr>
                <w:tcW w:w="2268" w:type="dxa"/>
              </w:tcPr>
              <w:p w14:paraId="2AA3CA7E" w14:textId="195E3892" w:rsidR="00CF7773" w:rsidRPr="001E4E31" w:rsidRDefault="00CF7773" w:rsidP="005453A3">
                <w:pPr>
                  <w:jc w:val="right"/>
                  <w:rPr>
                    <w:rFonts w:ascii="Arial" w:hAnsi="Arial" w:cs="Arial"/>
                    <w:sz w:val="24"/>
                    <w:szCs w:val="24"/>
                  </w:rPr>
                </w:pPr>
                <w:r w:rsidRPr="001E4E31">
                  <w:rPr>
                    <w:rFonts w:ascii="Arial" w:hAnsi="Arial" w:cs="Arial"/>
                    <w:sz w:val="24"/>
                    <w:szCs w:val="24"/>
                  </w:rPr>
                  <w:t>0.79%</w:t>
                </w:r>
              </w:p>
            </w:tc>
            <w:tc>
              <w:tcPr>
                <w:tcW w:w="2217" w:type="dxa"/>
              </w:tcPr>
              <w:p w14:paraId="689C209C" w14:textId="28EF5571" w:rsidR="00CF7773" w:rsidRPr="001E4E31" w:rsidRDefault="00CF7773" w:rsidP="005453A3">
                <w:pPr>
                  <w:jc w:val="right"/>
                  <w:rPr>
                    <w:rFonts w:ascii="Arial" w:hAnsi="Arial" w:cs="Arial"/>
                    <w:sz w:val="24"/>
                    <w:szCs w:val="24"/>
                  </w:rPr>
                </w:pPr>
                <w:r w:rsidRPr="001E4E31">
                  <w:rPr>
                    <w:rFonts w:ascii="Arial" w:hAnsi="Arial" w:cs="Arial"/>
                    <w:sz w:val="24"/>
                    <w:szCs w:val="24"/>
                  </w:rPr>
                  <w:t>12.63%</w:t>
                </w:r>
              </w:p>
            </w:tc>
          </w:tr>
          <w:tr w:rsidR="00354AF0" w:rsidRPr="00121DDB" w14:paraId="20FA0FB6" w14:textId="77777777" w:rsidTr="002605C2">
            <w:tc>
              <w:tcPr>
                <w:tcW w:w="4531" w:type="dxa"/>
              </w:tcPr>
              <w:p w14:paraId="433B6F7E" w14:textId="61282FAF" w:rsidR="00354AF0" w:rsidRPr="001E4E31" w:rsidRDefault="00354AF0" w:rsidP="00284F1F">
                <w:pPr>
                  <w:rPr>
                    <w:rFonts w:ascii="Arial" w:hAnsi="Arial" w:cs="Arial"/>
                    <w:sz w:val="24"/>
                    <w:szCs w:val="24"/>
                  </w:rPr>
                </w:pPr>
                <w:r w:rsidRPr="001E4E31">
                  <w:rPr>
                    <w:rFonts w:ascii="Arial" w:hAnsi="Arial" w:cs="Arial"/>
                    <w:sz w:val="24"/>
                    <w:szCs w:val="24"/>
                  </w:rPr>
                  <w:t>Return on Investment (ROI)</w:t>
                </w:r>
              </w:p>
            </w:tc>
            <w:tc>
              <w:tcPr>
                <w:tcW w:w="2268" w:type="dxa"/>
              </w:tcPr>
              <w:p w14:paraId="5A3113B5" w14:textId="68D3799E" w:rsidR="00354AF0" w:rsidRPr="001E4E31" w:rsidRDefault="00354AF0" w:rsidP="005453A3">
                <w:pPr>
                  <w:jc w:val="right"/>
                  <w:rPr>
                    <w:rFonts w:ascii="Arial" w:hAnsi="Arial" w:cs="Arial"/>
                    <w:sz w:val="24"/>
                    <w:szCs w:val="24"/>
                  </w:rPr>
                </w:pPr>
                <w:r w:rsidRPr="001E4E31">
                  <w:rPr>
                    <w:rFonts w:ascii="Arial" w:hAnsi="Arial" w:cs="Arial"/>
                    <w:sz w:val="24"/>
                    <w:szCs w:val="24"/>
                  </w:rPr>
                  <w:t>-2.77%</w:t>
                </w:r>
              </w:p>
            </w:tc>
            <w:tc>
              <w:tcPr>
                <w:tcW w:w="2217" w:type="dxa"/>
              </w:tcPr>
              <w:p w14:paraId="27CDE5EA" w14:textId="1A9A2DA5" w:rsidR="00354AF0" w:rsidRPr="001E4E31" w:rsidRDefault="00354AF0" w:rsidP="005453A3">
                <w:pPr>
                  <w:jc w:val="right"/>
                  <w:rPr>
                    <w:rFonts w:ascii="Arial" w:hAnsi="Arial" w:cs="Arial"/>
                    <w:sz w:val="24"/>
                    <w:szCs w:val="24"/>
                  </w:rPr>
                </w:pPr>
                <w:r w:rsidRPr="001E4E31">
                  <w:rPr>
                    <w:rFonts w:ascii="Arial" w:hAnsi="Arial" w:cs="Arial"/>
                    <w:sz w:val="24"/>
                    <w:szCs w:val="24"/>
                  </w:rPr>
                  <w:t>10.23%</w:t>
                </w:r>
              </w:p>
            </w:tc>
          </w:tr>
        </w:tbl>
        <w:p w14:paraId="29A60243" w14:textId="544FC796" w:rsidR="00A05EBD" w:rsidRDefault="00A05EBD" w:rsidP="00284F1F">
          <w:pPr>
            <w:rPr>
              <w:rFonts w:ascii="Arial" w:hAnsi="Arial" w:cs="Arial"/>
              <w:sz w:val="20"/>
              <w:szCs w:val="20"/>
            </w:rPr>
          </w:pPr>
        </w:p>
        <w:p w14:paraId="11FDF83E" w14:textId="195EB3BE" w:rsidR="00A05EBD" w:rsidRPr="00A05EBD" w:rsidRDefault="0080566D" w:rsidP="00284F1F">
          <w:pPr>
            <w:rPr>
              <w:rFonts w:ascii="Arial" w:hAnsi="Arial" w:cs="Arial"/>
              <w:sz w:val="24"/>
              <w:szCs w:val="24"/>
            </w:rPr>
          </w:pPr>
          <w:r w:rsidRPr="00A05EBD">
            <w:rPr>
              <w:rFonts w:ascii="Arial" w:hAnsi="Arial" w:cs="Arial"/>
              <w:sz w:val="24"/>
              <w:szCs w:val="24"/>
            </w:rPr>
            <w:t>Fig.</w:t>
          </w:r>
          <w:r w:rsidR="00A05EBD" w:rsidRPr="00A05EBD">
            <w:rPr>
              <w:rFonts w:ascii="Arial" w:hAnsi="Arial" w:cs="Arial"/>
              <w:sz w:val="24"/>
              <w:szCs w:val="24"/>
            </w:rPr>
            <w:t>1</w:t>
          </w:r>
        </w:p>
        <w:p w14:paraId="0912A262" w14:textId="10B4912F" w:rsidR="00A05EBD" w:rsidRDefault="004C3734" w:rsidP="00232DB7">
          <w:pPr>
            <w:rPr>
              <w:rFonts w:ascii="Arial" w:hAnsi="Arial" w:cs="Arial"/>
              <w:b/>
              <w:bCs/>
              <w:sz w:val="24"/>
              <w:szCs w:val="24"/>
            </w:rPr>
          </w:pPr>
          <w:r>
            <w:rPr>
              <w:noProof/>
            </w:rPr>
            <w:drawing>
              <wp:anchor distT="0" distB="0" distL="114300" distR="114300" simplePos="0" relativeHeight="251660288" behindDoc="1" locked="0" layoutInCell="1" allowOverlap="1" wp14:anchorId="4907128D" wp14:editId="467D3E9B">
                <wp:simplePos x="0" y="0"/>
                <wp:positionH relativeFrom="margin">
                  <wp:posOffset>-1270</wp:posOffset>
                </wp:positionH>
                <wp:positionV relativeFrom="topMargin">
                  <wp:posOffset>4121150</wp:posOffset>
                </wp:positionV>
                <wp:extent cx="5721350" cy="3149600"/>
                <wp:effectExtent l="0" t="0" r="12700" b="12700"/>
                <wp:wrapTight wrapText="bothSides">
                  <wp:wrapPolygon edited="0">
                    <wp:start x="0" y="0"/>
                    <wp:lineTo x="0" y="21556"/>
                    <wp:lineTo x="21576" y="21556"/>
                    <wp:lineTo x="21576" y="0"/>
                    <wp:lineTo x="0" y="0"/>
                  </wp:wrapPolygon>
                </wp:wrapTight>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margin">
                  <wp14:pctWidth>0</wp14:pctWidth>
                </wp14:sizeRelH>
              </wp:anchor>
            </w:drawing>
          </w:r>
        </w:p>
        <w:p w14:paraId="6C850BDE" w14:textId="1AB44480" w:rsidR="00A05EBD" w:rsidRDefault="00A05EBD" w:rsidP="00232DB7">
          <w:pPr>
            <w:rPr>
              <w:rFonts w:ascii="Arial" w:hAnsi="Arial" w:cs="Arial"/>
              <w:b/>
              <w:bCs/>
              <w:sz w:val="24"/>
              <w:szCs w:val="24"/>
            </w:rPr>
          </w:pPr>
        </w:p>
        <w:p w14:paraId="79D16926" w14:textId="2B4F9B11" w:rsidR="00A05EBD" w:rsidRPr="00A05EBD" w:rsidRDefault="00A05EBD" w:rsidP="00232DB7">
          <w:pPr>
            <w:rPr>
              <w:rFonts w:ascii="Arial" w:hAnsi="Arial" w:cs="Arial"/>
              <w:sz w:val="24"/>
              <w:szCs w:val="24"/>
            </w:rPr>
          </w:pPr>
          <w:r w:rsidRPr="00A05EBD">
            <w:rPr>
              <w:rFonts w:ascii="Arial" w:hAnsi="Arial" w:cs="Arial"/>
              <w:sz w:val="24"/>
              <w:szCs w:val="24"/>
            </w:rPr>
            <w:t>Fig.2</w:t>
          </w:r>
        </w:p>
        <w:p w14:paraId="12898C31" w14:textId="23067654" w:rsidR="00A05EBD" w:rsidRDefault="00A05EBD" w:rsidP="00232DB7">
          <w:pPr>
            <w:rPr>
              <w:rFonts w:ascii="Arial" w:hAnsi="Arial" w:cs="Arial"/>
              <w:b/>
              <w:bCs/>
              <w:sz w:val="24"/>
              <w:szCs w:val="24"/>
            </w:rPr>
          </w:pPr>
        </w:p>
        <w:p w14:paraId="548F533E" w14:textId="29A6BD7A" w:rsidR="00A05EBD" w:rsidRDefault="00A05EBD" w:rsidP="00232DB7">
          <w:pPr>
            <w:rPr>
              <w:rFonts w:ascii="Arial" w:hAnsi="Arial" w:cs="Arial"/>
              <w:b/>
              <w:bCs/>
              <w:sz w:val="24"/>
              <w:szCs w:val="24"/>
            </w:rPr>
          </w:pPr>
        </w:p>
        <w:p w14:paraId="54BC58EF" w14:textId="6FE21817" w:rsidR="00232DB7" w:rsidRPr="0080566D" w:rsidRDefault="0080566D" w:rsidP="00232DB7">
          <w:pPr>
            <w:rPr>
              <w:rFonts w:ascii="Arial" w:hAnsi="Arial" w:cs="Arial"/>
              <w:b/>
              <w:bCs/>
              <w:sz w:val="24"/>
              <w:szCs w:val="24"/>
            </w:rPr>
          </w:pPr>
          <w:r w:rsidRPr="0080566D">
            <w:rPr>
              <w:rFonts w:ascii="Arial" w:hAnsi="Arial" w:cs="Arial"/>
              <w:b/>
              <w:bCs/>
              <w:sz w:val="24"/>
              <w:szCs w:val="24"/>
            </w:rPr>
            <w:t>Profitability</w:t>
          </w:r>
        </w:p>
        <w:p w14:paraId="6B93EAC7" w14:textId="17822B6C" w:rsidR="002820D4" w:rsidRPr="00131882" w:rsidRDefault="002B2FDB" w:rsidP="000A043C">
          <w:pPr>
            <w:shd w:val="clear" w:color="auto" w:fill="FFFFFF"/>
            <w:spacing w:before="100" w:beforeAutospacing="1" w:after="100" w:afterAutospacing="1" w:line="360" w:lineRule="auto"/>
            <w:jc w:val="both"/>
            <w:rPr>
              <w:rFonts w:ascii="Arial" w:eastAsia="Times New Roman" w:hAnsi="Arial" w:cs="Arial"/>
              <w:sz w:val="24"/>
              <w:szCs w:val="24"/>
              <w:lang w:eastAsia="en-GB"/>
            </w:rPr>
          </w:pPr>
          <w:r w:rsidRPr="002B2FDB">
            <w:rPr>
              <w:rFonts w:ascii="Arial" w:hAnsi="Arial" w:cs="Arial"/>
              <w:sz w:val="24"/>
              <w:szCs w:val="24"/>
            </w:rPr>
            <w:t>The profitability of a business is defined by how much income it makes in comparison to how much it consumes. More efficient firms produce more revenue relative to their costs than inefficient businesses, which must spend further to generate the same amount of profit</w:t>
          </w:r>
          <w:r w:rsidRPr="002B2FDB">
            <w:rPr>
              <w:rFonts w:ascii="Arial" w:hAnsi="Arial" w:cs="Arial"/>
              <w:sz w:val="24"/>
              <w:szCs w:val="24"/>
            </w:rPr>
            <w:t xml:space="preserve"> </w:t>
          </w:r>
          <w:r w:rsidR="00555A9A">
            <w:rPr>
              <w:rFonts w:ascii="Arial" w:hAnsi="Arial" w:cs="Arial"/>
              <w:sz w:val="24"/>
              <w:szCs w:val="24"/>
            </w:rPr>
            <w:t>(Paller,2022)</w:t>
          </w:r>
          <w:r w:rsidR="00232DB7" w:rsidRPr="00555A9A">
            <w:rPr>
              <w:rFonts w:ascii="Arial" w:hAnsi="Arial" w:cs="Arial"/>
              <w:sz w:val="24"/>
              <w:szCs w:val="24"/>
            </w:rPr>
            <w:t>.</w:t>
          </w:r>
          <w:r w:rsidR="00555A9A" w:rsidRPr="00555A9A">
            <w:rPr>
              <w:rFonts w:ascii="Arial" w:hAnsi="Arial" w:cs="Arial"/>
              <w:sz w:val="24"/>
              <w:szCs w:val="24"/>
            </w:rPr>
            <w:t xml:space="preserve"> </w:t>
          </w:r>
          <w:r w:rsidRPr="002B2FDB">
            <w:rPr>
              <w:rFonts w:ascii="Arial" w:hAnsi="Arial" w:cs="Arial"/>
              <w:sz w:val="24"/>
              <w:szCs w:val="24"/>
            </w:rPr>
            <w:t>An</w:t>
          </w:r>
          <w:r w:rsidRPr="002B2FDB">
            <w:rPr>
              <w:rFonts w:ascii="Arial" w:hAnsi="Arial" w:cs="Arial"/>
              <w:sz w:val="24"/>
              <w:szCs w:val="24"/>
            </w:rPr>
            <w:t xml:space="preserve"> organi</w:t>
          </w:r>
          <w:r>
            <w:rPr>
              <w:rFonts w:ascii="Arial" w:hAnsi="Arial" w:cs="Arial"/>
              <w:sz w:val="24"/>
              <w:szCs w:val="24"/>
            </w:rPr>
            <w:t>s</w:t>
          </w:r>
          <w:r w:rsidRPr="002B2FDB">
            <w:rPr>
              <w:rFonts w:ascii="Arial" w:hAnsi="Arial" w:cs="Arial"/>
              <w:sz w:val="24"/>
              <w:szCs w:val="24"/>
            </w:rPr>
            <w:t xml:space="preserve">ation will not last long if it is not profitable. </w:t>
          </w:r>
          <w:r w:rsidRPr="002B2FDB">
            <w:rPr>
              <w:rFonts w:ascii="Arial" w:hAnsi="Arial" w:cs="Arial"/>
              <w:sz w:val="24"/>
              <w:szCs w:val="24"/>
            </w:rPr>
            <w:lastRenderedPageBreak/>
            <w:t>As a result, both projecting future profitability and analysing current and prior profitability are critical.</w:t>
          </w:r>
          <w:r w:rsidR="001649C0">
            <w:rPr>
              <w:rFonts w:ascii="Arial" w:hAnsi="Arial" w:cs="Arial"/>
              <w:sz w:val="24"/>
              <w:szCs w:val="24"/>
            </w:rPr>
            <w:t xml:space="preserve"> </w:t>
          </w:r>
          <w:r w:rsidR="009B6CB1" w:rsidRPr="009B6CB1">
            <w:rPr>
              <w:rFonts w:ascii="Arial" w:hAnsi="Arial" w:cs="Arial"/>
              <w:sz w:val="24"/>
              <w:szCs w:val="24"/>
            </w:rPr>
            <w:t>The two categories of profitability ratios that are most frequently employed are margin ratios and return ratios. The capacity of the business to turn revenues into profits is measured in several ways via margin ratios. Return ratios show how effectively a corporation can produce returns for its owners</w:t>
          </w:r>
          <w:r w:rsidR="001865D4">
            <w:rPr>
              <w:rFonts w:ascii="Arial" w:hAnsi="Arial" w:cs="Arial"/>
              <w:sz w:val="24"/>
              <w:szCs w:val="24"/>
            </w:rPr>
            <w:t xml:space="preserve"> (Walsh, 2008)</w:t>
          </w:r>
          <w:r w:rsidR="009B6CB1" w:rsidRPr="009B6CB1">
            <w:rPr>
              <w:rFonts w:ascii="Arial" w:hAnsi="Arial" w:cs="Arial"/>
              <w:sz w:val="24"/>
              <w:szCs w:val="24"/>
            </w:rPr>
            <w:t>.</w:t>
          </w:r>
          <w:r w:rsidR="001865D4">
            <w:rPr>
              <w:rFonts w:ascii="Arial" w:hAnsi="Arial" w:cs="Arial"/>
              <w:sz w:val="24"/>
              <w:szCs w:val="24"/>
            </w:rPr>
            <w:t xml:space="preserve"> </w:t>
          </w:r>
          <w:r w:rsidR="001865D4" w:rsidRPr="001865D4">
            <w:rPr>
              <w:rFonts w:ascii="Arial" w:hAnsi="Arial" w:cs="Arial"/>
              <w:sz w:val="24"/>
              <w:szCs w:val="24"/>
            </w:rPr>
            <w:t xml:space="preserve">Figure 2 shows the findings of the profitability ratio, which concentrates on </w:t>
          </w:r>
          <w:r w:rsidR="00FF1749">
            <w:rPr>
              <w:rFonts w:ascii="Arial" w:hAnsi="Arial" w:cs="Arial"/>
              <w:sz w:val="24"/>
              <w:szCs w:val="24"/>
            </w:rPr>
            <w:t>the following</w:t>
          </w:r>
          <w:r w:rsidR="001865D4" w:rsidRPr="001865D4">
            <w:rPr>
              <w:rFonts w:ascii="Arial" w:hAnsi="Arial" w:cs="Arial"/>
              <w:sz w:val="24"/>
              <w:szCs w:val="24"/>
            </w:rPr>
            <w:t xml:space="preserve"> ratios</w:t>
          </w:r>
          <w:r w:rsidR="00CE5CC2">
            <w:rPr>
              <w:rFonts w:ascii="Arial" w:hAnsi="Arial" w:cs="Arial"/>
              <w:sz w:val="24"/>
              <w:szCs w:val="24"/>
            </w:rPr>
            <w:t xml:space="preserve">. Net profitability has increased with </w:t>
          </w:r>
          <w:r w:rsidR="00776E19">
            <w:rPr>
              <w:rFonts w:ascii="Arial" w:hAnsi="Arial" w:cs="Arial"/>
              <w:sz w:val="24"/>
              <w:szCs w:val="24"/>
            </w:rPr>
            <w:t>310</w:t>
          </w:r>
          <w:r w:rsidR="00297A69">
            <w:rPr>
              <w:rFonts w:ascii="Arial" w:hAnsi="Arial" w:cs="Arial"/>
              <w:sz w:val="24"/>
              <w:szCs w:val="24"/>
            </w:rPr>
            <w:t>.9</w:t>
          </w:r>
          <w:r w:rsidR="00CE5CC2">
            <w:rPr>
              <w:rFonts w:ascii="Arial" w:hAnsi="Arial" w:cs="Arial"/>
              <w:sz w:val="24"/>
              <w:szCs w:val="24"/>
            </w:rPr>
            <w:t>% in 2021 showing that Marriott has been more efficient at converting sales into profit th</w:t>
          </w:r>
          <w:r w:rsidR="002820D4">
            <w:rPr>
              <w:rFonts w:ascii="Arial" w:hAnsi="Arial" w:cs="Arial"/>
              <w:sz w:val="24"/>
              <w:szCs w:val="24"/>
            </w:rPr>
            <w:t>an previous year</w:t>
          </w:r>
          <w:r w:rsidR="002820D4" w:rsidRPr="00131882">
            <w:rPr>
              <w:rFonts w:ascii="Arial" w:hAnsi="Arial" w:cs="Arial"/>
              <w:sz w:val="24"/>
              <w:szCs w:val="24"/>
            </w:rPr>
            <w:t>.</w:t>
          </w:r>
          <w:r w:rsidR="00297A69">
            <w:rPr>
              <w:rFonts w:ascii="Arial" w:hAnsi="Arial" w:cs="Arial"/>
              <w:sz w:val="24"/>
              <w:szCs w:val="24"/>
            </w:rPr>
            <w:t xml:space="preserve"> This shows that </w:t>
          </w:r>
          <w:r w:rsidR="00537A11">
            <w:rPr>
              <w:rFonts w:ascii="Arial" w:hAnsi="Arial" w:cs="Arial"/>
              <w:sz w:val="24"/>
              <w:szCs w:val="24"/>
            </w:rPr>
            <w:t>the changes the company went through after the lockdown were effective (</w:t>
          </w:r>
          <w:proofErr w:type="spellStart"/>
          <w:r w:rsidR="00537A11">
            <w:rPr>
              <w:rFonts w:ascii="Arial" w:hAnsi="Arial" w:cs="Arial"/>
              <w:sz w:val="24"/>
              <w:szCs w:val="24"/>
            </w:rPr>
            <w:t>Creativebrief</w:t>
          </w:r>
          <w:proofErr w:type="spellEnd"/>
          <w:r w:rsidR="00537A11">
            <w:rPr>
              <w:rFonts w:ascii="Arial" w:hAnsi="Arial" w:cs="Arial"/>
              <w:sz w:val="24"/>
              <w:szCs w:val="24"/>
            </w:rPr>
            <w:t>, 2022).</w:t>
          </w:r>
          <w:r w:rsidR="002820D4" w:rsidRPr="00131882">
            <w:rPr>
              <w:rFonts w:ascii="Arial" w:hAnsi="Arial" w:cs="Arial"/>
              <w:sz w:val="24"/>
              <w:szCs w:val="24"/>
            </w:rPr>
            <w:t xml:space="preserve"> </w:t>
          </w:r>
          <w:r w:rsidR="002820D4" w:rsidRPr="00131882">
            <w:rPr>
              <w:rFonts w:ascii="Arial" w:eastAsia="Times New Roman" w:hAnsi="Arial" w:cs="Arial"/>
              <w:sz w:val="24"/>
              <w:szCs w:val="24"/>
              <w:lang w:eastAsia="en-GB"/>
            </w:rPr>
            <w:t>Marriott annual gross profit for 2021 shows, a 91.98% increase from 2020 (</w:t>
          </w:r>
          <w:r w:rsidR="00131882">
            <w:rPr>
              <w:rFonts w:ascii="Arial" w:eastAsia="Times New Roman" w:hAnsi="Arial" w:cs="Arial"/>
              <w:sz w:val="24"/>
              <w:szCs w:val="24"/>
              <w:lang w:eastAsia="en-GB"/>
            </w:rPr>
            <w:t>Macrotrends, 2022)</w:t>
          </w:r>
          <w:r w:rsidR="002820D4" w:rsidRPr="00131882">
            <w:rPr>
              <w:rFonts w:ascii="Arial" w:eastAsia="Times New Roman" w:hAnsi="Arial" w:cs="Arial"/>
              <w:sz w:val="24"/>
              <w:szCs w:val="24"/>
              <w:lang w:eastAsia="en-GB"/>
            </w:rPr>
            <w:t>.</w:t>
          </w:r>
          <w:r w:rsidR="000A043C">
            <w:rPr>
              <w:rFonts w:ascii="Arial" w:eastAsia="Times New Roman" w:hAnsi="Arial" w:cs="Arial"/>
              <w:sz w:val="24"/>
              <w:szCs w:val="24"/>
              <w:lang w:eastAsia="en-GB"/>
            </w:rPr>
            <w:t xml:space="preserve"> Meaning that t</w:t>
          </w:r>
          <w:r w:rsidR="000A043C" w:rsidRPr="000A043C">
            <w:rPr>
              <w:rFonts w:ascii="Arial" w:eastAsia="Times New Roman" w:hAnsi="Arial" w:cs="Arial"/>
              <w:sz w:val="24"/>
              <w:szCs w:val="24"/>
              <w:lang w:eastAsia="en-GB"/>
            </w:rPr>
            <w:t>he executive management team of the co</w:t>
          </w:r>
          <w:r w:rsidR="000A043C">
            <w:rPr>
              <w:rFonts w:ascii="Arial" w:eastAsia="Times New Roman" w:hAnsi="Arial" w:cs="Arial"/>
              <w:sz w:val="24"/>
              <w:szCs w:val="24"/>
              <w:lang w:eastAsia="en-GB"/>
            </w:rPr>
            <w:t>mpany</w:t>
          </w:r>
          <w:r w:rsidR="000A043C" w:rsidRPr="000A043C">
            <w:rPr>
              <w:rFonts w:ascii="Arial" w:eastAsia="Times New Roman" w:hAnsi="Arial" w:cs="Arial"/>
              <w:sz w:val="24"/>
              <w:szCs w:val="24"/>
              <w:lang w:eastAsia="en-GB"/>
            </w:rPr>
            <w:t xml:space="preserve"> has been more successful in producing income</w:t>
          </w:r>
          <w:r w:rsidR="00FF1749">
            <w:rPr>
              <w:rFonts w:ascii="Arial" w:eastAsia="Times New Roman" w:hAnsi="Arial" w:cs="Arial"/>
              <w:sz w:val="24"/>
              <w:szCs w:val="24"/>
              <w:lang w:eastAsia="en-GB"/>
            </w:rPr>
            <w:t xml:space="preserve"> that year</w:t>
          </w:r>
          <w:r w:rsidR="000A043C" w:rsidRPr="000A043C">
            <w:rPr>
              <w:rFonts w:ascii="Arial" w:eastAsia="Times New Roman" w:hAnsi="Arial" w:cs="Arial"/>
              <w:sz w:val="24"/>
              <w:szCs w:val="24"/>
              <w:lang w:eastAsia="en-GB"/>
            </w:rPr>
            <w:t>.</w:t>
          </w:r>
          <w:r w:rsidR="000A043C">
            <w:rPr>
              <w:rFonts w:ascii="Arial" w:eastAsia="Times New Roman" w:hAnsi="Arial" w:cs="Arial"/>
              <w:sz w:val="24"/>
              <w:szCs w:val="24"/>
              <w:lang w:eastAsia="en-GB"/>
            </w:rPr>
            <w:t xml:space="preserve"> </w:t>
          </w:r>
          <w:r w:rsidR="000D5E8F">
            <w:rPr>
              <w:rFonts w:ascii="Arial" w:eastAsia="Times New Roman" w:hAnsi="Arial" w:cs="Arial"/>
              <w:sz w:val="24"/>
              <w:szCs w:val="24"/>
              <w:lang w:eastAsia="en-GB"/>
            </w:rPr>
            <w:t>While t</w:t>
          </w:r>
          <w:r w:rsidR="00DD2AD6">
            <w:rPr>
              <w:rFonts w:ascii="Arial" w:eastAsia="Times New Roman" w:hAnsi="Arial" w:cs="Arial"/>
              <w:sz w:val="24"/>
              <w:szCs w:val="24"/>
              <w:lang w:eastAsia="en-GB"/>
            </w:rPr>
            <w:t xml:space="preserve">he </w:t>
          </w:r>
          <w:r w:rsidR="000D5E8F">
            <w:rPr>
              <w:rFonts w:ascii="Arial" w:eastAsia="Times New Roman" w:hAnsi="Arial" w:cs="Arial"/>
              <w:sz w:val="24"/>
              <w:szCs w:val="24"/>
              <w:lang w:eastAsia="en-GB"/>
            </w:rPr>
            <w:t>R</w:t>
          </w:r>
          <w:r w:rsidR="00DD2AD6">
            <w:rPr>
              <w:rFonts w:ascii="Arial" w:eastAsia="Times New Roman" w:hAnsi="Arial" w:cs="Arial"/>
              <w:sz w:val="24"/>
              <w:szCs w:val="24"/>
              <w:lang w:eastAsia="en-GB"/>
            </w:rPr>
            <w:t xml:space="preserve">eturn on </w:t>
          </w:r>
          <w:r w:rsidR="000D5E8F">
            <w:rPr>
              <w:rFonts w:ascii="Arial" w:eastAsia="Times New Roman" w:hAnsi="Arial" w:cs="Arial"/>
              <w:sz w:val="24"/>
              <w:szCs w:val="24"/>
              <w:lang w:eastAsia="en-GB"/>
            </w:rPr>
            <w:t>A</w:t>
          </w:r>
          <w:r w:rsidR="00DD2AD6">
            <w:rPr>
              <w:rFonts w:ascii="Arial" w:eastAsia="Times New Roman" w:hAnsi="Arial" w:cs="Arial"/>
              <w:sz w:val="24"/>
              <w:szCs w:val="24"/>
              <w:lang w:eastAsia="en-GB"/>
            </w:rPr>
            <w:t>ssets</w:t>
          </w:r>
          <w:r w:rsidR="000D5E8F">
            <w:rPr>
              <w:rFonts w:ascii="Arial" w:eastAsia="Times New Roman" w:hAnsi="Arial" w:cs="Arial"/>
              <w:sz w:val="24"/>
              <w:szCs w:val="24"/>
              <w:lang w:eastAsia="en-GB"/>
            </w:rPr>
            <w:t xml:space="preserve"> in 2021</w:t>
          </w:r>
          <w:r w:rsidR="00DD2AD6">
            <w:rPr>
              <w:rFonts w:ascii="Arial" w:eastAsia="Times New Roman" w:hAnsi="Arial" w:cs="Arial"/>
              <w:sz w:val="24"/>
              <w:szCs w:val="24"/>
              <w:lang w:eastAsia="en-GB"/>
            </w:rPr>
            <w:t xml:space="preserve"> </w:t>
          </w:r>
          <w:r w:rsidR="000D5E8F">
            <w:rPr>
              <w:rFonts w:ascii="Arial" w:eastAsia="Times New Roman" w:hAnsi="Arial" w:cs="Arial"/>
              <w:sz w:val="24"/>
              <w:szCs w:val="24"/>
              <w:lang w:eastAsia="en-GB"/>
            </w:rPr>
            <w:t xml:space="preserve">is still not sufficient as it is below 5% (Birken and Curry, 2021) it </w:t>
          </w:r>
          <w:r w:rsidR="00DD2AD6">
            <w:rPr>
              <w:rFonts w:ascii="Arial" w:eastAsia="Times New Roman" w:hAnsi="Arial" w:cs="Arial"/>
              <w:sz w:val="24"/>
              <w:szCs w:val="24"/>
              <w:lang w:eastAsia="en-GB"/>
            </w:rPr>
            <w:t>has increased</w:t>
          </w:r>
          <w:r w:rsidR="000D5E8F">
            <w:rPr>
              <w:rFonts w:ascii="Arial" w:eastAsia="Times New Roman" w:hAnsi="Arial" w:cs="Arial"/>
              <w:sz w:val="24"/>
              <w:szCs w:val="24"/>
              <w:lang w:eastAsia="en-GB"/>
            </w:rPr>
            <w:t xml:space="preserve"> </w:t>
          </w:r>
          <w:r w:rsidR="00FF1749">
            <w:rPr>
              <w:rFonts w:ascii="Arial" w:eastAsia="Times New Roman" w:hAnsi="Arial" w:cs="Arial"/>
              <w:sz w:val="24"/>
              <w:szCs w:val="24"/>
              <w:lang w:eastAsia="en-GB"/>
            </w:rPr>
            <w:t xml:space="preserve">significantly </w:t>
          </w:r>
          <w:r w:rsidR="000D5E8F">
            <w:rPr>
              <w:rFonts w:ascii="Arial" w:eastAsia="Times New Roman" w:hAnsi="Arial" w:cs="Arial"/>
              <w:sz w:val="24"/>
              <w:szCs w:val="24"/>
              <w:lang w:eastAsia="en-GB"/>
            </w:rPr>
            <w:t>compared to 2020,</w:t>
          </w:r>
          <w:r w:rsidR="00DD2AD6">
            <w:rPr>
              <w:rFonts w:ascii="Arial" w:eastAsia="Times New Roman" w:hAnsi="Arial" w:cs="Arial"/>
              <w:sz w:val="24"/>
              <w:szCs w:val="24"/>
              <w:lang w:eastAsia="en-GB"/>
            </w:rPr>
            <w:t xml:space="preserve"> indicating</w:t>
          </w:r>
          <w:r w:rsidR="000D5E8F">
            <w:rPr>
              <w:rFonts w:ascii="Arial" w:eastAsia="Times New Roman" w:hAnsi="Arial" w:cs="Arial"/>
              <w:sz w:val="24"/>
              <w:szCs w:val="24"/>
              <w:lang w:eastAsia="en-GB"/>
            </w:rPr>
            <w:t xml:space="preserve"> a</w:t>
          </w:r>
          <w:r w:rsidR="00DD2AD6">
            <w:rPr>
              <w:rFonts w:ascii="Arial" w:eastAsia="Times New Roman" w:hAnsi="Arial" w:cs="Arial"/>
              <w:sz w:val="24"/>
              <w:szCs w:val="24"/>
              <w:lang w:eastAsia="en-GB"/>
            </w:rPr>
            <w:t xml:space="preserve"> </w:t>
          </w:r>
          <w:r w:rsidR="002E5894">
            <w:rPr>
              <w:rFonts w:ascii="Arial" w:eastAsia="Times New Roman" w:hAnsi="Arial" w:cs="Arial"/>
              <w:sz w:val="24"/>
              <w:szCs w:val="24"/>
              <w:lang w:eastAsia="en-GB"/>
            </w:rPr>
            <w:t xml:space="preserve">more </w:t>
          </w:r>
          <w:r w:rsidR="00DD2AD6">
            <w:rPr>
              <w:rFonts w:ascii="Arial" w:eastAsia="Times New Roman" w:hAnsi="Arial" w:cs="Arial"/>
              <w:sz w:val="24"/>
              <w:szCs w:val="24"/>
              <w:lang w:eastAsia="en-GB"/>
            </w:rPr>
            <w:t>efficient</w:t>
          </w:r>
          <w:r w:rsidR="002E5894">
            <w:rPr>
              <w:rFonts w:ascii="Arial" w:eastAsia="Times New Roman" w:hAnsi="Arial" w:cs="Arial"/>
              <w:sz w:val="24"/>
              <w:szCs w:val="24"/>
              <w:lang w:eastAsia="en-GB"/>
            </w:rPr>
            <w:t xml:space="preserve"> use </w:t>
          </w:r>
          <w:r w:rsidR="002E5894" w:rsidRPr="002E5894">
            <w:rPr>
              <w:rFonts w:ascii="Arial" w:eastAsia="Times New Roman" w:hAnsi="Arial" w:cs="Arial"/>
              <w:sz w:val="24"/>
              <w:szCs w:val="24"/>
              <w:lang w:eastAsia="en-GB"/>
            </w:rPr>
            <w:t>of</w:t>
          </w:r>
          <w:r w:rsidR="002E5894" w:rsidRPr="002E5894">
            <w:rPr>
              <w:rFonts w:ascii="Arial" w:hAnsi="Arial" w:cs="Arial"/>
              <w:sz w:val="24"/>
              <w:szCs w:val="24"/>
              <w:shd w:val="clear" w:color="auto" w:fill="FFFFFF"/>
            </w:rPr>
            <w:t xml:space="preserve"> resources to make a profit.</w:t>
          </w:r>
          <w:r w:rsidR="00DD2AD6" w:rsidRPr="002E5894">
            <w:rPr>
              <w:rFonts w:ascii="Arial" w:eastAsia="Times New Roman" w:hAnsi="Arial" w:cs="Arial"/>
              <w:sz w:val="24"/>
              <w:szCs w:val="24"/>
              <w:lang w:eastAsia="en-GB"/>
            </w:rPr>
            <w:t xml:space="preserve"> </w:t>
          </w:r>
          <w:r w:rsidR="00DD2AD6">
            <w:rPr>
              <w:rFonts w:ascii="Arial" w:eastAsia="Times New Roman" w:hAnsi="Arial" w:cs="Arial"/>
              <w:sz w:val="24"/>
              <w:szCs w:val="24"/>
              <w:lang w:eastAsia="en-GB"/>
            </w:rPr>
            <w:t>The Operating Margin</w:t>
          </w:r>
          <w:r w:rsidR="002E5894">
            <w:rPr>
              <w:rFonts w:ascii="Arial" w:eastAsia="Times New Roman" w:hAnsi="Arial" w:cs="Arial"/>
              <w:sz w:val="24"/>
              <w:szCs w:val="24"/>
              <w:lang w:eastAsia="en-GB"/>
            </w:rPr>
            <w:t xml:space="preserve"> </w:t>
          </w:r>
          <w:r w:rsidR="00155FF6">
            <w:rPr>
              <w:rFonts w:ascii="Arial" w:eastAsia="Times New Roman" w:hAnsi="Arial" w:cs="Arial"/>
              <w:sz w:val="24"/>
              <w:szCs w:val="24"/>
              <w:lang w:eastAsia="en-GB"/>
            </w:rPr>
            <w:t xml:space="preserve">in 2021 </w:t>
          </w:r>
          <w:r w:rsidR="002E5894">
            <w:rPr>
              <w:rFonts w:ascii="Arial" w:eastAsia="Times New Roman" w:hAnsi="Arial" w:cs="Arial"/>
              <w:sz w:val="24"/>
              <w:szCs w:val="24"/>
              <w:lang w:eastAsia="en-GB"/>
            </w:rPr>
            <w:t>has increased with more than 10%</w:t>
          </w:r>
          <w:r w:rsidR="00155FF6">
            <w:rPr>
              <w:rFonts w:ascii="Arial" w:eastAsia="Times New Roman" w:hAnsi="Arial" w:cs="Arial"/>
              <w:sz w:val="24"/>
              <w:szCs w:val="24"/>
              <w:lang w:eastAsia="en-GB"/>
            </w:rPr>
            <w:t xml:space="preserve"> from 2020,</w:t>
          </w:r>
          <w:r w:rsidR="002E5894">
            <w:rPr>
              <w:rFonts w:ascii="Arial" w:eastAsia="Times New Roman" w:hAnsi="Arial" w:cs="Arial"/>
              <w:sz w:val="24"/>
              <w:szCs w:val="24"/>
              <w:lang w:eastAsia="en-GB"/>
            </w:rPr>
            <w:t xml:space="preserve"> showing a positive return</w:t>
          </w:r>
          <w:r w:rsidR="00155FF6">
            <w:rPr>
              <w:rFonts w:ascii="Arial" w:eastAsia="Times New Roman" w:hAnsi="Arial" w:cs="Arial"/>
              <w:sz w:val="24"/>
              <w:szCs w:val="24"/>
              <w:lang w:eastAsia="en-GB"/>
            </w:rPr>
            <w:t xml:space="preserve"> and </w:t>
          </w:r>
          <w:r w:rsidR="00155FF6" w:rsidRPr="00155FF6">
            <w:rPr>
              <w:rFonts w:ascii="Arial" w:eastAsia="Times New Roman" w:hAnsi="Arial" w:cs="Arial"/>
              <w:sz w:val="24"/>
              <w:szCs w:val="24"/>
              <w:lang w:eastAsia="en-GB"/>
            </w:rPr>
            <w:t>improved management that significantly boosts Marriott's profitability by managing its operating costs</w:t>
          </w:r>
          <w:r w:rsidR="00155FF6">
            <w:rPr>
              <w:rFonts w:ascii="Arial" w:eastAsia="Times New Roman" w:hAnsi="Arial" w:cs="Arial"/>
              <w:sz w:val="24"/>
              <w:szCs w:val="24"/>
              <w:lang w:eastAsia="en-GB"/>
            </w:rPr>
            <w:t xml:space="preserve"> (CFI Team, 2022</w:t>
          </w:r>
          <w:r w:rsidR="00CF05BD">
            <w:rPr>
              <w:rFonts w:ascii="Arial" w:eastAsia="Times New Roman" w:hAnsi="Arial" w:cs="Arial"/>
              <w:sz w:val="24"/>
              <w:szCs w:val="24"/>
              <w:lang w:eastAsia="en-GB"/>
            </w:rPr>
            <w:t>a</w:t>
          </w:r>
          <w:r w:rsidR="00155FF6">
            <w:rPr>
              <w:rFonts w:ascii="Arial" w:eastAsia="Times New Roman" w:hAnsi="Arial" w:cs="Arial"/>
              <w:sz w:val="24"/>
              <w:szCs w:val="24"/>
              <w:lang w:eastAsia="en-GB"/>
            </w:rPr>
            <w:t xml:space="preserve">). </w:t>
          </w:r>
          <w:r w:rsidR="006540DB">
            <w:rPr>
              <w:rFonts w:ascii="Arial" w:eastAsia="Times New Roman" w:hAnsi="Arial" w:cs="Arial"/>
              <w:sz w:val="24"/>
              <w:szCs w:val="24"/>
              <w:lang w:eastAsia="en-GB"/>
            </w:rPr>
            <w:t>Another significant increase in 2021 from 2020 can be seen in the Return on Equity, t</w:t>
          </w:r>
          <w:r w:rsidR="006540DB" w:rsidRPr="006540DB">
            <w:rPr>
              <w:rFonts w:ascii="Arial" w:eastAsia="Times New Roman" w:hAnsi="Arial" w:cs="Arial"/>
              <w:sz w:val="24"/>
              <w:szCs w:val="24"/>
              <w:lang w:eastAsia="en-GB"/>
            </w:rPr>
            <w:t>his suggests that the corporation becom</w:t>
          </w:r>
          <w:r w:rsidR="006540DB">
            <w:rPr>
              <w:rFonts w:ascii="Arial" w:eastAsia="Times New Roman" w:hAnsi="Arial" w:cs="Arial"/>
              <w:sz w:val="24"/>
              <w:szCs w:val="24"/>
              <w:lang w:eastAsia="en-GB"/>
            </w:rPr>
            <w:t>e</w:t>
          </w:r>
          <w:r w:rsidR="006540DB" w:rsidRPr="006540DB">
            <w:rPr>
              <w:rFonts w:ascii="Arial" w:eastAsia="Times New Roman" w:hAnsi="Arial" w:cs="Arial"/>
              <w:sz w:val="24"/>
              <w:szCs w:val="24"/>
              <w:lang w:eastAsia="en-GB"/>
            </w:rPr>
            <w:t xml:space="preserve"> more efficient at generating profit from its existing assets</w:t>
          </w:r>
          <w:r w:rsidR="006540DB">
            <w:rPr>
              <w:rFonts w:ascii="Arial" w:eastAsia="Times New Roman" w:hAnsi="Arial" w:cs="Arial"/>
              <w:sz w:val="24"/>
              <w:szCs w:val="24"/>
              <w:lang w:eastAsia="en-GB"/>
            </w:rPr>
            <w:t xml:space="preserve"> (</w:t>
          </w:r>
          <w:proofErr w:type="spellStart"/>
          <w:r w:rsidR="006540DB">
            <w:rPr>
              <w:rFonts w:ascii="Arial" w:eastAsia="Times New Roman" w:hAnsi="Arial" w:cs="Arial"/>
              <w:sz w:val="24"/>
              <w:szCs w:val="24"/>
              <w:lang w:eastAsia="en-GB"/>
            </w:rPr>
            <w:t>Bromels</w:t>
          </w:r>
          <w:proofErr w:type="spellEnd"/>
          <w:r w:rsidR="006540DB">
            <w:rPr>
              <w:rFonts w:ascii="Arial" w:eastAsia="Times New Roman" w:hAnsi="Arial" w:cs="Arial"/>
              <w:sz w:val="24"/>
              <w:szCs w:val="24"/>
              <w:lang w:eastAsia="en-GB"/>
            </w:rPr>
            <w:t>, 2022)</w:t>
          </w:r>
          <w:r w:rsidR="006540DB" w:rsidRPr="006540DB">
            <w:rPr>
              <w:rFonts w:ascii="Arial" w:eastAsia="Times New Roman" w:hAnsi="Arial" w:cs="Arial"/>
              <w:sz w:val="24"/>
              <w:szCs w:val="24"/>
              <w:lang w:eastAsia="en-GB"/>
            </w:rPr>
            <w:t>.</w:t>
          </w:r>
        </w:p>
        <w:p w14:paraId="1CB6647A" w14:textId="70431C7F" w:rsidR="00CE5CC2" w:rsidRDefault="00CE5CC2" w:rsidP="00CE5CC2">
          <w:pPr>
            <w:spacing w:line="360" w:lineRule="auto"/>
            <w:jc w:val="both"/>
            <w:rPr>
              <w:rFonts w:ascii="Arial" w:hAnsi="Arial" w:cs="Arial"/>
              <w:sz w:val="24"/>
              <w:szCs w:val="24"/>
            </w:rPr>
          </w:pPr>
        </w:p>
        <w:p w14:paraId="59A93935" w14:textId="39A2E813" w:rsidR="00CD208A" w:rsidRDefault="00CD208A" w:rsidP="00CE5CC2">
          <w:pPr>
            <w:spacing w:line="360" w:lineRule="auto"/>
            <w:jc w:val="both"/>
            <w:rPr>
              <w:rFonts w:ascii="Arial" w:hAnsi="Arial" w:cs="Arial"/>
              <w:b/>
              <w:bCs/>
              <w:sz w:val="28"/>
              <w:szCs w:val="28"/>
            </w:rPr>
          </w:pPr>
          <w:r>
            <w:rPr>
              <w:rFonts w:ascii="Arial" w:hAnsi="Arial" w:cs="Arial"/>
              <w:b/>
              <w:bCs/>
              <w:sz w:val="28"/>
              <w:szCs w:val="28"/>
            </w:rPr>
            <w:t>Liquidity</w:t>
          </w:r>
        </w:p>
        <w:p w14:paraId="39AE0635" w14:textId="100420FD" w:rsidR="00CD208A" w:rsidRPr="00CD208A" w:rsidRDefault="00001ACC" w:rsidP="00CE5CC2">
          <w:pPr>
            <w:spacing w:line="360" w:lineRule="auto"/>
            <w:jc w:val="both"/>
            <w:rPr>
              <w:rFonts w:ascii="Arial" w:hAnsi="Arial" w:cs="Arial"/>
              <w:sz w:val="24"/>
              <w:szCs w:val="24"/>
            </w:rPr>
          </w:pPr>
          <w:r w:rsidRPr="00001ACC">
            <w:rPr>
              <w:rFonts w:ascii="Arial" w:hAnsi="Arial" w:cs="Arial"/>
              <w:sz w:val="24"/>
              <w:szCs w:val="24"/>
            </w:rPr>
            <w:t>The liquidity of a financial asset relates to how quickly and simply it can be converted into income without experiencing a significant decrease in value. Alternatively, the duration it requires to sell</w:t>
          </w:r>
          <w:r w:rsidRPr="00001ACC">
            <w:rPr>
              <w:rFonts w:ascii="Arial" w:hAnsi="Arial" w:cs="Arial"/>
              <w:sz w:val="24"/>
              <w:szCs w:val="24"/>
            </w:rPr>
            <w:t xml:space="preserve"> </w:t>
          </w:r>
          <w:r w:rsidR="00D449F5">
            <w:rPr>
              <w:rFonts w:ascii="Arial" w:hAnsi="Arial" w:cs="Arial"/>
              <w:sz w:val="24"/>
              <w:szCs w:val="24"/>
            </w:rPr>
            <w:t>(</w:t>
          </w:r>
          <w:proofErr w:type="spellStart"/>
          <w:r w:rsidR="00D449F5">
            <w:rPr>
              <w:rFonts w:ascii="Arial" w:hAnsi="Arial" w:cs="Arial"/>
              <w:sz w:val="24"/>
              <w:szCs w:val="24"/>
            </w:rPr>
            <w:t>Guilding</w:t>
          </w:r>
          <w:proofErr w:type="spellEnd"/>
          <w:r w:rsidR="00D449F5">
            <w:rPr>
              <w:rFonts w:ascii="Arial" w:hAnsi="Arial" w:cs="Arial"/>
              <w:sz w:val="24"/>
              <w:szCs w:val="24"/>
            </w:rPr>
            <w:t>, 2014)</w:t>
          </w:r>
          <w:r w:rsidR="00D449F5" w:rsidRPr="00D449F5">
            <w:rPr>
              <w:rFonts w:ascii="Arial" w:hAnsi="Arial" w:cs="Arial"/>
              <w:sz w:val="24"/>
              <w:szCs w:val="24"/>
            </w:rPr>
            <w:t>.</w:t>
          </w:r>
          <w:r w:rsidR="00D449F5">
            <w:rPr>
              <w:rFonts w:ascii="Arial" w:hAnsi="Arial" w:cs="Arial"/>
              <w:sz w:val="24"/>
              <w:szCs w:val="24"/>
            </w:rPr>
            <w:t xml:space="preserve"> </w:t>
          </w:r>
          <w:r w:rsidR="001910B4" w:rsidRPr="001910B4">
            <w:rPr>
              <w:rFonts w:ascii="Arial" w:hAnsi="Arial" w:cs="Arial"/>
              <w:sz w:val="24"/>
              <w:szCs w:val="24"/>
            </w:rPr>
            <w:t>Liquidity is crucial since it demonstrates a company's ability to satisfy financial obligations and unforeseen costs.</w:t>
          </w:r>
          <w:r w:rsidR="001910B4">
            <w:rPr>
              <w:rFonts w:ascii="Arial" w:hAnsi="Arial" w:cs="Arial"/>
              <w:sz w:val="24"/>
              <w:szCs w:val="24"/>
            </w:rPr>
            <w:t xml:space="preserve"> The prime liquidity ratios used to measure </w:t>
          </w:r>
          <w:r w:rsidR="00337C9C">
            <w:rPr>
              <w:rFonts w:ascii="Arial" w:hAnsi="Arial" w:cs="Arial"/>
              <w:sz w:val="24"/>
              <w:szCs w:val="24"/>
            </w:rPr>
            <w:t xml:space="preserve">a business </w:t>
          </w:r>
          <w:r w:rsidR="001910B4">
            <w:rPr>
              <w:rFonts w:ascii="Arial" w:hAnsi="Arial" w:cs="Arial"/>
              <w:sz w:val="24"/>
              <w:szCs w:val="24"/>
            </w:rPr>
            <w:t xml:space="preserve">accounting liquidity </w:t>
          </w:r>
          <w:r w:rsidR="00337C9C">
            <w:rPr>
              <w:rFonts w:ascii="Arial" w:hAnsi="Arial" w:cs="Arial"/>
              <w:sz w:val="24"/>
              <w:szCs w:val="24"/>
            </w:rPr>
            <w:t>would be</w:t>
          </w:r>
          <w:r w:rsidR="001910B4">
            <w:rPr>
              <w:rFonts w:ascii="Arial" w:hAnsi="Arial" w:cs="Arial"/>
              <w:sz w:val="24"/>
              <w:szCs w:val="24"/>
            </w:rPr>
            <w:t xml:space="preserve"> </w:t>
          </w:r>
          <w:r w:rsidR="00337C9C">
            <w:rPr>
              <w:rFonts w:ascii="Arial" w:hAnsi="Arial" w:cs="Arial"/>
              <w:sz w:val="24"/>
              <w:szCs w:val="24"/>
            </w:rPr>
            <w:t>c</w:t>
          </w:r>
          <w:r w:rsidR="001910B4">
            <w:rPr>
              <w:rFonts w:ascii="Arial" w:hAnsi="Arial" w:cs="Arial"/>
              <w:sz w:val="24"/>
              <w:szCs w:val="24"/>
            </w:rPr>
            <w:t>urrent ratio</w:t>
          </w:r>
          <w:r w:rsidR="00337C9C">
            <w:rPr>
              <w:rFonts w:ascii="Arial" w:hAnsi="Arial" w:cs="Arial"/>
              <w:sz w:val="24"/>
              <w:szCs w:val="24"/>
            </w:rPr>
            <w:t>, cash ratio</w:t>
          </w:r>
          <w:r w:rsidR="001910B4">
            <w:rPr>
              <w:rFonts w:ascii="Arial" w:hAnsi="Arial" w:cs="Arial"/>
              <w:sz w:val="24"/>
              <w:szCs w:val="24"/>
            </w:rPr>
            <w:t xml:space="preserve"> and </w:t>
          </w:r>
          <w:r w:rsidR="00337C9C">
            <w:rPr>
              <w:rFonts w:ascii="Arial" w:hAnsi="Arial" w:cs="Arial"/>
              <w:sz w:val="24"/>
              <w:szCs w:val="24"/>
            </w:rPr>
            <w:t>quick</w:t>
          </w:r>
          <w:r w:rsidR="001910B4">
            <w:rPr>
              <w:rFonts w:ascii="Arial" w:hAnsi="Arial" w:cs="Arial"/>
              <w:sz w:val="24"/>
              <w:szCs w:val="24"/>
            </w:rPr>
            <w:t xml:space="preserve"> ratio</w:t>
          </w:r>
          <w:r w:rsidR="00337C9C">
            <w:rPr>
              <w:rFonts w:ascii="Arial" w:hAnsi="Arial" w:cs="Arial"/>
              <w:sz w:val="24"/>
              <w:szCs w:val="24"/>
            </w:rPr>
            <w:t xml:space="preserve">. As Marriott has not shared all the data, this paper will only compare the current ratio of the past two years. </w:t>
          </w:r>
          <w:r w:rsidR="008B62E8" w:rsidRPr="008B62E8">
            <w:rPr>
              <w:rFonts w:ascii="Arial" w:hAnsi="Arial" w:cs="Arial"/>
              <w:sz w:val="24"/>
              <w:szCs w:val="24"/>
            </w:rPr>
            <w:t>The goal of the current ratio is to assess a</w:t>
          </w:r>
          <w:r w:rsidR="006D4CF7">
            <w:rPr>
              <w:rFonts w:ascii="Arial" w:hAnsi="Arial" w:cs="Arial"/>
              <w:sz w:val="24"/>
              <w:szCs w:val="24"/>
            </w:rPr>
            <w:t>n</w:t>
          </w:r>
          <w:r w:rsidR="008B62E8" w:rsidRPr="008B62E8">
            <w:rPr>
              <w:rFonts w:ascii="Arial" w:hAnsi="Arial" w:cs="Arial"/>
              <w:sz w:val="24"/>
              <w:szCs w:val="24"/>
            </w:rPr>
            <w:t xml:space="preserve"> </w:t>
          </w:r>
          <w:r w:rsidR="006D4CF7">
            <w:rPr>
              <w:rFonts w:ascii="Arial" w:hAnsi="Arial" w:cs="Arial"/>
              <w:sz w:val="24"/>
              <w:szCs w:val="24"/>
            </w:rPr>
            <w:t>organisations</w:t>
          </w:r>
          <w:r w:rsidR="008B62E8" w:rsidRPr="008B62E8">
            <w:rPr>
              <w:rFonts w:ascii="Arial" w:hAnsi="Arial" w:cs="Arial"/>
              <w:sz w:val="24"/>
              <w:szCs w:val="24"/>
            </w:rPr>
            <w:t xml:space="preserve"> capacity to pay short-term </w:t>
          </w:r>
          <w:r w:rsidR="006D4CF7" w:rsidRPr="006D4CF7">
            <w:rPr>
              <w:rFonts w:ascii="Arial" w:hAnsi="Arial" w:cs="Arial"/>
              <w:sz w:val="24"/>
              <w:szCs w:val="24"/>
            </w:rPr>
            <w:t>debts outstanding within a calendar year</w:t>
          </w:r>
          <w:r w:rsidR="006D4CF7" w:rsidRPr="006D4CF7">
            <w:rPr>
              <w:rFonts w:ascii="Arial" w:hAnsi="Arial" w:cs="Arial"/>
              <w:sz w:val="24"/>
              <w:szCs w:val="24"/>
            </w:rPr>
            <w:t xml:space="preserve"> </w:t>
          </w:r>
          <w:r w:rsidR="008B62E8">
            <w:rPr>
              <w:rFonts w:ascii="Arial" w:hAnsi="Arial" w:cs="Arial"/>
              <w:sz w:val="24"/>
              <w:szCs w:val="24"/>
            </w:rPr>
            <w:t>(Hussain, 2022)</w:t>
          </w:r>
          <w:r w:rsidR="008B62E8" w:rsidRPr="008B62E8">
            <w:rPr>
              <w:rFonts w:ascii="Arial" w:hAnsi="Arial" w:cs="Arial"/>
              <w:sz w:val="24"/>
              <w:szCs w:val="24"/>
            </w:rPr>
            <w:t>.</w:t>
          </w:r>
          <w:r w:rsidR="008B62E8">
            <w:rPr>
              <w:rFonts w:ascii="Arial" w:hAnsi="Arial" w:cs="Arial"/>
              <w:sz w:val="24"/>
              <w:szCs w:val="24"/>
            </w:rPr>
            <w:t xml:space="preserve"> </w:t>
          </w:r>
          <w:r w:rsidR="008B62E8" w:rsidRPr="008B62E8">
            <w:rPr>
              <w:rFonts w:ascii="Arial" w:hAnsi="Arial" w:cs="Arial"/>
              <w:sz w:val="24"/>
              <w:szCs w:val="24"/>
            </w:rPr>
            <w:t>The greater the ratio, the better a company's financial health and ability to satisfy its financial responsibilities.</w:t>
          </w:r>
          <w:r w:rsidR="009310E4">
            <w:rPr>
              <w:rFonts w:ascii="Arial" w:hAnsi="Arial" w:cs="Arial"/>
              <w:sz w:val="24"/>
              <w:szCs w:val="24"/>
            </w:rPr>
            <w:t xml:space="preserve"> Figure 2 shows that Marriott’s </w:t>
          </w:r>
          <w:r w:rsidR="009310E4">
            <w:rPr>
              <w:rFonts w:ascii="Arial" w:hAnsi="Arial" w:cs="Arial"/>
              <w:sz w:val="24"/>
              <w:szCs w:val="24"/>
            </w:rPr>
            <w:lastRenderedPageBreak/>
            <w:t>current ratio has increased slightly from 2020 to 2021, however it is still under 1% which</w:t>
          </w:r>
          <w:r w:rsidR="009310E4" w:rsidRPr="009310E4">
            <w:rPr>
              <w:rFonts w:ascii="Arial" w:hAnsi="Arial" w:cs="Arial"/>
              <w:sz w:val="24"/>
              <w:szCs w:val="24"/>
            </w:rPr>
            <w:t xml:space="preserve"> could</w:t>
          </w:r>
          <w:r w:rsidR="009310E4">
            <w:rPr>
              <w:rFonts w:ascii="Arial" w:hAnsi="Arial" w:cs="Arial"/>
              <w:sz w:val="24"/>
              <w:szCs w:val="24"/>
            </w:rPr>
            <w:t xml:space="preserve"> most likely</w:t>
          </w:r>
          <w:r w:rsidR="009310E4" w:rsidRPr="009310E4">
            <w:rPr>
              <w:rFonts w:ascii="Arial" w:hAnsi="Arial" w:cs="Arial"/>
              <w:sz w:val="24"/>
              <w:szCs w:val="24"/>
            </w:rPr>
            <w:t xml:space="preserve"> signal financial problems and an inability to repay outstanding bills</w:t>
          </w:r>
          <w:r w:rsidR="009310E4">
            <w:rPr>
              <w:rFonts w:ascii="Arial" w:hAnsi="Arial" w:cs="Arial"/>
              <w:sz w:val="24"/>
              <w:szCs w:val="24"/>
            </w:rPr>
            <w:t xml:space="preserve"> (Girsch-Bock, 2022).</w:t>
          </w:r>
          <w:r w:rsidR="005407D5">
            <w:rPr>
              <w:rFonts w:ascii="Arial" w:hAnsi="Arial" w:cs="Arial"/>
              <w:sz w:val="24"/>
              <w:szCs w:val="24"/>
            </w:rPr>
            <w:t xml:space="preserve"> </w:t>
          </w:r>
          <w:r w:rsidR="009310E4">
            <w:rPr>
              <w:rFonts w:ascii="Arial" w:hAnsi="Arial" w:cs="Arial"/>
              <w:sz w:val="24"/>
              <w:szCs w:val="24"/>
            </w:rPr>
            <w:t xml:space="preserve"> </w:t>
          </w:r>
          <w:r w:rsidR="006855F2">
            <w:rPr>
              <w:rFonts w:ascii="Arial" w:hAnsi="Arial" w:cs="Arial"/>
              <w:sz w:val="24"/>
              <w:szCs w:val="24"/>
            </w:rPr>
            <w:t>That is because a</w:t>
          </w:r>
          <w:r w:rsidR="006855F2" w:rsidRPr="006855F2">
            <w:rPr>
              <w:rFonts w:ascii="Arial" w:hAnsi="Arial" w:cs="Arial"/>
              <w:sz w:val="24"/>
              <w:szCs w:val="24"/>
            </w:rPr>
            <w:t xml:space="preserve"> ratio smaller than one implies that </w:t>
          </w:r>
          <w:r w:rsidR="006855F2">
            <w:rPr>
              <w:rFonts w:ascii="Arial" w:hAnsi="Arial" w:cs="Arial"/>
              <w:sz w:val="24"/>
              <w:szCs w:val="24"/>
            </w:rPr>
            <w:t>Marriott’s</w:t>
          </w:r>
          <w:r w:rsidR="006855F2" w:rsidRPr="006855F2">
            <w:rPr>
              <w:rFonts w:ascii="Arial" w:hAnsi="Arial" w:cs="Arial"/>
              <w:sz w:val="24"/>
              <w:szCs w:val="24"/>
            </w:rPr>
            <w:t xml:space="preserve"> debts due in a year or less exceed its assets</w:t>
          </w:r>
          <w:r w:rsidR="006855F2">
            <w:rPr>
              <w:rFonts w:ascii="Arial" w:hAnsi="Arial" w:cs="Arial"/>
              <w:sz w:val="24"/>
              <w:szCs w:val="24"/>
            </w:rPr>
            <w:t xml:space="preserve">. This is most likely caused by having to pay bills during lockdown when the company has not produced anything (Fernando, 2022). </w:t>
          </w:r>
          <w:r w:rsidR="00CE04A9">
            <w:rPr>
              <w:rFonts w:ascii="Arial" w:hAnsi="Arial" w:cs="Arial"/>
              <w:sz w:val="24"/>
              <w:szCs w:val="24"/>
            </w:rPr>
            <w:t xml:space="preserve">Another </w:t>
          </w:r>
          <w:r w:rsidR="0056229A" w:rsidRPr="0056229A">
            <w:rPr>
              <w:rFonts w:ascii="Arial" w:hAnsi="Arial" w:cs="Arial"/>
              <w:sz w:val="24"/>
              <w:szCs w:val="24"/>
            </w:rPr>
            <w:t>liquidity measure that can reflect the debtor's situation is O</w:t>
          </w:r>
          <w:r w:rsidR="0056229A">
            <w:rPr>
              <w:rFonts w:ascii="Arial" w:hAnsi="Arial" w:cs="Arial"/>
              <w:sz w:val="24"/>
              <w:szCs w:val="24"/>
            </w:rPr>
            <w:t>perating cash flow</w:t>
          </w:r>
          <w:r w:rsidR="0056229A" w:rsidRPr="0056229A">
            <w:rPr>
              <w:rFonts w:ascii="Arial" w:hAnsi="Arial" w:cs="Arial"/>
              <w:sz w:val="24"/>
              <w:szCs w:val="24"/>
            </w:rPr>
            <w:t>.</w:t>
          </w:r>
          <w:r w:rsidR="0056229A">
            <w:rPr>
              <w:rFonts w:ascii="Arial" w:hAnsi="Arial" w:cs="Arial"/>
              <w:sz w:val="24"/>
              <w:szCs w:val="24"/>
            </w:rPr>
            <w:t xml:space="preserve"> </w:t>
          </w:r>
          <w:r w:rsidR="0056229A" w:rsidRPr="0056229A">
            <w:rPr>
              <w:rFonts w:ascii="Arial" w:hAnsi="Arial" w:cs="Arial"/>
              <w:sz w:val="24"/>
              <w:szCs w:val="24"/>
            </w:rPr>
            <w:t>Operating cash flow is the net amount of cash generated by a company's operating activities. It excludes any investment or financial activity. This data is utilized to evaluate the sustainability of a company's core operations, as positive cash flow is required to sustain and increase a company's operations throughout a period</w:t>
          </w:r>
          <w:r w:rsidR="0056229A">
            <w:rPr>
              <w:rFonts w:ascii="Arial" w:hAnsi="Arial" w:cs="Arial"/>
              <w:sz w:val="24"/>
              <w:szCs w:val="24"/>
            </w:rPr>
            <w:t xml:space="preserve"> (Accounting Tools, 2022</w:t>
          </w:r>
          <w:r w:rsidR="003E79A6">
            <w:rPr>
              <w:rFonts w:ascii="Arial" w:hAnsi="Arial" w:cs="Arial"/>
              <w:sz w:val="24"/>
              <w:szCs w:val="24"/>
            </w:rPr>
            <w:t>b</w:t>
          </w:r>
          <w:r w:rsidR="0056229A">
            <w:rPr>
              <w:rFonts w:ascii="Arial" w:hAnsi="Arial" w:cs="Arial"/>
              <w:sz w:val="24"/>
              <w:szCs w:val="24"/>
            </w:rPr>
            <w:t>)</w:t>
          </w:r>
          <w:r w:rsidR="0056229A" w:rsidRPr="0056229A">
            <w:rPr>
              <w:rFonts w:ascii="Arial" w:hAnsi="Arial" w:cs="Arial"/>
              <w:sz w:val="24"/>
              <w:szCs w:val="24"/>
            </w:rPr>
            <w:t>. Operating cash flow might be a more trustworthy predictor of a company's financial health than stated net income.</w:t>
          </w:r>
          <w:r w:rsidR="004B57D0">
            <w:rPr>
              <w:rFonts w:ascii="Arial" w:hAnsi="Arial" w:cs="Arial"/>
              <w:sz w:val="24"/>
              <w:szCs w:val="24"/>
            </w:rPr>
            <w:t xml:space="preserve"> Marriott’s operating cash flow has decreased in 2021, which may be the result of s</w:t>
          </w:r>
          <w:r w:rsidR="004B57D0" w:rsidRPr="004B57D0">
            <w:rPr>
              <w:rFonts w:ascii="Arial" w:hAnsi="Arial" w:cs="Arial"/>
              <w:sz w:val="24"/>
              <w:szCs w:val="24"/>
            </w:rPr>
            <w:t>hifts in net income</w:t>
          </w:r>
          <w:r w:rsidR="004B57D0">
            <w:rPr>
              <w:rFonts w:ascii="Arial" w:hAnsi="Arial" w:cs="Arial"/>
              <w:sz w:val="24"/>
              <w:szCs w:val="24"/>
            </w:rPr>
            <w:t xml:space="preserve"> that</w:t>
          </w:r>
          <w:r w:rsidR="004B57D0" w:rsidRPr="004B57D0">
            <w:rPr>
              <w:rFonts w:ascii="Arial" w:hAnsi="Arial" w:cs="Arial"/>
              <w:sz w:val="24"/>
              <w:szCs w:val="24"/>
            </w:rPr>
            <w:t xml:space="preserve"> </w:t>
          </w:r>
          <w:r w:rsidR="004B57D0">
            <w:rPr>
              <w:rFonts w:ascii="Arial" w:hAnsi="Arial" w:cs="Arial"/>
              <w:sz w:val="24"/>
              <w:szCs w:val="24"/>
            </w:rPr>
            <w:t>c</w:t>
          </w:r>
          <w:r w:rsidR="004B57D0" w:rsidRPr="004B57D0">
            <w:rPr>
              <w:rFonts w:ascii="Arial" w:hAnsi="Arial" w:cs="Arial"/>
              <w:sz w:val="24"/>
              <w:szCs w:val="24"/>
            </w:rPr>
            <w:t xml:space="preserve">ould have an impact on operating cash flow. </w:t>
          </w:r>
          <w:r w:rsidR="004B57D0">
            <w:rPr>
              <w:rFonts w:ascii="Arial" w:hAnsi="Arial" w:cs="Arial"/>
              <w:sz w:val="24"/>
              <w:szCs w:val="24"/>
            </w:rPr>
            <w:t>F</w:t>
          </w:r>
          <w:r w:rsidR="004B57D0" w:rsidRPr="004B57D0">
            <w:rPr>
              <w:rFonts w:ascii="Arial" w:hAnsi="Arial" w:cs="Arial"/>
              <w:sz w:val="24"/>
              <w:szCs w:val="24"/>
            </w:rPr>
            <w:t xml:space="preserve">or example, </w:t>
          </w:r>
          <w:r w:rsidR="004B57D0">
            <w:rPr>
              <w:rFonts w:ascii="Arial" w:hAnsi="Arial" w:cs="Arial"/>
              <w:sz w:val="24"/>
              <w:szCs w:val="24"/>
            </w:rPr>
            <w:t>i</w:t>
          </w:r>
          <w:r w:rsidR="004B57D0" w:rsidRPr="004B57D0">
            <w:rPr>
              <w:rFonts w:ascii="Arial" w:hAnsi="Arial" w:cs="Arial"/>
              <w:sz w:val="24"/>
              <w:szCs w:val="24"/>
            </w:rPr>
            <w:t>f revenues drop, the</w:t>
          </w:r>
          <w:r w:rsidR="004B57D0">
            <w:rPr>
              <w:rFonts w:ascii="Arial" w:hAnsi="Arial" w:cs="Arial"/>
              <w:sz w:val="24"/>
              <w:szCs w:val="24"/>
            </w:rPr>
            <w:t xml:space="preserve"> </w:t>
          </w:r>
          <w:r w:rsidR="004B57D0" w:rsidRPr="004B57D0">
            <w:rPr>
              <w:rFonts w:ascii="Arial" w:hAnsi="Arial" w:cs="Arial"/>
              <w:sz w:val="24"/>
              <w:szCs w:val="24"/>
            </w:rPr>
            <w:t>operating cash flow will decline as well.</w:t>
          </w:r>
        </w:p>
        <w:p w14:paraId="0D39B92E" w14:textId="2CD1ACA1" w:rsidR="001649C0" w:rsidRDefault="001649C0" w:rsidP="00555A9A">
          <w:pPr>
            <w:spacing w:line="360" w:lineRule="auto"/>
            <w:jc w:val="both"/>
            <w:rPr>
              <w:rFonts w:ascii="Arial" w:hAnsi="Arial" w:cs="Arial"/>
              <w:sz w:val="24"/>
              <w:szCs w:val="24"/>
            </w:rPr>
          </w:pPr>
        </w:p>
        <w:p w14:paraId="02D86C4A" w14:textId="270EE529" w:rsidR="00AE3DC7" w:rsidRDefault="00AE3DC7" w:rsidP="00555A9A">
          <w:pPr>
            <w:spacing w:line="360" w:lineRule="auto"/>
            <w:jc w:val="both"/>
            <w:rPr>
              <w:rFonts w:ascii="Arial" w:hAnsi="Arial" w:cs="Arial"/>
              <w:b/>
              <w:bCs/>
              <w:sz w:val="28"/>
              <w:szCs w:val="28"/>
            </w:rPr>
          </w:pPr>
          <w:r>
            <w:rPr>
              <w:rFonts w:ascii="Arial" w:hAnsi="Arial" w:cs="Arial"/>
              <w:b/>
              <w:bCs/>
              <w:sz w:val="28"/>
              <w:szCs w:val="28"/>
            </w:rPr>
            <w:t>Gearing</w:t>
          </w:r>
        </w:p>
        <w:p w14:paraId="5676F43C" w14:textId="630C8A65" w:rsidR="00CD208A" w:rsidRPr="008F0DF0" w:rsidRDefault="00234318" w:rsidP="008F0DF0">
          <w:pPr>
            <w:spacing w:line="360" w:lineRule="auto"/>
            <w:jc w:val="both"/>
            <w:rPr>
              <w:rFonts w:ascii="Arial" w:hAnsi="Arial" w:cs="Arial"/>
              <w:sz w:val="24"/>
              <w:szCs w:val="24"/>
            </w:rPr>
          </w:pPr>
          <w:r w:rsidRPr="00234318">
            <w:rPr>
              <w:rFonts w:ascii="Arial" w:hAnsi="Arial" w:cs="Arial"/>
              <w:sz w:val="24"/>
              <w:szCs w:val="24"/>
            </w:rPr>
            <w:t xml:space="preserve">The gearing ratio calculates </w:t>
          </w:r>
          <w:r w:rsidR="006D4CF7" w:rsidRPr="006D4CF7">
            <w:rPr>
              <w:rFonts w:ascii="Arial" w:hAnsi="Arial" w:cs="Arial"/>
              <w:sz w:val="24"/>
              <w:szCs w:val="24"/>
            </w:rPr>
            <w:t>the proportion of the overall debt, incorporating long-term borrowing and bank loans, to either total capital utilised or equity.</w:t>
          </w:r>
          <w:r w:rsidR="006D4CF7">
            <w:rPr>
              <w:rFonts w:ascii="Arial" w:hAnsi="Arial" w:cs="Arial"/>
              <w:sz w:val="24"/>
              <w:szCs w:val="24"/>
            </w:rPr>
            <w:t xml:space="preserve"> </w:t>
          </w:r>
          <w:r w:rsidRPr="00234318">
            <w:rPr>
              <w:rFonts w:ascii="Arial" w:hAnsi="Arial" w:cs="Arial"/>
              <w:sz w:val="24"/>
              <w:szCs w:val="24"/>
            </w:rPr>
            <w:t>Sometimes the debt-to-equity ratio is used to refer to the gearing ratio</w:t>
          </w:r>
          <w:r>
            <w:rPr>
              <w:rFonts w:ascii="Arial" w:hAnsi="Arial" w:cs="Arial"/>
              <w:sz w:val="24"/>
              <w:szCs w:val="24"/>
            </w:rPr>
            <w:t xml:space="preserve"> (Mott, 2008)</w:t>
          </w:r>
          <w:r w:rsidRPr="00234318">
            <w:rPr>
              <w:rFonts w:ascii="Arial" w:hAnsi="Arial" w:cs="Arial"/>
              <w:sz w:val="24"/>
              <w:szCs w:val="24"/>
            </w:rPr>
            <w:t>.</w:t>
          </w:r>
          <w:r w:rsidR="00697F91">
            <w:rPr>
              <w:rFonts w:ascii="Arial" w:hAnsi="Arial" w:cs="Arial"/>
              <w:sz w:val="24"/>
              <w:szCs w:val="24"/>
            </w:rPr>
            <w:t xml:space="preserve"> </w:t>
          </w:r>
          <w:r w:rsidR="0090598E" w:rsidRPr="0090598E">
            <w:rPr>
              <w:rFonts w:ascii="Arial" w:hAnsi="Arial" w:cs="Arial"/>
              <w:sz w:val="24"/>
              <w:szCs w:val="24"/>
            </w:rPr>
            <w:t>The gearing ratio is among the most often used indicators for evaluating an organisations financial health.</w:t>
          </w:r>
          <w:r w:rsidR="0090598E">
            <w:rPr>
              <w:rFonts w:ascii="Arial" w:hAnsi="Arial" w:cs="Arial"/>
              <w:sz w:val="24"/>
              <w:szCs w:val="24"/>
            </w:rPr>
            <w:t xml:space="preserve"> </w:t>
          </w:r>
          <w:r w:rsidR="00DB1A6B">
            <w:rPr>
              <w:rFonts w:ascii="Arial" w:hAnsi="Arial" w:cs="Arial"/>
              <w:sz w:val="24"/>
              <w:szCs w:val="24"/>
            </w:rPr>
            <w:t>Marriott’s debt/equity ratio in Figure 1 shows a decrease in percentage from year 2020 to 2021. This may indicate that the company had</w:t>
          </w:r>
          <w:r w:rsidR="00697F91">
            <w:rPr>
              <w:rFonts w:ascii="Arial" w:hAnsi="Arial" w:cs="Arial"/>
              <w:sz w:val="24"/>
              <w:szCs w:val="24"/>
            </w:rPr>
            <w:t xml:space="preserve"> a </w:t>
          </w:r>
          <w:r w:rsidR="00697F91" w:rsidRPr="00697F91">
            <w:rPr>
              <w:rFonts w:ascii="Arial" w:hAnsi="Arial" w:cs="Arial"/>
              <w:sz w:val="24"/>
              <w:szCs w:val="24"/>
            </w:rPr>
            <w:t>more unstable financing arrangement</w:t>
          </w:r>
          <w:r w:rsidR="00697F91">
            <w:rPr>
              <w:rFonts w:ascii="Arial" w:hAnsi="Arial" w:cs="Arial"/>
              <w:sz w:val="24"/>
              <w:szCs w:val="24"/>
            </w:rPr>
            <w:t xml:space="preserve"> and</w:t>
          </w:r>
          <w:r w:rsidR="00DB1A6B">
            <w:rPr>
              <w:rFonts w:ascii="Arial" w:hAnsi="Arial" w:cs="Arial"/>
              <w:sz w:val="24"/>
              <w:szCs w:val="24"/>
            </w:rPr>
            <w:t xml:space="preserve"> </w:t>
          </w:r>
          <w:r w:rsidR="00DB1A6B" w:rsidRPr="00DB1A6B">
            <w:rPr>
              <w:rFonts w:ascii="Arial" w:hAnsi="Arial" w:cs="Arial"/>
              <w:sz w:val="24"/>
              <w:szCs w:val="24"/>
            </w:rPr>
            <w:t>greater debt obligations relative to shareholders' equity</w:t>
          </w:r>
          <w:r w:rsidR="00DB1A6B">
            <w:rPr>
              <w:rFonts w:ascii="Arial" w:hAnsi="Arial" w:cs="Arial"/>
              <w:sz w:val="24"/>
              <w:szCs w:val="24"/>
            </w:rPr>
            <w:t xml:space="preserve"> in 2020</w:t>
          </w:r>
          <w:r w:rsidR="00DB1A6B" w:rsidRPr="00DB1A6B">
            <w:rPr>
              <w:rFonts w:ascii="Arial" w:hAnsi="Arial" w:cs="Arial"/>
              <w:sz w:val="24"/>
              <w:szCs w:val="24"/>
            </w:rPr>
            <w:t>.</w:t>
          </w:r>
          <w:r w:rsidR="00DB1A6B">
            <w:rPr>
              <w:rFonts w:ascii="Arial" w:hAnsi="Arial" w:cs="Arial"/>
              <w:sz w:val="24"/>
              <w:szCs w:val="24"/>
            </w:rPr>
            <w:t xml:space="preserve"> </w:t>
          </w:r>
          <w:r w:rsidR="00DB1A6B" w:rsidRPr="00DB1A6B">
            <w:rPr>
              <w:rFonts w:ascii="Arial" w:hAnsi="Arial" w:cs="Arial"/>
              <w:sz w:val="24"/>
              <w:szCs w:val="24"/>
            </w:rPr>
            <w:t xml:space="preserve">As opposed to </w:t>
          </w:r>
          <w:r w:rsidR="00DB1A6B">
            <w:rPr>
              <w:rFonts w:ascii="Arial" w:hAnsi="Arial" w:cs="Arial"/>
              <w:sz w:val="24"/>
              <w:szCs w:val="24"/>
            </w:rPr>
            <w:t>2021 when the</w:t>
          </w:r>
          <w:r w:rsidR="00DB1A6B" w:rsidRPr="00DB1A6B">
            <w:rPr>
              <w:rFonts w:ascii="Arial" w:hAnsi="Arial" w:cs="Arial"/>
              <w:sz w:val="24"/>
              <w:szCs w:val="24"/>
            </w:rPr>
            <w:t xml:space="preserve"> business </w:t>
          </w:r>
          <w:r w:rsidR="00DB1A6B">
            <w:rPr>
              <w:rFonts w:ascii="Arial" w:hAnsi="Arial" w:cs="Arial"/>
              <w:sz w:val="24"/>
              <w:szCs w:val="24"/>
            </w:rPr>
            <w:t>had</w:t>
          </w:r>
          <w:r w:rsidR="00DB1A6B" w:rsidRPr="00DB1A6B">
            <w:rPr>
              <w:rFonts w:ascii="Arial" w:hAnsi="Arial" w:cs="Arial"/>
              <w:sz w:val="24"/>
              <w:szCs w:val="24"/>
            </w:rPr>
            <w:t xml:space="preserve"> </w:t>
          </w:r>
          <w:r w:rsidR="00DB1A6B">
            <w:rPr>
              <w:rFonts w:ascii="Arial" w:hAnsi="Arial" w:cs="Arial"/>
              <w:sz w:val="24"/>
              <w:szCs w:val="24"/>
            </w:rPr>
            <w:t xml:space="preserve">a </w:t>
          </w:r>
          <w:r w:rsidR="00697F91" w:rsidRPr="00DB1A6B">
            <w:rPr>
              <w:rFonts w:ascii="Arial" w:hAnsi="Arial" w:cs="Arial"/>
              <w:sz w:val="24"/>
              <w:szCs w:val="24"/>
            </w:rPr>
            <w:t>lower gearing ratio computation</w:t>
          </w:r>
          <w:r w:rsidR="00DB1A6B" w:rsidRPr="00DB1A6B">
            <w:rPr>
              <w:rFonts w:ascii="Arial" w:hAnsi="Arial" w:cs="Arial"/>
              <w:sz w:val="24"/>
              <w:szCs w:val="24"/>
            </w:rPr>
            <w:t xml:space="preserve"> </w:t>
          </w:r>
          <w:r w:rsidR="00DB1A6B">
            <w:rPr>
              <w:rFonts w:ascii="Arial" w:hAnsi="Arial" w:cs="Arial"/>
              <w:sz w:val="24"/>
              <w:szCs w:val="24"/>
            </w:rPr>
            <w:t>meaning it had</w:t>
          </w:r>
          <w:r w:rsidR="00DB1A6B" w:rsidRPr="00DB1A6B">
            <w:rPr>
              <w:rFonts w:ascii="Arial" w:hAnsi="Arial" w:cs="Arial"/>
              <w:sz w:val="24"/>
              <w:szCs w:val="24"/>
            </w:rPr>
            <w:t xml:space="preserve"> more equity available for funding</w:t>
          </w:r>
          <w:r w:rsidR="00DB1A6B">
            <w:rPr>
              <w:rFonts w:ascii="Arial" w:hAnsi="Arial" w:cs="Arial"/>
              <w:sz w:val="24"/>
              <w:szCs w:val="24"/>
            </w:rPr>
            <w:t xml:space="preserve"> (Kenton, 2022)</w:t>
          </w:r>
          <w:r w:rsidR="00DB1A6B" w:rsidRPr="00DB1A6B">
            <w:rPr>
              <w:rFonts w:ascii="Arial" w:hAnsi="Arial" w:cs="Arial"/>
              <w:sz w:val="24"/>
              <w:szCs w:val="24"/>
            </w:rPr>
            <w:t>.</w:t>
          </w:r>
          <w:r w:rsidR="005407D5">
            <w:rPr>
              <w:rFonts w:ascii="Arial" w:hAnsi="Arial" w:cs="Arial"/>
              <w:sz w:val="24"/>
              <w:szCs w:val="24"/>
            </w:rPr>
            <w:t xml:space="preserve"> </w:t>
          </w:r>
          <w:r w:rsidR="005407D5" w:rsidRPr="005407D5">
            <w:rPr>
              <w:rFonts w:ascii="Arial" w:hAnsi="Arial" w:cs="Arial"/>
              <w:sz w:val="24"/>
              <w:szCs w:val="24"/>
            </w:rPr>
            <w:t>When a key ratio is unstable, further investigation is required.</w:t>
          </w:r>
          <w:r w:rsidR="00697F91">
            <w:rPr>
              <w:rFonts w:ascii="Arial" w:hAnsi="Arial" w:cs="Arial"/>
              <w:sz w:val="24"/>
              <w:szCs w:val="24"/>
            </w:rPr>
            <w:t xml:space="preserve"> </w:t>
          </w:r>
          <w:r w:rsidR="00187268">
            <w:rPr>
              <w:rFonts w:ascii="Arial" w:hAnsi="Arial" w:cs="Arial"/>
              <w:sz w:val="24"/>
              <w:szCs w:val="24"/>
            </w:rPr>
            <w:t>However,</w:t>
          </w:r>
          <w:r w:rsidR="008C6E6C">
            <w:rPr>
              <w:rFonts w:ascii="Arial" w:hAnsi="Arial" w:cs="Arial"/>
              <w:sz w:val="24"/>
              <w:szCs w:val="24"/>
            </w:rPr>
            <w:t xml:space="preserve"> the percentage of the gearing ratio in 2020 i</w:t>
          </w:r>
          <w:r w:rsidR="00295FF4">
            <w:rPr>
              <w:rFonts w:ascii="Arial" w:hAnsi="Arial" w:cs="Arial"/>
              <w:sz w:val="24"/>
              <w:szCs w:val="24"/>
            </w:rPr>
            <w:t>s</w:t>
          </w:r>
          <w:r w:rsidR="008C6E6C">
            <w:rPr>
              <w:rFonts w:ascii="Arial" w:hAnsi="Arial" w:cs="Arial"/>
              <w:sz w:val="24"/>
              <w:szCs w:val="24"/>
            </w:rPr>
            <w:t xml:space="preserve"> just under 25% which can be classified as low risk by </w:t>
          </w:r>
          <w:r w:rsidR="008C6E6C" w:rsidRPr="008C6E6C">
            <w:rPr>
              <w:rFonts w:ascii="Arial" w:hAnsi="Arial" w:cs="Arial"/>
              <w:sz w:val="24"/>
              <w:szCs w:val="24"/>
            </w:rPr>
            <w:t>financiers and lenders</w:t>
          </w:r>
          <w:r w:rsidR="005407D5">
            <w:rPr>
              <w:rFonts w:ascii="Arial" w:hAnsi="Arial" w:cs="Arial"/>
              <w:sz w:val="24"/>
              <w:szCs w:val="24"/>
            </w:rPr>
            <w:t xml:space="preserve"> (Boyte-White, 2021)</w:t>
          </w:r>
          <w:r w:rsidR="008C6E6C">
            <w:rPr>
              <w:rFonts w:ascii="Arial" w:hAnsi="Arial" w:cs="Arial"/>
              <w:sz w:val="24"/>
              <w:szCs w:val="24"/>
            </w:rPr>
            <w:t>.</w:t>
          </w:r>
          <w:r w:rsidR="00C64D4D">
            <w:rPr>
              <w:rFonts w:ascii="Arial" w:hAnsi="Arial" w:cs="Arial"/>
              <w:sz w:val="24"/>
              <w:szCs w:val="24"/>
            </w:rPr>
            <w:t xml:space="preserve"> </w:t>
          </w:r>
          <w:r w:rsidR="00C64D4D" w:rsidRPr="00C64D4D">
            <w:rPr>
              <w:rFonts w:ascii="Arial" w:hAnsi="Arial" w:cs="Arial"/>
              <w:sz w:val="24"/>
              <w:szCs w:val="24"/>
            </w:rPr>
            <w:t xml:space="preserve">The </w:t>
          </w:r>
          <w:r w:rsidR="00A95783" w:rsidRPr="00C64D4D">
            <w:rPr>
              <w:rFonts w:ascii="Arial" w:hAnsi="Arial" w:cs="Arial"/>
              <w:sz w:val="24"/>
              <w:szCs w:val="24"/>
            </w:rPr>
            <w:t>remarks</w:t>
          </w:r>
          <w:r w:rsidR="00C64D4D" w:rsidRPr="00C64D4D">
            <w:rPr>
              <w:rFonts w:ascii="Arial" w:hAnsi="Arial" w:cs="Arial"/>
              <w:sz w:val="24"/>
              <w:szCs w:val="24"/>
            </w:rPr>
            <w:t xml:space="preserve"> lead to the deduction of two imperatives. Avoid losses first because they worsen the effects of gearing. Second, properly fund growth: either via a rights issue or retained earnings, the stockholders must contribute enough to funding </w:t>
          </w:r>
          <w:r w:rsidR="00C64D4D" w:rsidRPr="00C64D4D">
            <w:rPr>
              <w:rFonts w:ascii="Arial" w:hAnsi="Arial" w:cs="Arial"/>
              <w:sz w:val="24"/>
              <w:szCs w:val="24"/>
            </w:rPr>
            <w:lastRenderedPageBreak/>
            <w:t>growth</w:t>
          </w:r>
          <w:r w:rsidR="00A95783">
            <w:rPr>
              <w:rFonts w:ascii="Arial" w:hAnsi="Arial" w:cs="Arial"/>
              <w:sz w:val="24"/>
              <w:szCs w:val="24"/>
            </w:rPr>
            <w:t xml:space="preserve"> (Fitzgerald, 2002)</w:t>
          </w:r>
          <w:r w:rsidR="00C64D4D" w:rsidRPr="00C64D4D">
            <w:rPr>
              <w:rFonts w:ascii="Arial" w:hAnsi="Arial" w:cs="Arial"/>
              <w:sz w:val="24"/>
              <w:szCs w:val="24"/>
            </w:rPr>
            <w:t>.</w:t>
          </w:r>
          <w:r w:rsidR="000E4447">
            <w:rPr>
              <w:rFonts w:ascii="Arial" w:hAnsi="Arial" w:cs="Arial"/>
              <w:sz w:val="24"/>
              <w:szCs w:val="24"/>
            </w:rPr>
            <w:t xml:space="preserve"> </w:t>
          </w:r>
          <w:r w:rsidR="000E4447" w:rsidRPr="000E4447">
            <w:rPr>
              <w:rFonts w:ascii="Arial" w:hAnsi="Arial" w:cs="Arial"/>
              <w:sz w:val="24"/>
              <w:szCs w:val="24"/>
            </w:rPr>
            <w:t>The gearing ratio could be criticised for being wholly predicated on bank debt.</w:t>
          </w:r>
        </w:p>
        <w:p w14:paraId="166431C1" w14:textId="1CD57223" w:rsidR="00317E9A" w:rsidRDefault="00214C51" w:rsidP="00317E9A">
          <w:pPr>
            <w:spacing w:line="360" w:lineRule="auto"/>
            <w:rPr>
              <w:rFonts w:ascii="Arial" w:hAnsi="Arial" w:cs="Arial"/>
              <w:b/>
              <w:bCs/>
              <w:sz w:val="28"/>
              <w:szCs w:val="28"/>
            </w:rPr>
          </w:pPr>
          <w:r w:rsidRPr="00214C51">
            <w:rPr>
              <w:rFonts w:ascii="Arial" w:hAnsi="Arial" w:cs="Arial"/>
              <w:b/>
              <w:bCs/>
              <w:sz w:val="28"/>
              <w:szCs w:val="28"/>
            </w:rPr>
            <w:t>Knowledge from Ratio Analysis</w:t>
          </w:r>
        </w:p>
        <w:p w14:paraId="77E5F0EA" w14:textId="076F5344" w:rsidR="00957E16" w:rsidRDefault="0090598E" w:rsidP="00957E16">
          <w:pPr>
            <w:spacing w:line="360" w:lineRule="auto"/>
            <w:jc w:val="both"/>
            <w:rPr>
              <w:rFonts w:ascii="Arial" w:hAnsi="Arial" w:cs="Arial"/>
              <w:sz w:val="24"/>
              <w:szCs w:val="24"/>
            </w:rPr>
          </w:pPr>
          <w:r w:rsidRPr="0090598E">
            <w:rPr>
              <w:rFonts w:ascii="Arial" w:hAnsi="Arial" w:cs="Arial"/>
              <w:sz w:val="24"/>
              <w:szCs w:val="24"/>
            </w:rPr>
            <w:t>Ratio analysis is a useful management method that can offer critical indicators of company performance as well as aid in better understanding accounting information and patterns as they evolve.</w:t>
          </w:r>
          <w:r>
            <w:rPr>
              <w:rFonts w:ascii="Arial" w:hAnsi="Arial" w:cs="Arial"/>
              <w:sz w:val="24"/>
              <w:szCs w:val="24"/>
            </w:rPr>
            <w:t xml:space="preserve"> </w:t>
          </w:r>
          <w:r w:rsidR="00214C51" w:rsidRPr="00214C51">
            <w:rPr>
              <w:rFonts w:ascii="Arial" w:hAnsi="Arial" w:cs="Arial"/>
              <w:sz w:val="24"/>
              <w:szCs w:val="24"/>
            </w:rPr>
            <w:t xml:space="preserve">Employing ratio analysis can identify </w:t>
          </w:r>
          <w:r>
            <w:rPr>
              <w:rFonts w:ascii="Arial" w:hAnsi="Arial" w:cs="Arial"/>
              <w:sz w:val="24"/>
              <w:szCs w:val="24"/>
            </w:rPr>
            <w:t>effectiveness</w:t>
          </w:r>
          <w:r w:rsidR="00214C51" w:rsidRPr="00214C51">
            <w:rPr>
              <w:rFonts w:ascii="Arial" w:hAnsi="Arial" w:cs="Arial"/>
              <w:sz w:val="24"/>
              <w:szCs w:val="24"/>
            </w:rPr>
            <w:t xml:space="preserve"> and </w:t>
          </w:r>
          <w:r>
            <w:rPr>
              <w:rFonts w:ascii="Arial" w:hAnsi="Arial" w:cs="Arial"/>
              <w:sz w:val="24"/>
              <w:szCs w:val="24"/>
            </w:rPr>
            <w:t>deficiency</w:t>
          </w:r>
          <w:r w:rsidR="00214C51" w:rsidRPr="00214C51">
            <w:rPr>
              <w:rFonts w:ascii="Arial" w:hAnsi="Arial" w:cs="Arial"/>
              <w:sz w:val="24"/>
              <w:szCs w:val="24"/>
            </w:rPr>
            <w:t xml:space="preserve"> from which to develop strategy and initiatives</w:t>
          </w:r>
          <w:r w:rsidR="001B73A0">
            <w:rPr>
              <w:rFonts w:ascii="Arial" w:hAnsi="Arial" w:cs="Arial"/>
              <w:sz w:val="24"/>
              <w:szCs w:val="24"/>
            </w:rPr>
            <w:t xml:space="preserve"> (Alvarez and </w:t>
          </w:r>
          <w:proofErr w:type="spellStart"/>
          <w:r w:rsidR="001B73A0">
            <w:rPr>
              <w:rFonts w:ascii="Arial" w:hAnsi="Arial" w:cs="Arial"/>
              <w:sz w:val="24"/>
              <w:szCs w:val="24"/>
            </w:rPr>
            <w:t>Fridson</w:t>
          </w:r>
          <w:proofErr w:type="spellEnd"/>
          <w:r w:rsidR="001B73A0">
            <w:rPr>
              <w:rFonts w:ascii="Arial" w:hAnsi="Arial" w:cs="Arial"/>
              <w:sz w:val="24"/>
              <w:szCs w:val="24"/>
            </w:rPr>
            <w:t>, 2011)</w:t>
          </w:r>
          <w:r w:rsidR="00214C51" w:rsidRPr="00214C51">
            <w:rPr>
              <w:rFonts w:ascii="Arial" w:hAnsi="Arial" w:cs="Arial"/>
              <w:sz w:val="24"/>
              <w:szCs w:val="24"/>
            </w:rPr>
            <w:t>.</w:t>
          </w:r>
          <w:r w:rsidR="00187268">
            <w:rPr>
              <w:rFonts w:ascii="Arial" w:hAnsi="Arial" w:cs="Arial"/>
              <w:sz w:val="24"/>
              <w:szCs w:val="24"/>
            </w:rPr>
            <w:t xml:space="preserve"> </w:t>
          </w:r>
          <w:r w:rsidR="00CD59DF">
            <w:rPr>
              <w:rFonts w:ascii="Arial" w:hAnsi="Arial" w:cs="Arial"/>
              <w:sz w:val="24"/>
              <w:szCs w:val="24"/>
            </w:rPr>
            <w:t>T</w:t>
          </w:r>
          <w:r w:rsidR="00187268">
            <w:rPr>
              <w:rFonts w:ascii="Arial" w:hAnsi="Arial" w:cs="Arial"/>
              <w:sz w:val="24"/>
              <w:szCs w:val="24"/>
            </w:rPr>
            <w:t>he above analysis</w:t>
          </w:r>
          <w:r w:rsidR="00CD59DF">
            <w:rPr>
              <w:rFonts w:ascii="Arial" w:hAnsi="Arial" w:cs="Arial"/>
              <w:sz w:val="24"/>
              <w:szCs w:val="24"/>
            </w:rPr>
            <w:t xml:space="preserve"> indicates that the business had low earnings and high expenditures in the year 2020 compared to 2021. Return on equity shows that Marriott has owned more in 2021</w:t>
          </w:r>
          <w:r w:rsidR="00A766EA">
            <w:rPr>
              <w:rFonts w:ascii="Arial" w:hAnsi="Arial" w:cs="Arial"/>
              <w:sz w:val="24"/>
              <w:szCs w:val="24"/>
            </w:rPr>
            <w:t>,</w:t>
          </w:r>
          <w:r w:rsidR="00CD59DF">
            <w:rPr>
              <w:rFonts w:ascii="Arial" w:hAnsi="Arial" w:cs="Arial"/>
              <w:sz w:val="24"/>
              <w:szCs w:val="24"/>
            </w:rPr>
            <w:t xml:space="preserve"> than it has in 2020 when </w:t>
          </w:r>
          <w:r w:rsidR="00A766EA">
            <w:rPr>
              <w:rFonts w:ascii="Arial" w:hAnsi="Arial" w:cs="Arial"/>
              <w:sz w:val="24"/>
              <w:szCs w:val="24"/>
            </w:rPr>
            <w:t xml:space="preserve">the </w:t>
          </w:r>
          <w:r w:rsidR="00CD59DF">
            <w:rPr>
              <w:rFonts w:ascii="Arial" w:hAnsi="Arial" w:cs="Arial"/>
              <w:sz w:val="24"/>
              <w:szCs w:val="24"/>
            </w:rPr>
            <w:t xml:space="preserve">debts </w:t>
          </w:r>
          <w:r w:rsidR="00A766EA">
            <w:rPr>
              <w:rFonts w:ascii="Arial" w:hAnsi="Arial" w:cs="Arial"/>
              <w:sz w:val="24"/>
              <w:szCs w:val="24"/>
            </w:rPr>
            <w:t>were higher. The analysis of the year 2021 show a positive return of the business, converting sales more efficiently into profit and producing more income. It reveals that the main weakness in 2020 was the low sales, which means that the company has not made enough profit to cover the</w:t>
          </w:r>
          <w:r w:rsidR="00B85ECE">
            <w:rPr>
              <w:rFonts w:ascii="Arial" w:hAnsi="Arial" w:cs="Arial"/>
              <w:sz w:val="24"/>
              <w:szCs w:val="24"/>
            </w:rPr>
            <w:t xml:space="preserve"> long term</w:t>
          </w:r>
          <w:r w:rsidR="00A766EA">
            <w:rPr>
              <w:rFonts w:ascii="Arial" w:hAnsi="Arial" w:cs="Arial"/>
              <w:sz w:val="24"/>
              <w:szCs w:val="24"/>
            </w:rPr>
            <w:t xml:space="preserve"> costs involved in running the business. </w:t>
          </w:r>
          <w:r w:rsidR="00B85ECE">
            <w:rPr>
              <w:rFonts w:ascii="Arial" w:hAnsi="Arial" w:cs="Arial"/>
              <w:sz w:val="24"/>
              <w:szCs w:val="24"/>
            </w:rPr>
            <w:t xml:space="preserve">This has slightly changed in 2021 when the sales converted into profit increased and the company had more revenue to pay its debts, increasing the equity available for funding. </w:t>
          </w:r>
          <w:r w:rsidR="00B55B0B">
            <w:rPr>
              <w:rFonts w:ascii="Arial" w:hAnsi="Arial" w:cs="Arial"/>
              <w:sz w:val="24"/>
              <w:szCs w:val="24"/>
            </w:rPr>
            <w:t xml:space="preserve">While analysing the information from the company’s statements are useful in finding the flaws of the business, it does have limitations. </w:t>
          </w:r>
          <w:r w:rsidR="00CF05BD">
            <w:rPr>
              <w:rFonts w:ascii="Arial" w:hAnsi="Arial" w:cs="Arial"/>
              <w:sz w:val="24"/>
              <w:szCs w:val="24"/>
            </w:rPr>
            <w:t xml:space="preserve">For example, </w:t>
          </w:r>
          <w:r w:rsidR="004E4F77">
            <w:rPr>
              <w:rFonts w:ascii="Arial" w:hAnsi="Arial" w:cs="Arial"/>
              <w:sz w:val="24"/>
              <w:szCs w:val="24"/>
            </w:rPr>
            <w:t>t</w:t>
          </w:r>
          <w:r w:rsidR="004E4F77" w:rsidRPr="004E4F77">
            <w:rPr>
              <w:rFonts w:ascii="Arial" w:hAnsi="Arial" w:cs="Arial"/>
              <w:sz w:val="24"/>
              <w:szCs w:val="24"/>
            </w:rPr>
            <w:t>he data used in the analysis is derived from the actual historical results that the organisation has released. As a result, prospective business performance is not always successfully predicted by ratio analysis measures.</w:t>
          </w:r>
          <w:r w:rsidR="004E4F77" w:rsidRPr="004E4F77">
            <w:rPr>
              <w:rFonts w:ascii="Arial" w:hAnsi="Arial" w:cs="Arial"/>
              <w:sz w:val="24"/>
              <w:szCs w:val="24"/>
            </w:rPr>
            <w:t xml:space="preserve"> </w:t>
          </w:r>
          <w:r w:rsidR="00CF05BD">
            <w:rPr>
              <w:rFonts w:ascii="Arial" w:hAnsi="Arial" w:cs="Arial"/>
              <w:sz w:val="24"/>
              <w:szCs w:val="24"/>
            </w:rPr>
            <w:t>(CFI Team, 2022b)</w:t>
          </w:r>
          <w:r w:rsidR="00CF05BD" w:rsidRPr="00CF05BD">
            <w:rPr>
              <w:rFonts w:ascii="Arial" w:hAnsi="Arial" w:cs="Arial"/>
              <w:sz w:val="24"/>
              <w:szCs w:val="24"/>
            </w:rPr>
            <w:t>.</w:t>
          </w:r>
          <w:r w:rsidR="006E168F">
            <w:rPr>
              <w:rFonts w:ascii="Arial" w:hAnsi="Arial" w:cs="Arial"/>
              <w:sz w:val="24"/>
              <w:szCs w:val="24"/>
            </w:rPr>
            <w:t xml:space="preserve"> </w:t>
          </w:r>
          <w:r w:rsidR="007A2980">
            <w:rPr>
              <w:rFonts w:ascii="Arial" w:hAnsi="Arial" w:cs="Arial"/>
              <w:sz w:val="24"/>
              <w:szCs w:val="24"/>
            </w:rPr>
            <w:t xml:space="preserve">Looking at the analysis of 2020 the result </w:t>
          </w:r>
          <w:r w:rsidR="00957E16">
            <w:rPr>
              <w:rFonts w:ascii="Arial" w:hAnsi="Arial" w:cs="Arial"/>
              <w:sz w:val="24"/>
              <w:szCs w:val="24"/>
            </w:rPr>
            <w:t>indicated</w:t>
          </w:r>
          <w:r w:rsidR="007A2980">
            <w:rPr>
              <w:rFonts w:ascii="Arial" w:hAnsi="Arial" w:cs="Arial"/>
              <w:sz w:val="24"/>
              <w:szCs w:val="24"/>
            </w:rPr>
            <w:t xml:space="preserve"> that the company was on the brick of going concern (Kenton, 2021). </w:t>
          </w:r>
          <w:r w:rsidR="00957E16">
            <w:rPr>
              <w:rFonts w:ascii="Arial" w:hAnsi="Arial" w:cs="Arial"/>
              <w:sz w:val="24"/>
              <w:szCs w:val="24"/>
            </w:rPr>
            <w:t>However,</w:t>
          </w:r>
          <w:r w:rsidR="00823334">
            <w:rPr>
              <w:rFonts w:ascii="Arial" w:hAnsi="Arial" w:cs="Arial"/>
              <w:sz w:val="24"/>
              <w:szCs w:val="24"/>
            </w:rPr>
            <w:t xml:space="preserve"> the analysis of 2021 </w:t>
          </w:r>
          <w:r w:rsidR="00957E16">
            <w:rPr>
              <w:rFonts w:ascii="Arial" w:hAnsi="Arial" w:cs="Arial"/>
              <w:sz w:val="24"/>
              <w:szCs w:val="24"/>
            </w:rPr>
            <w:t>demonstrates</w:t>
          </w:r>
          <w:r w:rsidR="00823334">
            <w:rPr>
              <w:rFonts w:ascii="Arial" w:hAnsi="Arial" w:cs="Arial"/>
              <w:sz w:val="24"/>
              <w:szCs w:val="24"/>
            </w:rPr>
            <w:t xml:space="preserve"> </w:t>
          </w:r>
          <w:r w:rsidR="00957E16">
            <w:rPr>
              <w:rFonts w:ascii="Arial" w:hAnsi="Arial" w:cs="Arial"/>
              <w:sz w:val="24"/>
              <w:szCs w:val="24"/>
            </w:rPr>
            <w:t xml:space="preserve">a </w:t>
          </w:r>
          <w:r w:rsidR="00957E16" w:rsidRPr="00957E16">
            <w:rPr>
              <w:rFonts w:ascii="Arial" w:hAnsi="Arial" w:cs="Arial"/>
              <w:sz w:val="24"/>
              <w:szCs w:val="24"/>
              <w:shd w:val="clear" w:color="auto" w:fill="FFFFFF"/>
            </w:rPr>
            <w:t>contradiction</w:t>
          </w:r>
          <w:r w:rsidR="00957E16">
            <w:rPr>
              <w:rFonts w:ascii="Arial" w:hAnsi="Arial" w:cs="Arial"/>
              <w:sz w:val="24"/>
              <w:szCs w:val="24"/>
            </w:rPr>
            <w:t>.</w:t>
          </w:r>
          <w:r w:rsidR="00823334">
            <w:rPr>
              <w:rFonts w:ascii="Arial" w:hAnsi="Arial" w:cs="Arial"/>
              <w:sz w:val="24"/>
              <w:szCs w:val="24"/>
            </w:rPr>
            <w:t xml:space="preserve"> </w:t>
          </w:r>
          <w:r w:rsidR="009E3109">
            <w:rPr>
              <w:rFonts w:ascii="Arial" w:hAnsi="Arial" w:cs="Arial"/>
              <w:sz w:val="24"/>
              <w:szCs w:val="24"/>
            </w:rPr>
            <w:t xml:space="preserve">Another limit can be the modification in any aspect of the company’s operation, this can be </w:t>
          </w:r>
          <w:r w:rsidR="009E3109" w:rsidRPr="009E3109">
            <w:rPr>
              <w:rFonts w:ascii="Arial" w:hAnsi="Arial" w:cs="Arial"/>
              <w:sz w:val="24"/>
              <w:szCs w:val="24"/>
            </w:rPr>
            <w:t xml:space="preserve">from its </w:t>
          </w:r>
          <w:r w:rsidR="0062489C" w:rsidRPr="0062489C">
            <w:rPr>
              <w:rFonts w:ascii="Arial" w:hAnsi="Arial" w:cs="Arial"/>
              <w:sz w:val="24"/>
              <w:szCs w:val="24"/>
            </w:rPr>
            <w:t>supply chain management</w:t>
          </w:r>
          <w:r w:rsidR="009E3109" w:rsidRPr="009E3109">
            <w:rPr>
              <w:rFonts w:ascii="Arial" w:hAnsi="Arial" w:cs="Arial"/>
              <w:sz w:val="24"/>
              <w:szCs w:val="24"/>
            </w:rPr>
            <w:t xml:space="preserve"> to the product it sells</w:t>
          </w:r>
          <w:r w:rsidR="009E3109">
            <w:rPr>
              <w:rFonts w:ascii="Arial" w:hAnsi="Arial" w:cs="Arial"/>
              <w:sz w:val="24"/>
              <w:szCs w:val="24"/>
            </w:rPr>
            <w:t xml:space="preserve">. </w:t>
          </w:r>
          <w:r w:rsidR="0062489C" w:rsidRPr="0062489C">
            <w:rPr>
              <w:rFonts w:ascii="Arial" w:hAnsi="Arial" w:cs="Arial"/>
              <w:sz w:val="24"/>
              <w:szCs w:val="24"/>
            </w:rPr>
            <w:t>This is because comparing financial indicators prior to and following major operational changes can lead to erroneous assessments of the firm's earnings and prospects.</w:t>
          </w:r>
          <w:r w:rsidR="0062489C" w:rsidRPr="0062489C">
            <w:rPr>
              <w:rFonts w:ascii="Arial" w:hAnsi="Arial" w:cs="Arial"/>
              <w:sz w:val="24"/>
              <w:szCs w:val="24"/>
            </w:rPr>
            <w:t xml:space="preserve"> </w:t>
          </w:r>
          <w:r w:rsidR="00610396">
            <w:rPr>
              <w:rFonts w:ascii="Arial" w:hAnsi="Arial" w:cs="Arial"/>
              <w:sz w:val="24"/>
              <w:szCs w:val="24"/>
            </w:rPr>
            <w:t>(Accounting Tools, 2022</w:t>
          </w:r>
          <w:r w:rsidR="003E79A6">
            <w:rPr>
              <w:rFonts w:ascii="Arial" w:hAnsi="Arial" w:cs="Arial"/>
              <w:sz w:val="24"/>
              <w:szCs w:val="24"/>
            </w:rPr>
            <w:t>a</w:t>
          </w:r>
          <w:r w:rsidR="00610396">
            <w:rPr>
              <w:rFonts w:ascii="Arial" w:hAnsi="Arial" w:cs="Arial"/>
              <w:sz w:val="24"/>
              <w:szCs w:val="24"/>
            </w:rPr>
            <w:t>)</w:t>
          </w:r>
          <w:r w:rsidR="009E3109" w:rsidRPr="009E3109">
            <w:rPr>
              <w:rFonts w:ascii="Arial" w:hAnsi="Arial" w:cs="Arial"/>
              <w:sz w:val="24"/>
              <w:szCs w:val="24"/>
            </w:rPr>
            <w:t>.</w:t>
          </w:r>
          <w:r w:rsidR="009B3C53">
            <w:rPr>
              <w:rFonts w:ascii="Arial" w:hAnsi="Arial" w:cs="Arial"/>
              <w:sz w:val="24"/>
              <w:szCs w:val="24"/>
            </w:rPr>
            <w:t xml:space="preserve"> </w:t>
          </w:r>
          <w:r w:rsidR="009B3C53" w:rsidRPr="009B3C53">
            <w:rPr>
              <w:rFonts w:ascii="Arial" w:hAnsi="Arial" w:cs="Arial"/>
              <w:sz w:val="24"/>
              <w:szCs w:val="24"/>
            </w:rPr>
            <w:t>Even though the purpose of financial ratios is to offer a perspective on both the present and future situation, most of the information gathered to create them comes from the past</w:t>
          </w:r>
          <w:r w:rsidR="006C5EF0">
            <w:rPr>
              <w:rFonts w:ascii="Arial" w:hAnsi="Arial" w:cs="Arial"/>
              <w:sz w:val="24"/>
              <w:szCs w:val="24"/>
            </w:rPr>
            <w:t xml:space="preserve"> (</w:t>
          </w:r>
          <w:r w:rsidR="009B3C53" w:rsidRPr="009B3C53">
            <w:rPr>
              <w:rFonts w:ascii="Arial" w:hAnsi="Arial" w:cs="Arial"/>
              <w:sz w:val="24"/>
              <w:szCs w:val="24"/>
            </w:rPr>
            <w:t>. For instance, the values of debt and equity are used from the most recent balance sheet when calculating the debt-to-equity ratio. Before the projection of the future ratio is created, the value of the current debt and equity may have changed in the interim</w:t>
          </w:r>
          <w:r w:rsidR="009B3C53">
            <w:rPr>
              <w:rFonts w:ascii="Arial" w:hAnsi="Arial" w:cs="Arial"/>
              <w:sz w:val="24"/>
              <w:szCs w:val="24"/>
            </w:rPr>
            <w:t xml:space="preserve"> (</w:t>
          </w:r>
          <w:r w:rsidR="00BC70E8">
            <w:rPr>
              <w:rFonts w:ascii="Arial" w:hAnsi="Arial" w:cs="Arial"/>
              <w:sz w:val="24"/>
              <w:szCs w:val="24"/>
            </w:rPr>
            <w:t>Banerjee, 2022)</w:t>
          </w:r>
          <w:r w:rsidR="009B3C53" w:rsidRPr="009B3C53">
            <w:rPr>
              <w:rFonts w:ascii="Arial" w:hAnsi="Arial" w:cs="Arial"/>
              <w:sz w:val="24"/>
              <w:szCs w:val="24"/>
            </w:rPr>
            <w:t>.</w:t>
          </w:r>
        </w:p>
        <w:p w14:paraId="4F7317BF" w14:textId="77777777" w:rsidR="003B5E35" w:rsidRPr="00957E16" w:rsidRDefault="003B5E35" w:rsidP="00957E16">
          <w:pPr>
            <w:spacing w:line="360" w:lineRule="auto"/>
            <w:jc w:val="both"/>
            <w:rPr>
              <w:rFonts w:ascii="Arial" w:hAnsi="Arial" w:cs="Arial"/>
              <w:sz w:val="24"/>
              <w:szCs w:val="24"/>
            </w:rPr>
          </w:pPr>
        </w:p>
        <w:p w14:paraId="4BD93438" w14:textId="0B15A068" w:rsidR="00957E16" w:rsidRPr="00317E9A" w:rsidRDefault="00957E16" w:rsidP="00AA2A91">
          <w:pPr>
            <w:rPr>
              <w:rFonts w:ascii="Arial" w:hAnsi="Arial" w:cs="Arial"/>
              <w:b/>
              <w:bCs/>
              <w:sz w:val="28"/>
              <w:szCs w:val="28"/>
            </w:rPr>
          </w:pPr>
          <w:r w:rsidRPr="00957E16">
            <w:rPr>
              <w:rFonts w:ascii="Arial" w:hAnsi="Arial" w:cs="Arial"/>
              <w:b/>
              <w:bCs/>
              <w:sz w:val="28"/>
              <w:szCs w:val="28"/>
            </w:rPr>
            <w:t>Benefits and Limitation of Ratio Analysis</w:t>
          </w:r>
        </w:p>
        <w:p w14:paraId="3EE87C95" w14:textId="2A7E0599" w:rsidR="004D519C" w:rsidRPr="00753129" w:rsidRDefault="006C5EF0" w:rsidP="00753129">
          <w:pPr>
            <w:spacing w:line="360" w:lineRule="auto"/>
            <w:jc w:val="both"/>
            <w:rPr>
              <w:rFonts w:ascii="Arial" w:hAnsi="Arial" w:cs="Arial"/>
              <w:sz w:val="24"/>
              <w:szCs w:val="24"/>
            </w:rPr>
          </w:pPr>
          <w:r w:rsidRPr="006C5EF0">
            <w:rPr>
              <w:rFonts w:ascii="Arial" w:hAnsi="Arial" w:cs="Arial"/>
              <w:sz w:val="24"/>
              <w:szCs w:val="24"/>
            </w:rPr>
            <w:t xml:space="preserve">Ratio analysis is crucial for comprehending Marriott's capacity for profit. Whilst gross margin and operating margin ratios illustrate Marriott's capacity to create profits from sales and operational effectiveness, return on asset and return on equity ratios reflect how much money Marriott </w:t>
          </w:r>
          <w:r w:rsidR="00E206B3" w:rsidRPr="006C5EF0">
            <w:rPr>
              <w:rFonts w:ascii="Arial" w:hAnsi="Arial" w:cs="Arial"/>
              <w:sz w:val="24"/>
              <w:szCs w:val="24"/>
            </w:rPr>
            <w:t>can create</w:t>
          </w:r>
          <w:r w:rsidRPr="006C5EF0">
            <w:rPr>
              <w:rFonts w:ascii="Arial" w:hAnsi="Arial" w:cs="Arial"/>
              <w:sz w:val="24"/>
              <w:szCs w:val="24"/>
            </w:rPr>
            <w:t xml:space="preserve"> over the firm's assets and stock funds in the business.</w:t>
          </w:r>
          <w:r w:rsidR="00E206B3">
            <w:rPr>
              <w:rFonts w:ascii="Arial" w:hAnsi="Arial" w:cs="Arial"/>
              <w:sz w:val="24"/>
              <w:szCs w:val="24"/>
            </w:rPr>
            <w:t xml:space="preserve"> </w:t>
          </w:r>
          <w:r w:rsidR="00E206B3" w:rsidRPr="00E206B3">
            <w:rPr>
              <w:rFonts w:ascii="Arial" w:hAnsi="Arial" w:cs="Arial"/>
              <w:sz w:val="24"/>
              <w:szCs w:val="24"/>
            </w:rPr>
            <w:t xml:space="preserve">Four tiers of profit can be used to represent margin. </w:t>
          </w:r>
          <w:r w:rsidR="00E206B3">
            <w:rPr>
              <w:rFonts w:ascii="Arial" w:hAnsi="Arial" w:cs="Arial"/>
              <w:sz w:val="24"/>
              <w:szCs w:val="24"/>
            </w:rPr>
            <w:t>Y</w:t>
          </w:r>
          <w:r w:rsidR="00E206B3" w:rsidRPr="00E206B3">
            <w:rPr>
              <w:rFonts w:ascii="Arial" w:hAnsi="Arial" w:cs="Arial"/>
              <w:sz w:val="24"/>
              <w:szCs w:val="24"/>
            </w:rPr>
            <w:t>et </w:t>
          </w:r>
          <w:r w:rsidR="00E206B3">
            <w:rPr>
              <w:rFonts w:ascii="Arial" w:hAnsi="Arial" w:cs="Arial"/>
              <w:sz w:val="24"/>
              <w:szCs w:val="24"/>
            </w:rPr>
            <w:t>n</w:t>
          </w:r>
          <w:r w:rsidR="00E206B3" w:rsidRPr="00E206B3">
            <w:rPr>
              <w:rFonts w:ascii="Arial" w:hAnsi="Arial" w:cs="Arial"/>
              <w:sz w:val="24"/>
              <w:szCs w:val="24"/>
            </w:rPr>
            <w:t>one of these fully conveys the narrative. Because of this, Return on Investment and Return on Equity are the greatest metrics for determining profitability</w:t>
          </w:r>
          <w:r w:rsidR="00E206B3">
            <w:rPr>
              <w:rFonts w:ascii="Arial" w:hAnsi="Arial" w:cs="Arial"/>
              <w:sz w:val="24"/>
              <w:szCs w:val="24"/>
            </w:rPr>
            <w:t xml:space="preserve">. </w:t>
          </w:r>
          <w:r w:rsidR="00E206B3" w:rsidRPr="00E206B3">
            <w:rPr>
              <w:rFonts w:ascii="Arial" w:hAnsi="Arial" w:cs="Arial"/>
              <w:sz w:val="24"/>
              <w:szCs w:val="24"/>
            </w:rPr>
            <w:t>The gross margin might vary dramatically within the industry. For instance, certain items on a line contribute higher margins than others.</w:t>
          </w:r>
          <w:r w:rsidR="00E206B3">
            <w:rPr>
              <w:rFonts w:ascii="Arial" w:hAnsi="Arial" w:cs="Arial"/>
              <w:sz w:val="24"/>
              <w:szCs w:val="24"/>
            </w:rPr>
            <w:t xml:space="preserve"> </w:t>
          </w:r>
          <w:r w:rsidR="003B6C1B" w:rsidRPr="003B6C1B">
            <w:rPr>
              <w:rFonts w:ascii="Arial" w:hAnsi="Arial" w:cs="Arial"/>
              <w:sz w:val="24"/>
              <w:szCs w:val="24"/>
            </w:rPr>
            <w:t>The most effective method of analysing profitability is return on investment. The operating profit is contrasted with the total assets employed by the company</w:t>
          </w:r>
          <w:r w:rsidR="003B6C1B">
            <w:rPr>
              <w:rFonts w:ascii="Arial" w:hAnsi="Arial" w:cs="Arial"/>
              <w:sz w:val="24"/>
              <w:szCs w:val="24"/>
            </w:rPr>
            <w:t xml:space="preserve">. </w:t>
          </w:r>
          <w:r w:rsidR="003B6C1B" w:rsidRPr="003B6C1B">
            <w:rPr>
              <w:rFonts w:ascii="Arial" w:hAnsi="Arial" w:cs="Arial"/>
              <w:sz w:val="24"/>
              <w:szCs w:val="24"/>
            </w:rPr>
            <w:t xml:space="preserve">By asking questions, this comparison helps to discover two main components of management effectiveness. How good Marriott is at extracting profit from sales </w:t>
          </w:r>
          <w:r w:rsidR="009C54E0" w:rsidRPr="003B6C1B">
            <w:rPr>
              <w:rFonts w:ascii="Arial" w:hAnsi="Arial" w:cs="Arial"/>
              <w:sz w:val="24"/>
              <w:szCs w:val="24"/>
            </w:rPr>
            <w:t>and how</w:t>
          </w:r>
          <w:r w:rsidR="003B6C1B" w:rsidRPr="003B6C1B">
            <w:rPr>
              <w:rFonts w:ascii="Arial" w:hAnsi="Arial" w:cs="Arial"/>
              <w:sz w:val="24"/>
              <w:szCs w:val="24"/>
            </w:rPr>
            <w:t xml:space="preserve"> </w:t>
          </w:r>
          <w:r w:rsidR="009C54E0" w:rsidRPr="003B6C1B">
            <w:rPr>
              <w:rFonts w:ascii="Arial" w:hAnsi="Arial" w:cs="Arial"/>
              <w:sz w:val="24"/>
              <w:szCs w:val="24"/>
            </w:rPr>
            <w:t>effective Marriott</w:t>
          </w:r>
          <w:r w:rsidR="003B6C1B" w:rsidRPr="003B6C1B">
            <w:rPr>
              <w:rFonts w:ascii="Arial" w:hAnsi="Arial" w:cs="Arial"/>
              <w:sz w:val="24"/>
              <w:szCs w:val="24"/>
            </w:rPr>
            <w:t xml:space="preserve"> is at selling assets</w:t>
          </w:r>
          <w:r w:rsidR="003B6C1B">
            <w:rPr>
              <w:rFonts w:ascii="Arial" w:hAnsi="Arial" w:cs="Arial"/>
              <w:sz w:val="24"/>
              <w:szCs w:val="24"/>
            </w:rPr>
            <w:t xml:space="preserve">. </w:t>
          </w:r>
          <w:r w:rsidR="009C54E0">
            <w:rPr>
              <w:rFonts w:ascii="Arial" w:hAnsi="Arial" w:cs="Arial"/>
              <w:sz w:val="24"/>
              <w:szCs w:val="24"/>
            </w:rPr>
            <w:t xml:space="preserve">Although Ratios are good at analysing the managerial efficiency of the business, sometimes data can be influenced by external and unpredictable factors. For examples it is most likely that Marriott has been managed efficiently in 2020 however due to lockdown there was insufficient sales to convert into profit. </w:t>
          </w:r>
        </w:p>
        <w:p w14:paraId="321A2B5B" w14:textId="77777777" w:rsidR="00317E9A" w:rsidRDefault="00317E9A" w:rsidP="004D519C">
          <w:pPr>
            <w:rPr>
              <w:rFonts w:ascii="Arial" w:hAnsi="Arial" w:cs="Arial"/>
              <w:b/>
              <w:bCs/>
              <w:sz w:val="28"/>
              <w:szCs w:val="28"/>
            </w:rPr>
          </w:pPr>
        </w:p>
        <w:p w14:paraId="74963A99" w14:textId="1950ABA4" w:rsidR="009775B7" w:rsidRPr="008F0DF0" w:rsidRDefault="009775B7" w:rsidP="009B29BA">
          <w:pPr>
            <w:spacing w:line="360" w:lineRule="auto"/>
            <w:rPr>
              <w:rFonts w:ascii="Arial" w:hAnsi="Arial" w:cs="Arial"/>
              <w:b/>
              <w:bCs/>
              <w:sz w:val="28"/>
              <w:szCs w:val="28"/>
            </w:rPr>
          </w:pPr>
          <w:r>
            <w:rPr>
              <w:rFonts w:ascii="Arial" w:hAnsi="Arial" w:cs="Arial"/>
              <w:b/>
              <w:bCs/>
              <w:sz w:val="28"/>
              <w:szCs w:val="28"/>
            </w:rPr>
            <w:t>Conclusion</w:t>
          </w:r>
        </w:p>
        <w:p w14:paraId="2FD8CD19" w14:textId="77777777" w:rsidR="009B29BA" w:rsidRDefault="00C46CAD" w:rsidP="009B29BA">
          <w:pPr>
            <w:spacing w:line="360" w:lineRule="auto"/>
            <w:jc w:val="both"/>
            <w:rPr>
              <w:rFonts w:ascii="Arial" w:hAnsi="Arial" w:cs="Arial"/>
              <w:sz w:val="24"/>
              <w:szCs w:val="24"/>
            </w:rPr>
          </w:pPr>
          <w:r w:rsidRPr="00C46CAD">
            <w:rPr>
              <w:rFonts w:ascii="Arial" w:hAnsi="Arial" w:cs="Arial"/>
              <w:sz w:val="24"/>
              <w:szCs w:val="24"/>
            </w:rPr>
            <w:t xml:space="preserve">As </w:t>
          </w:r>
          <w:r>
            <w:rPr>
              <w:rFonts w:ascii="Arial" w:hAnsi="Arial" w:cs="Arial"/>
              <w:sz w:val="24"/>
              <w:szCs w:val="24"/>
            </w:rPr>
            <w:t xml:space="preserve">have been demonstrated, Merriott’s financial statement indicate that the business has </w:t>
          </w:r>
          <w:r w:rsidRPr="00C46CAD">
            <w:rPr>
              <w:rFonts w:ascii="Arial" w:hAnsi="Arial" w:cs="Arial"/>
              <w:sz w:val="24"/>
              <w:szCs w:val="24"/>
            </w:rPr>
            <w:t>suffered through financial hardship</w:t>
          </w:r>
          <w:r>
            <w:rPr>
              <w:rFonts w:ascii="Arial" w:hAnsi="Arial" w:cs="Arial"/>
              <w:sz w:val="24"/>
              <w:szCs w:val="24"/>
            </w:rPr>
            <w:t xml:space="preserve"> in the year 2020</w:t>
          </w:r>
          <w:r w:rsidRPr="00C46CAD">
            <w:rPr>
              <w:rFonts w:ascii="Arial" w:hAnsi="Arial" w:cs="Arial"/>
              <w:sz w:val="24"/>
              <w:szCs w:val="24"/>
            </w:rPr>
            <w:t>, which mean</w:t>
          </w:r>
          <w:r>
            <w:rPr>
              <w:rFonts w:ascii="Arial" w:hAnsi="Arial" w:cs="Arial"/>
              <w:sz w:val="24"/>
              <w:szCs w:val="24"/>
            </w:rPr>
            <w:t>s</w:t>
          </w:r>
          <w:r w:rsidRPr="00C46CAD">
            <w:rPr>
              <w:rFonts w:ascii="Arial" w:hAnsi="Arial" w:cs="Arial"/>
              <w:sz w:val="24"/>
              <w:szCs w:val="24"/>
            </w:rPr>
            <w:t xml:space="preserve"> that the company was unable to earn enough revenue or income to fulfil or pay its financial commitments.</w:t>
          </w:r>
          <w:r>
            <w:rPr>
              <w:rFonts w:ascii="Arial" w:hAnsi="Arial" w:cs="Arial"/>
              <w:sz w:val="24"/>
              <w:szCs w:val="24"/>
            </w:rPr>
            <w:t xml:space="preserve"> This most likely was caused by the travel restriction and thus decrease in the number customers</w:t>
          </w:r>
          <w:r w:rsidR="00CA03A7">
            <w:rPr>
              <w:rFonts w:ascii="Arial" w:hAnsi="Arial" w:cs="Arial"/>
              <w:sz w:val="24"/>
              <w:szCs w:val="24"/>
            </w:rPr>
            <w:t xml:space="preserve">. The data in the subsequent year indicate a financial improvement, although with just a slight increase of profit. Because the analysis trend is  historical and only shows data from two years it is difficult to determine how the company is at the present and how it will manage financially in the future. </w:t>
          </w:r>
          <w:r w:rsidR="003E79A6">
            <w:rPr>
              <w:rFonts w:ascii="Arial" w:hAnsi="Arial" w:cs="Arial"/>
              <w:sz w:val="24"/>
              <w:szCs w:val="24"/>
            </w:rPr>
            <w:t>Additionally,</w:t>
          </w:r>
          <w:r w:rsidR="00CE04A9">
            <w:rPr>
              <w:rFonts w:ascii="Arial" w:hAnsi="Arial" w:cs="Arial"/>
              <w:sz w:val="24"/>
              <w:szCs w:val="24"/>
            </w:rPr>
            <w:t xml:space="preserve"> the financial analysis does not indicate the external factors that may have impacted Marriott during the two years, therefore the above analysis may be irrelevant to the forthcoming years.</w:t>
          </w:r>
        </w:p>
        <w:p w14:paraId="33592E53" w14:textId="1BEB6044" w:rsidR="00A27C5B" w:rsidRPr="009B29BA" w:rsidRDefault="00A27C5B" w:rsidP="009B29BA">
          <w:pPr>
            <w:spacing w:line="360" w:lineRule="auto"/>
            <w:jc w:val="both"/>
            <w:rPr>
              <w:rFonts w:ascii="Arial" w:hAnsi="Arial" w:cs="Arial"/>
              <w:sz w:val="24"/>
              <w:szCs w:val="24"/>
            </w:rPr>
          </w:pPr>
          <w:r>
            <w:rPr>
              <w:rFonts w:ascii="Arial" w:hAnsi="Arial" w:cs="Arial"/>
              <w:b/>
              <w:bCs/>
              <w:sz w:val="28"/>
              <w:szCs w:val="28"/>
            </w:rPr>
            <w:lastRenderedPageBreak/>
            <w:t>References</w:t>
          </w:r>
        </w:p>
        <w:p w14:paraId="04D72165" w14:textId="100C0FDE" w:rsidR="00610396" w:rsidRDefault="00610396">
          <w:pPr>
            <w:rPr>
              <w:rFonts w:ascii="Arial" w:hAnsi="Arial" w:cs="Arial"/>
              <w:sz w:val="24"/>
              <w:szCs w:val="24"/>
            </w:rPr>
          </w:pPr>
          <w:r>
            <w:rPr>
              <w:rFonts w:ascii="Arial" w:hAnsi="Arial" w:cs="Arial"/>
              <w:sz w:val="24"/>
              <w:szCs w:val="24"/>
            </w:rPr>
            <w:t>Accounting Tools (2022</w:t>
          </w:r>
          <w:r w:rsidR="0056229A">
            <w:rPr>
              <w:rFonts w:ascii="Arial" w:hAnsi="Arial" w:cs="Arial"/>
              <w:sz w:val="24"/>
              <w:szCs w:val="24"/>
            </w:rPr>
            <w:t>a</w:t>
          </w:r>
          <w:r>
            <w:rPr>
              <w:rFonts w:ascii="Arial" w:hAnsi="Arial" w:cs="Arial"/>
              <w:sz w:val="24"/>
              <w:szCs w:val="24"/>
            </w:rPr>
            <w:t xml:space="preserve">) </w:t>
          </w:r>
          <w:r>
            <w:rPr>
              <w:rFonts w:ascii="Arial" w:hAnsi="Arial" w:cs="Arial"/>
              <w:i/>
              <w:iCs/>
              <w:sz w:val="24"/>
              <w:szCs w:val="24"/>
            </w:rPr>
            <w:t xml:space="preserve">Limitation of ratio analysis. </w:t>
          </w:r>
          <w:r>
            <w:rPr>
              <w:rFonts w:ascii="Arial" w:hAnsi="Arial" w:cs="Arial"/>
              <w:sz w:val="24"/>
              <w:szCs w:val="24"/>
            </w:rPr>
            <w:t xml:space="preserve">Available at: </w:t>
          </w:r>
          <w:hyperlink r:id="rId15" w:history="1">
            <w:r w:rsidRPr="004F1C2A">
              <w:rPr>
                <w:rStyle w:val="Hyperlink"/>
                <w:rFonts w:ascii="Arial" w:hAnsi="Arial" w:cs="Arial"/>
                <w:sz w:val="24"/>
                <w:szCs w:val="24"/>
              </w:rPr>
              <w:t>https://www.accountingtools.com/articles/what-are-the-limitations-of-ratio-analysis.html</w:t>
            </w:r>
          </w:hyperlink>
          <w:r>
            <w:rPr>
              <w:rFonts w:ascii="Arial" w:hAnsi="Arial" w:cs="Arial"/>
              <w:sz w:val="24"/>
              <w:szCs w:val="24"/>
            </w:rPr>
            <w:t xml:space="preserve"> (Accessed: 29 November 2022).</w:t>
          </w:r>
        </w:p>
        <w:p w14:paraId="39C980A1" w14:textId="54B6B535" w:rsidR="0056229A" w:rsidRPr="00610396" w:rsidRDefault="0056229A">
          <w:pPr>
            <w:rPr>
              <w:rFonts w:ascii="Arial" w:hAnsi="Arial" w:cs="Arial"/>
              <w:sz w:val="24"/>
              <w:szCs w:val="24"/>
            </w:rPr>
          </w:pPr>
          <w:r>
            <w:rPr>
              <w:rFonts w:ascii="Arial" w:hAnsi="Arial" w:cs="Arial"/>
              <w:sz w:val="24"/>
              <w:szCs w:val="24"/>
            </w:rPr>
            <w:t xml:space="preserve">Accounting Tools (2022b) </w:t>
          </w:r>
          <w:r w:rsidRPr="0056229A">
            <w:rPr>
              <w:rFonts w:ascii="Arial" w:hAnsi="Arial" w:cs="Arial"/>
              <w:i/>
              <w:iCs/>
              <w:sz w:val="24"/>
              <w:szCs w:val="24"/>
            </w:rPr>
            <w:t>Operating Cash Flow Definition</w:t>
          </w:r>
          <w:r>
            <w:rPr>
              <w:rFonts w:ascii="Arial" w:hAnsi="Arial" w:cs="Arial"/>
              <w:sz w:val="24"/>
              <w:szCs w:val="24"/>
            </w:rPr>
            <w:t xml:space="preserve">. </w:t>
          </w:r>
          <w:r w:rsidR="009D17B6">
            <w:rPr>
              <w:rFonts w:ascii="Arial" w:hAnsi="Arial" w:cs="Arial"/>
              <w:sz w:val="24"/>
              <w:szCs w:val="24"/>
            </w:rPr>
            <w:t xml:space="preserve">Available at: </w:t>
          </w:r>
          <w:hyperlink r:id="rId16" w:history="1">
            <w:r w:rsidR="009D17B6" w:rsidRPr="00486036">
              <w:rPr>
                <w:rStyle w:val="Hyperlink"/>
                <w:rFonts w:ascii="Arial" w:hAnsi="Arial" w:cs="Arial"/>
                <w:sz w:val="24"/>
                <w:szCs w:val="24"/>
              </w:rPr>
              <w:t>https://www.accountingtools.com/articles/operating-cash-flow</w:t>
            </w:r>
          </w:hyperlink>
          <w:r w:rsidR="009D17B6">
            <w:rPr>
              <w:rFonts w:ascii="Arial" w:hAnsi="Arial" w:cs="Arial"/>
              <w:sz w:val="24"/>
              <w:szCs w:val="24"/>
            </w:rPr>
            <w:t xml:space="preserve"> (Accessed: 2</w:t>
          </w:r>
          <w:r w:rsidR="003E79A6">
            <w:rPr>
              <w:rFonts w:ascii="Arial" w:hAnsi="Arial" w:cs="Arial"/>
              <w:sz w:val="24"/>
              <w:szCs w:val="24"/>
            </w:rPr>
            <w:t>9</w:t>
          </w:r>
          <w:r w:rsidR="009D17B6">
            <w:rPr>
              <w:rFonts w:ascii="Arial" w:hAnsi="Arial" w:cs="Arial"/>
              <w:sz w:val="24"/>
              <w:szCs w:val="24"/>
            </w:rPr>
            <w:t xml:space="preserve"> November 2022).</w:t>
          </w:r>
        </w:p>
        <w:p w14:paraId="6D6B6103" w14:textId="71E8E2F6" w:rsidR="001B73A0" w:rsidRDefault="001B73A0">
          <w:pPr>
            <w:rPr>
              <w:rFonts w:ascii="Arial" w:hAnsi="Arial" w:cs="Arial"/>
              <w:sz w:val="24"/>
              <w:szCs w:val="24"/>
            </w:rPr>
          </w:pPr>
          <w:r>
            <w:rPr>
              <w:rFonts w:ascii="Arial" w:hAnsi="Arial" w:cs="Arial"/>
              <w:sz w:val="24"/>
              <w:szCs w:val="24"/>
            </w:rPr>
            <w:t xml:space="preserve">Alvarez, F. and </w:t>
          </w:r>
          <w:proofErr w:type="spellStart"/>
          <w:r>
            <w:rPr>
              <w:rFonts w:ascii="Arial" w:hAnsi="Arial" w:cs="Arial"/>
              <w:sz w:val="24"/>
              <w:szCs w:val="24"/>
            </w:rPr>
            <w:t>Fridson</w:t>
          </w:r>
          <w:proofErr w:type="spellEnd"/>
          <w:r>
            <w:rPr>
              <w:rFonts w:ascii="Arial" w:hAnsi="Arial" w:cs="Arial"/>
              <w:sz w:val="24"/>
              <w:szCs w:val="24"/>
            </w:rPr>
            <w:t xml:space="preserve">, S.M. (2011) </w:t>
          </w:r>
          <w:r>
            <w:rPr>
              <w:rFonts w:ascii="Arial" w:hAnsi="Arial" w:cs="Arial"/>
              <w:i/>
              <w:iCs/>
              <w:sz w:val="24"/>
              <w:szCs w:val="24"/>
            </w:rPr>
            <w:t xml:space="preserve">Financial Statement Analysis A Practitioner’s Guide. </w:t>
          </w:r>
          <w:r>
            <w:rPr>
              <w:rFonts w:ascii="Arial" w:hAnsi="Arial" w:cs="Arial"/>
              <w:sz w:val="24"/>
              <w:szCs w:val="24"/>
            </w:rPr>
            <w:t>4</w:t>
          </w:r>
          <w:r w:rsidRPr="001B73A0">
            <w:rPr>
              <w:rFonts w:ascii="Arial" w:hAnsi="Arial" w:cs="Arial"/>
              <w:sz w:val="24"/>
              <w:szCs w:val="24"/>
              <w:vertAlign w:val="superscript"/>
            </w:rPr>
            <w:t>th</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xml:space="preserve">. </w:t>
          </w:r>
          <w:r w:rsidR="00613456">
            <w:rPr>
              <w:rFonts w:ascii="Arial" w:hAnsi="Arial" w:cs="Arial"/>
              <w:sz w:val="24"/>
              <w:szCs w:val="24"/>
            </w:rPr>
            <w:t>Hoboken: John Wiley &amp; Sons.</w:t>
          </w:r>
        </w:p>
        <w:p w14:paraId="0E57EB96" w14:textId="6C11F040" w:rsidR="00BC70E8" w:rsidRPr="00BC70E8" w:rsidRDefault="00BC70E8">
          <w:pPr>
            <w:rPr>
              <w:rFonts w:ascii="Arial" w:hAnsi="Arial" w:cs="Arial"/>
              <w:sz w:val="24"/>
              <w:szCs w:val="24"/>
            </w:rPr>
          </w:pPr>
          <w:r>
            <w:rPr>
              <w:rFonts w:ascii="Arial" w:hAnsi="Arial" w:cs="Arial"/>
              <w:sz w:val="24"/>
              <w:szCs w:val="24"/>
            </w:rPr>
            <w:t xml:space="preserve">Banerjee, P. (2022) </w:t>
          </w:r>
          <w:r>
            <w:rPr>
              <w:rFonts w:ascii="Arial" w:hAnsi="Arial" w:cs="Arial"/>
              <w:i/>
              <w:iCs/>
              <w:sz w:val="24"/>
              <w:szCs w:val="24"/>
            </w:rPr>
            <w:t xml:space="preserve">What are the Limitations of Ratio Analysis?. </w:t>
          </w:r>
          <w:r>
            <w:rPr>
              <w:rFonts w:ascii="Arial" w:hAnsi="Arial" w:cs="Arial"/>
              <w:sz w:val="24"/>
              <w:szCs w:val="24"/>
            </w:rPr>
            <w:t xml:space="preserve">Available at: </w:t>
          </w:r>
          <w:hyperlink r:id="rId17" w:history="1">
            <w:r w:rsidRPr="004F1C2A">
              <w:rPr>
                <w:rStyle w:val="Hyperlink"/>
                <w:rFonts w:ascii="Arial" w:hAnsi="Arial" w:cs="Arial"/>
                <w:sz w:val="24"/>
                <w:szCs w:val="24"/>
              </w:rPr>
              <w:t>https://www.tutorialspoint.com/what-are-the-limitations-of-ratio-analysis</w:t>
            </w:r>
          </w:hyperlink>
          <w:r>
            <w:rPr>
              <w:rFonts w:ascii="Arial" w:hAnsi="Arial" w:cs="Arial"/>
              <w:sz w:val="24"/>
              <w:szCs w:val="24"/>
            </w:rPr>
            <w:t xml:space="preserve"> (Accessed: 03 December 2022).</w:t>
          </w:r>
        </w:p>
        <w:p w14:paraId="7CF12F71" w14:textId="7D6E2D38" w:rsidR="00155FF6" w:rsidRDefault="000D5E8F">
          <w:pPr>
            <w:rPr>
              <w:rFonts w:ascii="Arial" w:hAnsi="Arial" w:cs="Arial"/>
              <w:sz w:val="24"/>
              <w:szCs w:val="24"/>
            </w:rPr>
          </w:pPr>
          <w:r>
            <w:rPr>
              <w:rFonts w:ascii="Arial" w:hAnsi="Arial" w:cs="Arial"/>
              <w:sz w:val="24"/>
              <w:szCs w:val="24"/>
            </w:rPr>
            <w:t xml:space="preserve">Birken, E.G. and Curry, B. (2021) </w:t>
          </w:r>
          <w:r>
            <w:rPr>
              <w:rFonts w:ascii="Arial" w:hAnsi="Arial" w:cs="Arial"/>
              <w:i/>
              <w:iCs/>
              <w:sz w:val="24"/>
              <w:szCs w:val="24"/>
            </w:rPr>
            <w:t xml:space="preserve">Understanding Return on Assets (ROA). </w:t>
          </w:r>
          <w:r>
            <w:rPr>
              <w:rFonts w:ascii="Arial" w:hAnsi="Arial" w:cs="Arial"/>
              <w:sz w:val="24"/>
              <w:szCs w:val="24"/>
            </w:rPr>
            <w:t xml:space="preserve">Available at: </w:t>
          </w:r>
          <w:hyperlink r:id="rId18" w:history="1">
            <w:r w:rsidRPr="0072549B">
              <w:rPr>
                <w:rStyle w:val="Hyperlink"/>
                <w:rFonts w:ascii="Arial" w:hAnsi="Arial" w:cs="Arial"/>
                <w:sz w:val="24"/>
                <w:szCs w:val="24"/>
              </w:rPr>
              <w:t>https://www.forbes.com/advisor/investing/roa-return-on-assets/</w:t>
            </w:r>
          </w:hyperlink>
          <w:r>
            <w:rPr>
              <w:rFonts w:ascii="Arial" w:hAnsi="Arial" w:cs="Arial"/>
              <w:sz w:val="24"/>
              <w:szCs w:val="24"/>
            </w:rPr>
            <w:t xml:space="preserve"> (Accessed: 30 November 2022).</w:t>
          </w:r>
        </w:p>
        <w:p w14:paraId="06C9BF33" w14:textId="7C77AE9B" w:rsidR="005407D5" w:rsidRPr="005407D5" w:rsidRDefault="005407D5">
          <w:pPr>
            <w:rPr>
              <w:rFonts w:ascii="Arial" w:hAnsi="Arial" w:cs="Arial"/>
              <w:sz w:val="24"/>
              <w:szCs w:val="24"/>
            </w:rPr>
          </w:pPr>
          <w:r>
            <w:rPr>
              <w:rFonts w:ascii="Arial" w:hAnsi="Arial" w:cs="Arial"/>
              <w:sz w:val="24"/>
              <w:szCs w:val="24"/>
            </w:rPr>
            <w:t xml:space="preserve">Boyte-White, C. (2021) </w:t>
          </w:r>
          <w:r>
            <w:rPr>
              <w:rFonts w:ascii="Arial" w:hAnsi="Arial" w:cs="Arial"/>
              <w:i/>
              <w:iCs/>
              <w:sz w:val="24"/>
              <w:szCs w:val="24"/>
            </w:rPr>
            <w:t xml:space="preserve">Gearing Ratios: What Is a Good Ratio, and How To Calculate It. </w:t>
          </w:r>
          <w:r>
            <w:rPr>
              <w:rFonts w:ascii="Arial" w:hAnsi="Arial" w:cs="Arial"/>
              <w:sz w:val="24"/>
              <w:szCs w:val="24"/>
            </w:rPr>
            <w:t xml:space="preserve">Available at: </w:t>
          </w:r>
          <w:hyperlink r:id="rId19" w:anchor=":~:text=A%20gearing%20ratio%20lower%20than,normal%20for%20well%2Destablished%20companies" w:history="1">
            <w:r w:rsidRPr="004F1C2A">
              <w:rPr>
                <w:rStyle w:val="Hyperlink"/>
                <w:rFonts w:ascii="Arial" w:hAnsi="Arial" w:cs="Arial"/>
                <w:sz w:val="24"/>
                <w:szCs w:val="24"/>
              </w:rPr>
              <w:t>https://www.investopedia.com/ask/answers/121814/what-good-gearing-ratio.asp#:~:text=A%20gearing%20ratio%20lower%20than,normal%20for%20well%2Destablished%20companies</w:t>
            </w:r>
          </w:hyperlink>
          <w:r w:rsidRPr="005407D5">
            <w:rPr>
              <w:rFonts w:ascii="Arial" w:hAnsi="Arial" w:cs="Arial"/>
              <w:sz w:val="24"/>
              <w:szCs w:val="24"/>
            </w:rPr>
            <w:t>.</w:t>
          </w:r>
          <w:r>
            <w:rPr>
              <w:rFonts w:ascii="Arial" w:hAnsi="Arial" w:cs="Arial"/>
              <w:sz w:val="24"/>
              <w:szCs w:val="24"/>
            </w:rPr>
            <w:t xml:space="preserve"> (Accessed: 28 November 2022).</w:t>
          </w:r>
        </w:p>
        <w:p w14:paraId="134051DB" w14:textId="054ED48E" w:rsidR="006540DB" w:rsidRPr="006540DB" w:rsidRDefault="006540DB">
          <w:pPr>
            <w:rPr>
              <w:rFonts w:ascii="Arial" w:hAnsi="Arial" w:cs="Arial"/>
              <w:sz w:val="24"/>
              <w:szCs w:val="24"/>
            </w:rPr>
          </w:pPr>
          <w:proofErr w:type="spellStart"/>
          <w:r>
            <w:rPr>
              <w:rFonts w:ascii="Arial" w:hAnsi="Arial" w:cs="Arial"/>
              <w:sz w:val="24"/>
              <w:szCs w:val="24"/>
            </w:rPr>
            <w:t>Bromels</w:t>
          </w:r>
          <w:proofErr w:type="spellEnd"/>
          <w:r>
            <w:rPr>
              <w:rFonts w:ascii="Arial" w:hAnsi="Arial" w:cs="Arial"/>
              <w:sz w:val="24"/>
              <w:szCs w:val="24"/>
            </w:rPr>
            <w:t xml:space="preserve">, J. (2022) </w:t>
          </w:r>
          <w:r>
            <w:rPr>
              <w:rFonts w:ascii="Arial" w:hAnsi="Arial" w:cs="Arial"/>
              <w:i/>
              <w:iCs/>
              <w:sz w:val="24"/>
              <w:szCs w:val="24"/>
            </w:rPr>
            <w:t xml:space="preserve">Return on Equity (ROE): Definition and Formula. </w:t>
          </w:r>
          <w:r>
            <w:rPr>
              <w:rFonts w:ascii="Arial" w:hAnsi="Arial" w:cs="Arial"/>
              <w:sz w:val="24"/>
              <w:szCs w:val="24"/>
            </w:rPr>
            <w:t xml:space="preserve">Available at: </w:t>
          </w:r>
          <w:hyperlink r:id="rId20" w:history="1">
            <w:r w:rsidRPr="00AE762C">
              <w:rPr>
                <w:rStyle w:val="Hyperlink"/>
                <w:rFonts w:ascii="Arial" w:hAnsi="Arial" w:cs="Arial"/>
                <w:sz w:val="24"/>
                <w:szCs w:val="24"/>
              </w:rPr>
              <w:t>https://www.fool.com/investing/how-to-invest/stocks/return-on-equity/</w:t>
            </w:r>
          </w:hyperlink>
          <w:r>
            <w:rPr>
              <w:rFonts w:ascii="Arial" w:hAnsi="Arial" w:cs="Arial"/>
              <w:sz w:val="24"/>
              <w:szCs w:val="24"/>
            </w:rPr>
            <w:t xml:space="preserve"> (Accessed: 01 December 2022).</w:t>
          </w:r>
        </w:p>
        <w:p w14:paraId="5299F6D7" w14:textId="2E5B8F48" w:rsidR="00537A11" w:rsidRDefault="00155FF6">
          <w:pPr>
            <w:rPr>
              <w:rFonts w:ascii="Arial" w:hAnsi="Arial" w:cs="Arial"/>
              <w:sz w:val="24"/>
              <w:szCs w:val="24"/>
            </w:rPr>
          </w:pPr>
          <w:r>
            <w:rPr>
              <w:rFonts w:ascii="Arial" w:hAnsi="Arial" w:cs="Arial"/>
              <w:sz w:val="24"/>
              <w:szCs w:val="24"/>
            </w:rPr>
            <w:t>CFI Team (2022</w:t>
          </w:r>
          <w:r w:rsidR="00CF05BD">
            <w:rPr>
              <w:rFonts w:ascii="Arial" w:hAnsi="Arial" w:cs="Arial"/>
              <w:sz w:val="24"/>
              <w:szCs w:val="24"/>
            </w:rPr>
            <w:t>a</w:t>
          </w:r>
          <w:r>
            <w:rPr>
              <w:rFonts w:ascii="Arial" w:hAnsi="Arial" w:cs="Arial"/>
              <w:sz w:val="24"/>
              <w:szCs w:val="24"/>
            </w:rPr>
            <w:t xml:space="preserve">) </w:t>
          </w:r>
          <w:r>
            <w:rPr>
              <w:rFonts w:ascii="Arial" w:hAnsi="Arial" w:cs="Arial"/>
              <w:i/>
              <w:iCs/>
              <w:sz w:val="24"/>
              <w:szCs w:val="24"/>
            </w:rPr>
            <w:t>Profitability Ratios</w:t>
          </w:r>
          <w:r>
            <w:rPr>
              <w:rFonts w:ascii="Arial" w:hAnsi="Arial" w:cs="Arial"/>
              <w:sz w:val="24"/>
              <w:szCs w:val="24"/>
            </w:rPr>
            <w:t xml:space="preserve">. Available at: </w:t>
          </w:r>
          <w:hyperlink r:id="rId21" w:history="1">
            <w:r w:rsidRPr="00AE762C">
              <w:rPr>
                <w:rStyle w:val="Hyperlink"/>
                <w:rFonts w:ascii="Arial" w:hAnsi="Arial" w:cs="Arial"/>
                <w:sz w:val="24"/>
                <w:szCs w:val="24"/>
              </w:rPr>
              <w:t>https://corporatefinanceinstitute.com/resources/accounting/profitability-ratios/?fbclid=IwAR2yPJuDg8fTJ3wqLqyx9Knld8mQajdNSNThBgIW_1wilEkCW3bjRM3u4Bg</w:t>
            </w:r>
          </w:hyperlink>
          <w:r>
            <w:rPr>
              <w:rFonts w:ascii="Arial" w:hAnsi="Arial" w:cs="Arial"/>
              <w:sz w:val="24"/>
              <w:szCs w:val="24"/>
            </w:rPr>
            <w:t xml:space="preserve"> (Accessed: 29 November 2022).</w:t>
          </w:r>
        </w:p>
        <w:p w14:paraId="09948C82" w14:textId="3E60F4FA" w:rsidR="00CF05BD" w:rsidRPr="00CF05BD" w:rsidRDefault="00CF05BD">
          <w:pPr>
            <w:rPr>
              <w:rFonts w:ascii="Arial" w:hAnsi="Arial" w:cs="Arial"/>
              <w:sz w:val="24"/>
              <w:szCs w:val="24"/>
            </w:rPr>
          </w:pPr>
          <w:r>
            <w:rPr>
              <w:rFonts w:ascii="Arial" w:hAnsi="Arial" w:cs="Arial"/>
              <w:sz w:val="24"/>
              <w:szCs w:val="24"/>
            </w:rPr>
            <w:t xml:space="preserve">CFI Team (2022b) </w:t>
          </w:r>
          <w:r>
            <w:rPr>
              <w:rFonts w:ascii="Arial" w:hAnsi="Arial" w:cs="Arial"/>
              <w:i/>
              <w:iCs/>
              <w:sz w:val="24"/>
              <w:szCs w:val="24"/>
            </w:rPr>
            <w:t xml:space="preserve">Limitations of Ratio Analysis. </w:t>
          </w:r>
          <w:r>
            <w:rPr>
              <w:rFonts w:ascii="Arial" w:hAnsi="Arial" w:cs="Arial"/>
              <w:sz w:val="24"/>
              <w:szCs w:val="24"/>
            </w:rPr>
            <w:t xml:space="preserve">Available at: </w:t>
          </w:r>
          <w:hyperlink r:id="rId22" w:history="1">
            <w:r w:rsidRPr="004F1C2A">
              <w:rPr>
                <w:rStyle w:val="Hyperlink"/>
                <w:rFonts w:ascii="Arial" w:hAnsi="Arial" w:cs="Arial"/>
                <w:sz w:val="24"/>
                <w:szCs w:val="24"/>
              </w:rPr>
              <w:t>https://corporatefinanceinstitute.com/resources/accounting/limitations-ratio-analysis/</w:t>
            </w:r>
          </w:hyperlink>
          <w:r>
            <w:rPr>
              <w:rFonts w:ascii="Arial" w:hAnsi="Arial" w:cs="Arial"/>
              <w:sz w:val="24"/>
              <w:szCs w:val="24"/>
            </w:rPr>
            <w:t xml:space="preserve"> (Accessed: 04 December 2022).</w:t>
          </w:r>
        </w:p>
        <w:p w14:paraId="39827500" w14:textId="310E876D" w:rsidR="00537A11" w:rsidRDefault="00537A11">
          <w:pPr>
            <w:rPr>
              <w:rFonts w:ascii="Arial" w:hAnsi="Arial" w:cs="Arial"/>
              <w:sz w:val="24"/>
              <w:szCs w:val="24"/>
            </w:rPr>
          </w:pPr>
          <w:proofErr w:type="spellStart"/>
          <w:r>
            <w:rPr>
              <w:rFonts w:ascii="Arial" w:hAnsi="Arial" w:cs="Arial"/>
              <w:sz w:val="24"/>
              <w:szCs w:val="24"/>
            </w:rPr>
            <w:t>Creativebrief</w:t>
          </w:r>
          <w:proofErr w:type="spellEnd"/>
          <w:r>
            <w:rPr>
              <w:rFonts w:ascii="Arial" w:hAnsi="Arial" w:cs="Arial"/>
              <w:sz w:val="24"/>
              <w:szCs w:val="24"/>
            </w:rPr>
            <w:t xml:space="preserve"> (2022) </w:t>
          </w:r>
          <w:r>
            <w:rPr>
              <w:rFonts w:ascii="Arial" w:hAnsi="Arial" w:cs="Arial"/>
              <w:i/>
              <w:iCs/>
              <w:sz w:val="24"/>
              <w:szCs w:val="24"/>
            </w:rPr>
            <w:t xml:space="preserve">Where Can We Take You?. </w:t>
          </w:r>
          <w:r>
            <w:rPr>
              <w:rFonts w:ascii="Arial" w:hAnsi="Arial" w:cs="Arial"/>
              <w:sz w:val="24"/>
              <w:szCs w:val="24"/>
            </w:rPr>
            <w:t xml:space="preserve">Available at: </w:t>
          </w:r>
          <w:hyperlink r:id="rId23" w:history="1">
            <w:r w:rsidRPr="00AE762C">
              <w:rPr>
                <w:rStyle w:val="Hyperlink"/>
                <w:rFonts w:ascii="Arial" w:hAnsi="Arial" w:cs="Arial"/>
                <w:sz w:val="24"/>
                <w:szCs w:val="24"/>
              </w:rPr>
              <w:t>https://www.creativebrief.com/agency/digitas/case-studies/marriott-covid-recovery</w:t>
            </w:r>
          </w:hyperlink>
          <w:r>
            <w:rPr>
              <w:rFonts w:ascii="Arial" w:hAnsi="Arial" w:cs="Arial"/>
              <w:sz w:val="24"/>
              <w:szCs w:val="24"/>
            </w:rPr>
            <w:t xml:space="preserve"> (Accessed: 30 November 2022).</w:t>
          </w:r>
        </w:p>
        <w:p w14:paraId="77692DEC" w14:textId="0F521D49" w:rsidR="00795578" w:rsidRDefault="00795578">
          <w:pPr>
            <w:rPr>
              <w:rFonts w:ascii="Arial" w:hAnsi="Arial" w:cs="Arial"/>
              <w:sz w:val="24"/>
              <w:szCs w:val="24"/>
            </w:rPr>
          </w:pPr>
          <w:r>
            <w:rPr>
              <w:rFonts w:ascii="Arial" w:hAnsi="Arial" w:cs="Arial"/>
              <w:sz w:val="24"/>
              <w:szCs w:val="24"/>
            </w:rPr>
            <w:t xml:space="preserve">Fernando, J. (2022) </w:t>
          </w:r>
          <w:r>
            <w:rPr>
              <w:rFonts w:ascii="Arial" w:hAnsi="Arial" w:cs="Arial"/>
              <w:i/>
              <w:iCs/>
              <w:sz w:val="24"/>
              <w:szCs w:val="24"/>
            </w:rPr>
            <w:t xml:space="preserve">Current Ratio Explained With Formula and Examples. </w:t>
          </w:r>
          <w:r>
            <w:rPr>
              <w:rFonts w:ascii="Arial" w:hAnsi="Arial" w:cs="Arial"/>
              <w:sz w:val="24"/>
              <w:szCs w:val="24"/>
            </w:rPr>
            <w:t xml:space="preserve">Available at: </w:t>
          </w:r>
          <w:hyperlink r:id="rId24" w:anchor=":~:text=headed%20for%20default.-,Interpreting%20the%20Current%20Ratio,within%20a%20year%20or%20less" w:history="1">
            <w:r w:rsidRPr="002D0CD3">
              <w:rPr>
                <w:rStyle w:val="Hyperlink"/>
                <w:rFonts w:ascii="Arial" w:hAnsi="Arial" w:cs="Arial"/>
                <w:sz w:val="24"/>
                <w:szCs w:val="24"/>
              </w:rPr>
              <w:t>https://www.investopedia.com/terms/c/currentratio.asp#:~:text=headed%20for%20default.-,Interpreting%20the%20Current%20Ratio,within%20a%20year%20or%20less</w:t>
            </w:r>
          </w:hyperlink>
          <w:r w:rsidRPr="00795578">
            <w:rPr>
              <w:rFonts w:ascii="Arial" w:hAnsi="Arial" w:cs="Arial"/>
              <w:sz w:val="24"/>
              <w:szCs w:val="24"/>
            </w:rPr>
            <w:t>.</w:t>
          </w:r>
          <w:r>
            <w:rPr>
              <w:rFonts w:ascii="Arial" w:hAnsi="Arial" w:cs="Arial"/>
              <w:sz w:val="24"/>
              <w:szCs w:val="24"/>
            </w:rPr>
            <w:t xml:space="preserve"> (Accessed: 04 December 2022).</w:t>
          </w:r>
        </w:p>
        <w:p w14:paraId="5C3A2A4C" w14:textId="640AB593" w:rsidR="00A95783" w:rsidRPr="00A95783" w:rsidRDefault="00A95783">
          <w:pPr>
            <w:rPr>
              <w:rFonts w:ascii="Arial" w:hAnsi="Arial" w:cs="Arial"/>
              <w:sz w:val="24"/>
              <w:szCs w:val="24"/>
            </w:rPr>
          </w:pPr>
          <w:r>
            <w:rPr>
              <w:rFonts w:ascii="Arial" w:hAnsi="Arial" w:cs="Arial"/>
              <w:sz w:val="24"/>
              <w:szCs w:val="24"/>
            </w:rPr>
            <w:lastRenderedPageBreak/>
            <w:t xml:space="preserve">Fitzgerald, R. (2002) </w:t>
          </w:r>
          <w:r>
            <w:rPr>
              <w:rFonts w:ascii="Arial" w:hAnsi="Arial" w:cs="Arial"/>
              <w:i/>
              <w:iCs/>
              <w:sz w:val="24"/>
              <w:szCs w:val="24"/>
            </w:rPr>
            <w:t xml:space="preserve">Business finance for managers: an essential guide to planning, control &amp; decision making. </w:t>
          </w:r>
          <w:r>
            <w:rPr>
              <w:rFonts w:ascii="Arial" w:hAnsi="Arial" w:cs="Arial"/>
              <w:sz w:val="24"/>
              <w:szCs w:val="24"/>
            </w:rPr>
            <w:t>3</w:t>
          </w:r>
          <w:r w:rsidRPr="00A95783">
            <w:rPr>
              <w:rFonts w:ascii="Arial" w:hAnsi="Arial" w:cs="Arial"/>
              <w:sz w:val="24"/>
              <w:szCs w:val="24"/>
              <w:vertAlign w:val="superscript"/>
            </w:rPr>
            <w:t>rd</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London: Kogan Page.</w:t>
          </w:r>
        </w:p>
        <w:p w14:paraId="30917A07" w14:textId="6D963AE5" w:rsidR="009310E4" w:rsidRDefault="009310E4">
          <w:pPr>
            <w:rPr>
              <w:rFonts w:ascii="Arial" w:hAnsi="Arial" w:cs="Arial"/>
              <w:sz w:val="24"/>
              <w:szCs w:val="24"/>
            </w:rPr>
          </w:pPr>
          <w:r>
            <w:rPr>
              <w:rFonts w:ascii="Arial" w:hAnsi="Arial" w:cs="Arial"/>
              <w:sz w:val="24"/>
              <w:szCs w:val="24"/>
            </w:rPr>
            <w:t xml:space="preserve">Girsch-Bock, M. (2022) </w:t>
          </w:r>
          <w:r>
            <w:rPr>
              <w:rFonts w:ascii="Arial" w:hAnsi="Arial" w:cs="Arial"/>
              <w:i/>
              <w:iCs/>
              <w:sz w:val="24"/>
              <w:szCs w:val="24"/>
            </w:rPr>
            <w:t xml:space="preserve">Current Ratio vs. Quick Ratio: Learn the Difference. </w:t>
          </w:r>
          <w:r>
            <w:rPr>
              <w:rFonts w:ascii="Arial" w:hAnsi="Arial" w:cs="Arial"/>
              <w:sz w:val="24"/>
              <w:szCs w:val="24"/>
            </w:rPr>
            <w:t xml:space="preserve">Available at: </w:t>
          </w:r>
          <w:hyperlink r:id="rId25" w:history="1">
            <w:r w:rsidRPr="002D0CD3">
              <w:rPr>
                <w:rStyle w:val="Hyperlink"/>
                <w:rFonts w:ascii="Arial" w:hAnsi="Arial" w:cs="Arial"/>
                <w:sz w:val="24"/>
                <w:szCs w:val="24"/>
              </w:rPr>
              <w:t>https://www.fool.com/the-ascent/small-business/accounting/articles/current-ratio-vs-quick-ratio/</w:t>
            </w:r>
          </w:hyperlink>
          <w:r>
            <w:rPr>
              <w:rFonts w:ascii="Arial" w:hAnsi="Arial" w:cs="Arial"/>
              <w:sz w:val="24"/>
              <w:szCs w:val="24"/>
            </w:rPr>
            <w:t xml:space="preserve"> (Accessed: 03 December 2022).</w:t>
          </w:r>
        </w:p>
        <w:p w14:paraId="375E4DE4" w14:textId="3FE3925C" w:rsidR="009160E2" w:rsidRPr="009160E2" w:rsidRDefault="009160E2">
          <w:pPr>
            <w:rPr>
              <w:rFonts w:ascii="Arial" w:hAnsi="Arial" w:cs="Arial"/>
              <w:sz w:val="24"/>
              <w:szCs w:val="24"/>
            </w:rPr>
          </w:pPr>
          <w:r>
            <w:rPr>
              <w:rFonts w:ascii="Arial" w:hAnsi="Arial" w:cs="Arial"/>
              <w:sz w:val="24"/>
              <w:szCs w:val="24"/>
            </w:rPr>
            <w:t xml:space="preserve">Grant, A. (2022) </w:t>
          </w:r>
          <w:r>
            <w:rPr>
              <w:rFonts w:ascii="Arial" w:hAnsi="Arial" w:cs="Arial"/>
              <w:i/>
              <w:iCs/>
              <w:sz w:val="24"/>
              <w:szCs w:val="24"/>
            </w:rPr>
            <w:t>How do you prepare a financial trend analysis?</w:t>
          </w:r>
          <w:r>
            <w:rPr>
              <w:rFonts w:ascii="Arial" w:hAnsi="Arial" w:cs="Arial"/>
              <w:sz w:val="24"/>
              <w:szCs w:val="24"/>
            </w:rPr>
            <w:t xml:space="preserve"> [blog]. 16 March.</w:t>
          </w:r>
          <w:r>
            <w:rPr>
              <w:rFonts w:ascii="Arial" w:hAnsi="Arial" w:cs="Arial"/>
              <w:i/>
              <w:iCs/>
              <w:sz w:val="24"/>
              <w:szCs w:val="24"/>
            </w:rPr>
            <w:t xml:space="preserve"> </w:t>
          </w:r>
          <w:r>
            <w:rPr>
              <w:rFonts w:ascii="Arial" w:hAnsi="Arial" w:cs="Arial"/>
              <w:sz w:val="24"/>
              <w:szCs w:val="24"/>
            </w:rPr>
            <w:t xml:space="preserve">Available at: </w:t>
          </w:r>
          <w:hyperlink r:id="rId26" w:history="1">
            <w:r w:rsidRPr="00486036">
              <w:rPr>
                <w:rStyle w:val="Hyperlink"/>
                <w:rFonts w:ascii="Arial" w:hAnsi="Arial" w:cs="Arial"/>
                <w:sz w:val="24"/>
                <w:szCs w:val="24"/>
              </w:rPr>
              <w:t>https://www.oneadvanced.com/news-and-opinion/how-do-you-prepare-a-financial-trend-analysis/</w:t>
            </w:r>
          </w:hyperlink>
          <w:r>
            <w:rPr>
              <w:rFonts w:ascii="Arial" w:hAnsi="Arial" w:cs="Arial"/>
              <w:sz w:val="24"/>
              <w:szCs w:val="24"/>
            </w:rPr>
            <w:t xml:space="preserve"> (Accessed: 28 November 2022).</w:t>
          </w:r>
        </w:p>
        <w:p w14:paraId="70C11E2A" w14:textId="3BFA9B0B" w:rsidR="00D449F5" w:rsidRDefault="00D449F5">
          <w:pPr>
            <w:rPr>
              <w:rFonts w:ascii="Arial" w:hAnsi="Arial" w:cs="Arial"/>
              <w:sz w:val="24"/>
              <w:szCs w:val="24"/>
            </w:rPr>
          </w:pPr>
          <w:proofErr w:type="spellStart"/>
          <w:r>
            <w:rPr>
              <w:rFonts w:ascii="Arial" w:hAnsi="Arial" w:cs="Arial"/>
              <w:sz w:val="24"/>
              <w:szCs w:val="24"/>
            </w:rPr>
            <w:t>Guilding</w:t>
          </w:r>
          <w:proofErr w:type="spellEnd"/>
          <w:r>
            <w:rPr>
              <w:rFonts w:ascii="Arial" w:hAnsi="Arial" w:cs="Arial"/>
              <w:sz w:val="24"/>
              <w:szCs w:val="24"/>
            </w:rPr>
            <w:t xml:space="preserve">, C. (2014) </w:t>
          </w:r>
          <w:r w:rsidRPr="00D449F5">
            <w:rPr>
              <w:rFonts w:ascii="Arial" w:hAnsi="Arial" w:cs="Arial"/>
              <w:i/>
              <w:iCs/>
              <w:sz w:val="24"/>
              <w:szCs w:val="24"/>
            </w:rPr>
            <w:t>Accounting essentials for hospitality managers</w:t>
          </w:r>
          <w:r>
            <w:rPr>
              <w:rFonts w:ascii="Arial" w:hAnsi="Arial" w:cs="Arial"/>
              <w:i/>
              <w:iCs/>
              <w:sz w:val="24"/>
              <w:szCs w:val="24"/>
            </w:rPr>
            <w:t xml:space="preserve">. </w:t>
          </w:r>
          <w:r w:rsidRPr="00D449F5">
            <w:rPr>
              <w:rFonts w:ascii="Arial" w:hAnsi="Arial" w:cs="Arial"/>
              <w:sz w:val="24"/>
              <w:szCs w:val="24"/>
            </w:rPr>
            <w:t>3</w:t>
          </w:r>
          <w:r w:rsidRPr="00D449F5">
            <w:rPr>
              <w:rFonts w:ascii="Arial" w:hAnsi="Arial" w:cs="Arial"/>
              <w:sz w:val="24"/>
              <w:szCs w:val="24"/>
              <w:vertAlign w:val="superscript"/>
            </w:rPr>
            <w:t>rd</w:t>
          </w:r>
          <w:r w:rsidRPr="00D449F5">
            <w:rPr>
              <w:rFonts w:ascii="Arial" w:hAnsi="Arial" w:cs="Arial"/>
              <w:sz w:val="24"/>
              <w:szCs w:val="24"/>
            </w:rPr>
            <w:t xml:space="preserve"> </w:t>
          </w:r>
          <w:proofErr w:type="spellStart"/>
          <w:r w:rsidRPr="00D449F5">
            <w:rPr>
              <w:rFonts w:ascii="Arial" w:hAnsi="Arial" w:cs="Arial"/>
              <w:sz w:val="24"/>
              <w:szCs w:val="24"/>
            </w:rPr>
            <w:t>edn</w:t>
          </w:r>
          <w:proofErr w:type="spellEnd"/>
          <w:r>
            <w:rPr>
              <w:rFonts w:ascii="Arial" w:hAnsi="Arial" w:cs="Arial"/>
              <w:sz w:val="24"/>
              <w:szCs w:val="24"/>
            </w:rPr>
            <w:t>. London: Taylor and Francis Group.</w:t>
          </w:r>
        </w:p>
        <w:p w14:paraId="181AD3A2" w14:textId="600FB07C" w:rsidR="008B62E8" w:rsidRDefault="008B62E8">
          <w:pPr>
            <w:rPr>
              <w:rFonts w:ascii="Arial" w:hAnsi="Arial" w:cs="Arial"/>
              <w:sz w:val="24"/>
              <w:szCs w:val="24"/>
            </w:rPr>
          </w:pPr>
          <w:r>
            <w:rPr>
              <w:rFonts w:ascii="Arial" w:hAnsi="Arial" w:cs="Arial"/>
              <w:sz w:val="24"/>
              <w:szCs w:val="24"/>
            </w:rPr>
            <w:t xml:space="preserve">Hussain, A. (2022) </w:t>
          </w:r>
          <w:r>
            <w:rPr>
              <w:rFonts w:ascii="Arial" w:hAnsi="Arial" w:cs="Arial"/>
              <w:i/>
              <w:iCs/>
              <w:sz w:val="24"/>
              <w:szCs w:val="24"/>
            </w:rPr>
            <w:t xml:space="preserve">What is liquidity? It’s how easy you can sell an asset for cash – here’s when and why it matters to your finances. </w:t>
          </w:r>
          <w:r>
            <w:rPr>
              <w:rFonts w:ascii="Arial" w:hAnsi="Arial" w:cs="Arial"/>
              <w:sz w:val="24"/>
              <w:szCs w:val="24"/>
            </w:rPr>
            <w:t xml:space="preserve">Available at: </w:t>
          </w:r>
          <w:hyperlink r:id="rId27" w:history="1">
            <w:r w:rsidRPr="002D0CD3">
              <w:rPr>
                <w:rStyle w:val="Hyperlink"/>
                <w:rFonts w:ascii="Arial" w:hAnsi="Arial" w:cs="Arial"/>
                <w:sz w:val="24"/>
                <w:szCs w:val="24"/>
              </w:rPr>
              <w:t>https://www.businessinsider.com/personal-finance/what-is-liquidity?r=US&amp;IR=T</w:t>
            </w:r>
          </w:hyperlink>
          <w:r>
            <w:rPr>
              <w:rFonts w:ascii="Arial" w:hAnsi="Arial" w:cs="Arial"/>
              <w:sz w:val="24"/>
              <w:szCs w:val="24"/>
            </w:rPr>
            <w:t xml:space="preserve"> (Accessed: 28 November 2022).</w:t>
          </w:r>
        </w:p>
        <w:p w14:paraId="6670D88A" w14:textId="50F1DF43" w:rsidR="007A2980" w:rsidRPr="007A2980" w:rsidRDefault="007A2980">
          <w:pPr>
            <w:rPr>
              <w:rFonts w:ascii="Arial" w:hAnsi="Arial" w:cs="Arial"/>
              <w:sz w:val="24"/>
              <w:szCs w:val="24"/>
            </w:rPr>
          </w:pPr>
          <w:r>
            <w:rPr>
              <w:rFonts w:ascii="Arial" w:hAnsi="Arial" w:cs="Arial"/>
              <w:sz w:val="24"/>
              <w:szCs w:val="24"/>
            </w:rPr>
            <w:t xml:space="preserve">Kenton, W. (2021) </w:t>
          </w:r>
          <w:r>
            <w:rPr>
              <w:rFonts w:ascii="Arial" w:hAnsi="Arial" w:cs="Arial"/>
              <w:i/>
              <w:iCs/>
              <w:sz w:val="24"/>
              <w:szCs w:val="24"/>
            </w:rPr>
            <w:t xml:space="preserve">Going Concern. </w:t>
          </w:r>
          <w:r>
            <w:rPr>
              <w:rFonts w:ascii="Arial" w:hAnsi="Arial" w:cs="Arial"/>
              <w:sz w:val="24"/>
              <w:szCs w:val="24"/>
            </w:rPr>
            <w:t xml:space="preserve">Available at: </w:t>
          </w:r>
          <w:hyperlink r:id="rId28" w:history="1">
            <w:r w:rsidR="00823334" w:rsidRPr="004F1C2A">
              <w:rPr>
                <w:rStyle w:val="Hyperlink"/>
                <w:rFonts w:ascii="Arial" w:hAnsi="Arial" w:cs="Arial"/>
                <w:sz w:val="24"/>
                <w:szCs w:val="24"/>
              </w:rPr>
              <w:t>https://www.investopedia.com/terms/g/goingconcern.asp</w:t>
            </w:r>
          </w:hyperlink>
          <w:r w:rsidR="00823334">
            <w:rPr>
              <w:rFonts w:ascii="Arial" w:hAnsi="Arial" w:cs="Arial"/>
              <w:sz w:val="24"/>
              <w:szCs w:val="24"/>
            </w:rPr>
            <w:t xml:space="preserve"> (Accessed: 03 December 2022).</w:t>
          </w:r>
        </w:p>
        <w:p w14:paraId="54F27896" w14:textId="332325E0" w:rsidR="00DB1A6B" w:rsidRPr="00DB1A6B" w:rsidRDefault="00DB1A6B">
          <w:pPr>
            <w:rPr>
              <w:rFonts w:ascii="Arial" w:hAnsi="Arial" w:cs="Arial"/>
              <w:sz w:val="24"/>
              <w:szCs w:val="24"/>
            </w:rPr>
          </w:pPr>
          <w:r>
            <w:rPr>
              <w:rFonts w:ascii="Arial" w:hAnsi="Arial" w:cs="Arial"/>
              <w:sz w:val="24"/>
              <w:szCs w:val="24"/>
            </w:rPr>
            <w:t xml:space="preserve">Kenton, W. (2022) </w:t>
          </w:r>
          <w:r>
            <w:rPr>
              <w:rFonts w:ascii="Arial" w:hAnsi="Arial" w:cs="Arial"/>
              <w:i/>
              <w:iCs/>
              <w:sz w:val="24"/>
              <w:szCs w:val="24"/>
            </w:rPr>
            <w:t xml:space="preserve">Gearing Ratios: Definition, Types of Ratios, and How To Calculate. </w:t>
          </w:r>
          <w:r>
            <w:rPr>
              <w:rFonts w:ascii="Arial" w:hAnsi="Arial" w:cs="Arial"/>
              <w:sz w:val="24"/>
              <w:szCs w:val="24"/>
            </w:rPr>
            <w:t xml:space="preserve">Available at: </w:t>
          </w:r>
          <w:hyperlink r:id="rId29" w:history="1">
            <w:r w:rsidR="00037152" w:rsidRPr="002D0CD3">
              <w:rPr>
                <w:rStyle w:val="Hyperlink"/>
                <w:rFonts w:ascii="Arial" w:hAnsi="Arial" w:cs="Arial"/>
                <w:sz w:val="24"/>
                <w:szCs w:val="24"/>
              </w:rPr>
              <w:t>https://www.investopedia.com/terms/g/gearingratio.asp</w:t>
            </w:r>
          </w:hyperlink>
          <w:r w:rsidR="00037152">
            <w:rPr>
              <w:rFonts w:ascii="Arial" w:hAnsi="Arial" w:cs="Arial"/>
              <w:sz w:val="24"/>
              <w:szCs w:val="24"/>
            </w:rPr>
            <w:t xml:space="preserve"> (Accessed: 04 December 2022).</w:t>
          </w:r>
        </w:p>
        <w:p w14:paraId="009F036B" w14:textId="2E82E3AD" w:rsidR="00131882" w:rsidRDefault="00131882">
          <w:pPr>
            <w:rPr>
              <w:rFonts w:ascii="Arial" w:hAnsi="Arial" w:cs="Arial"/>
              <w:sz w:val="24"/>
              <w:szCs w:val="24"/>
            </w:rPr>
          </w:pPr>
          <w:r>
            <w:rPr>
              <w:rFonts w:ascii="Arial" w:hAnsi="Arial" w:cs="Arial"/>
              <w:sz w:val="24"/>
              <w:szCs w:val="24"/>
            </w:rPr>
            <w:t xml:space="preserve">Macrotrends (2022) </w:t>
          </w:r>
          <w:r>
            <w:rPr>
              <w:rFonts w:ascii="Arial" w:hAnsi="Arial" w:cs="Arial"/>
              <w:i/>
              <w:iCs/>
              <w:sz w:val="24"/>
              <w:szCs w:val="24"/>
            </w:rPr>
            <w:t xml:space="preserve">Marriott Gross Margin 2010-2022. </w:t>
          </w:r>
          <w:r>
            <w:rPr>
              <w:rFonts w:ascii="Arial" w:hAnsi="Arial" w:cs="Arial"/>
              <w:sz w:val="24"/>
              <w:szCs w:val="24"/>
            </w:rPr>
            <w:t xml:space="preserve">Available at: </w:t>
          </w:r>
          <w:hyperlink r:id="rId30" w:history="1">
            <w:r w:rsidRPr="0072549B">
              <w:rPr>
                <w:rStyle w:val="Hyperlink"/>
                <w:rFonts w:ascii="Arial" w:hAnsi="Arial" w:cs="Arial"/>
                <w:sz w:val="24"/>
                <w:szCs w:val="24"/>
              </w:rPr>
              <w:t>https://www.macrotrends.net/stocks/charts/MAR/marriott/gross-margin</w:t>
            </w:r>
          </w:hyperlink>
          <w:r>
            <w:rPr>
              <w:rFonts w:ascii="Arial" w:hAnsi="Arial" w:cs="Arial"/>
              <w:sz w:val="24"/>
              <w:szCs w:val="24"/>
            </w:rPr>
            <w:t xml:space="preserve"> (Accessed: 02 December 2022).</w:t>
          </w:r>
        </w:p>
        <w:p w14:paraId="2A415C2E" w14:textId="49AFAB8D" w:rsidR="00555A9A" w:rsidRDefault="00A27C5B">
          <w:pPr>
            <w:rPr>
              <w:rFonts w:ascii="Arial" w:hAnsi="Arial" w:cs="Arial"/>
              <w:sz w:val="24"/>
              <w:szCs w:val="24"/>
            </w:rPr>
          </w:pPr>
          <w:r>
            <w:rPr>
              <w:rFonts w:ascii="Arial" w:hAnsi="Arial" w:cs="Arial"/>
              <w:sz w:val="24"/>
              <w:szCs w:val="24"/>
            </w:rPr>
            <w:t xml:space="preserve">Marriott International (2020) </w:t>
          </w:r>
          <w:r w:rsidRPr="00A27C5B">
            <w:rPr>
              <w:rFonts w:ascii="Arial" w:hAnsi="Arial" w:cs="Arial"/>
              <w:i/>
              <w:iCs/>
              <w:sz w:val="24"/>
              <w:szCs w:val="24"/>
            </w:rPr>
            <w:t>2020</w:t>
          </w:r>
          <w:r>
            <w:rPr>
              <w:rFonts w:ascii="Arial" w:hAnsi="Arial" w:cs="Arial"/>
              <w:sz w:val="24"/>
              <w:szCs w:val="24"/>
            </w:rPr>
            <w:t xml:space="preserve"> </w:t>
          </w:r>
          <w:r>
            <w:rPr>
              <w:rFonts w:ascii="Arial" w:hAnsi="Arial" w:cs="Arial"/>
              <w:i/>
              <w:iCs/>
              <w:sz w:val="24"/>
              <w:szCs w:val="24"/>
            </w:rPr>
            <w:t xml:space="preserve">Annual report. </w:t>
          </w:r>
          <w:r>
            <w:rPr>
              <w:rFonts w:ascii="Arial" w:hAnsi="Arial" w:cs="Arial"/>
              <w:sz w:val="24"/>
              <w:szCs w:val="24"/>
            </w:rPr>
            <w:t xml:space="preserve">Available at: </w:t>
          </w:r>
          <w:hyperlink r:id="rId31" w:history="1">
            <w:r w:rsidRPr="00D25BAE">
              <w:rPr>
                <w:rStyle w:val="Hyperlink"/>
                <w:rFonts w:ascii="Arial" w:hAnsi="Arial" w:cs="Arial"/>
                <w:sz w:val="24"/>
                <w:szCs w:val="24"/>
              </w:rPr>
              <w:t>https://www.annualreports.com/HostedData/AnnualReportArchive/m/NASDAQ_MAR_2020.pdf</w:t>
            </w:r>
          </w:hyperlink>
          <w:r>
            <w:rPr>
              <w:rFonts w:ascii="Arial" w:hAnsi="Arial" w:cs="Arial"/>
              <w:sz w:val="24"/>
              <w:szCs w:val="24"/>
            </w:rPr>
            <w:t xml:space="preserve"> (Accessed: 28 November 2022). </w:t>
          </w:r>
        </w:p>
        <w:p w14:paraId="73550F0B" w14:textId="3224AF75" w:rsidR="005C4B98" w:rsidRPr="005C4B98" w:rsidRDefault="005C4B98">
          <w:pPr>
            <w:rPr>
              <w:rFonts w:ascii="Arial" w:hAnsi="Arial" w:cs="Arial"/>
              <w:sz w:val="24"/>
              <w:szCs w:val="24"/>
            </w:rPr>
          </w:pPr>
          <w:r>
            <w:rPr>
              <w:rFonts w:ascii="Arial" w:hAnsi="Arial" w:cs="Arial"/>
              <w:sz w:val="24"/>
              <w:szCs w:val="24"/>
            </w:rPr>
            <w:t xml:space="preserve">Marriott International, Inc. forum (2022) </w:t>
          </w:r>
          <w:r>
            <w:rPr>
              <w:rFonts w:ascii="Arial" w:hAnsi="Arial" w:cs="Arial"/>
              <w:i/>
              <w:iCs/>
              <w:sz w:val="24"/>
              <w:szCs w:val="24"/>
            </w:rPr>
            <w:t xml:space="preserve">History of Marriott International, Inc. </w:t>
          </w:r>
          <w:r>
            <w:rPr>
              <w:rFonts w:ascii="Arial" w:hAnsi="Arial" w:cs="Arial"/>
              <w:sz w:val="24"/>
              <w:szCs w:val="24"/>
            </w:rPr>
            <w:t xml:space="preserve">Available at: </w:t>
          </w:r>
          <w:hyperlink r:id="rId32" w:history="1">
            <w:r w:rsidRPr="00EB4E16">
              <w:rPr>
                <w:rStyle w:val="Hyperlink"/>
                <w:rFonts w:ascii="Arial" w:hAnsi="Arial" w:cs="Arial"/>
                <w:sz w:val="24"/>
                <w:szCs w:val="24"/>
              </w:rPr>
              <w:t>https://www.referenceforbusiness.com/history2/12/Marriott-International-Inc.html</w:t>
            </w:r>
          </w:hyperlink>
          <w:r>
            <w:rPr>
              <w:rFonts w:ascii="Arial" w:hAnsi="Arial" w:cs="Arial"/>
              <w:sz w:val="24"/>
              <w:szCs w:val="24"/>
            </w:rPr>
            <w:t xml:space="preserve"> (Accessed: 30 November 2022).</w:t>
          </w:r>
        </w:p>
        <w:p w14:paraId="30934098" w14:textId="59BCBAC6" w:rsidR="00234318" w:rsidRPr="00234318" w:rsidRDefault="00234318">
          <w:pPr>
            <w:rPr>
              <w:rFonts w:ascii="Arial" w:hAnsi="Arial" w:cs="Arial"/>
              <w:sz w:val="24"/>
              <w:szCs w:val="24"/>
            </w:rPr>
          </w:pPr>
          <w:r>
            <w:rPr>
              <w:rFonts w:ascii="Arial" w:hAnsi="Arial" w:cs="Arial"/>
              <w:sz w:val="24"/>
              <w:szCs w:val="24"/>
            </w:rPr>
            <w:t xml:space="preserve">Mott, G. (2008) </w:t>
          </w:r>
          <w:r>
            <w:rPr>
              <w:rFonts w:ascii="Arial" w:hAnsi="Arial" w:cs="Arial"/>
              <w:i/>
              <w:iCs/>
              <w:sz w:val="24"/>
              <w:szCs w:val="24"/>
            </w:rPr>
            <w:t>Accounting for n</w:t>
          </w:r>
          <w:r w:rsidR="005C4B98">
            <w:rPr>
              <w:rFonts w:ascii="Arial" w:hAnsi="Arial" w:cs="Arial"/>
              <w:i/>
              <w:iCs/>
              <w:sz w:val="24"/>
              <w:szCs w:val="24"/>
            </w:rPr>
            <w:t>o</w:t>
          </w:r>
          <w:r>
            <w:rPr>
              <w:rFonts w:ascii="Arial" w:hAnsi="Arial" w:cs="Arial"/>
              <w:i/>
              <w:iCs/>
              <w:sz w:val="24"/>
              <w:szCs w:val="24"/>
            </w:rPr>
            <w:t xml:space="preserve">n-accountants. </w:t>
          </w:r>
          <w:r>
            <w:rPr>
              <w:rFonts w:ascii="Arial" w:hAnsi="Arial" w:cs="Arial"/>
              <w:sz w:val="24"/>
              <w:szCs w:val="24"/>
            </w:rPr>
            <w:t>7</w:t>
          </w:r>
          <w:r w:rsidRPr="00234318">
            <w:rPr>
              <w:rFonts w:ascii="Arial" w:hAnsi="Arial" w:cs="Arial"/>
              <w:sz w:val="24"/>
              <w:szCs w:val="24"/>
              <w:vertAlign w:val="superscript"/>
            </w:rPr>
            <w:t>th</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London: Kogan Page.</w:t>
          </w:r>
        </w:p>
        <w:p w14:paraId="3A7B9764" w14:textId="10E81001" w:rsidR="001865D4" w:rsidRDefault="00555A9A">
          <w:pPr>
            <w:rPr>
              <w:rFonts w:ascii="Arial" w:hAnsi="Arial" w:cs="Arial"/>
              <w:sz w:val="24"/>
              <w:szCs w:val="24"/>
            </w:rPr>
          </w:pPr>
          <w:r>
            <w:rPr>
              <w:rFonts w:ascii="Arial" w:hAnsi="Arial" w:cs="Arial"/>
              <w:sz w:val="24"/>
              <w:szCs w:val="24"/>
            </w:rPr>
            <w:t xml:space="preserve">Paller, C. (2022) </w:t>
          </w:r>
          <w:r>
            <w:rPr>
              <w:rFonts w:ascii="Arial" w:hAnsi="Arial" w:cs="Arial"/>
              <w:i/>
              <w:iCs/>
              <w:sz w:val="24"/>
              <w:szCs w:val="24"/>
            </w:rPr>
            <w:t xml:space="preserve">Concerned About Your Business’s Financial Health?. </w:t>
          </w:r>
          <w:r>
            <w:rPr>
              <w:rFonts w:ascii="Arial" w:hAnsi="Arial" w:cs="Arial"/>
              <w:sz w:val="24"/>
              <w:szCs w:val="24"/>
            </w:rPr>
            <w:t xml:space="preserve">Available at: </w:t>
          </w:r>
          <w:hyperlink r:id="rId33" w:history="1">
            <w:r w:rsidRPr="00D25BAE">
              <w:rPr>
                <w:rStyle w:val="Hyperlink"/>
                <w:rFonts w:ascii="Arial" w:hAnsi="Arial" w:cs="Arial"/>
                <w:sz w:val="24"/>
                <w:szCs w:val="24"/>
              </w:rPr>
              <w:t>https://www.uschamber.com/co/run/finance/how-to-measure-business-profitability</w:t>
            </w:r>
          </w:hyperlink>
          <w:r>
            <w:rPr>
              <w:rFonts w:ascii="Arial" w:hAnsi="Arial" w:cs="Arial"/>
              <w:sz w:val="24"/>
              <w:szCs w:val="24"/>
            </w:rPr>
            <w:t xml:space="preserve"> (Accessed: 28 November 2022).</w:t>
          </w:r>
        </w:p>
        <w:p w14:paraId="67E8D6C2" w14:textId="2D24FD00" w:rsidR="001865D4" w:rsidRDefault="001865D4">
          <w:pPr>
            <w:rPr>
              <w:rFonts w:ascii="Arial" w:hAnsi="Arial" w:cs="Arial"/>
              <w:i/>
              <w:iCs/>
              <w:sz w:val="24"/>
              <w:szCs w:val="24"/>
            </w:rPr>
          </w:pPr>
          <w:r>
            <w:rPr>
              <w:rFonts w:ascii="Arial" w:hAnsi="Arial" w:cs="Arial"/>
              <w:sz w:val="24"/>
              <w:szCs w:val="24"/>
            </w:rPr>
            <w:t xml:space="preserve">Walsh, C. (2008) </w:t>
          </w:r>
          <w:r>
            <w:rPr>
              <w:rFonts w:ascii="Arial" w:hAnsi="Arial" w:cs="Arial"/>
              <w:i/>
              <w:iCs/>
              <w:sz w:val="24"/>
              <w:szCs w:val="24"/>
            </w:rPr>
            <w:t>Key Management Ratios – The 100+ Ratios Every Manager Needs to Know</w:t>
          </w:r>
          <w:r w:rsidR="00D449F5">
            <w:rPr>
              <w:rFonts w:ascii="Arial" w:hAnsi="Arial" w:cs="Arial"/>
              <w:sz w:val="24"/>
              <w:szCs w:val="24"/>
            </w:rPr>
            <w:t>.</w:t>
          </w:r>
          <w:r w:rsidRPr="00D449F5">
            <w:rPr>
              <w:rFonts w:ascii="Arial" w:hAnsi="Arial" w:cs="Arial"/>
              <w:sz w:val="24"/>
              <w:szCs w:val="24"/>
            </w:rPr>
            <w:t xml:space="preserve"> 4</w:t>
          </w:r>
          <w:r w:rsidRPr="00D449F5">
            <w:rPr>
              <w:rFonts w:ascii="Arial" w:hAnsi="Arial" w:cs="Arial"/>
              <w:sz w:val="24"/>
              <w:szCs w:val="24"/>
              <w:vertAlign w:val="superscript"/>
            </w:rPr>
            <w:t>th</w:t>
          </w:r>
          <w:r w:rsidRPr="00D449F5">
            <w:rPr>
              <w:rFonts w:ascii="Arial" w:hAnsi="Arial" w:cs="Arial"/>
              <w:sz w:val="24"/>
              <w:szCs w:val="24"/>
            </w:rPr>
            <w:t xml:space="preserve"> </w:t>
          </w:r>
          <w:proofErr w:type="spellStart"/>
          <w:r w:rsidR="00D449F5">
            <w:rPr>
              <w:rFonts w:ascii="Arial" w:hAnsi="Arial" w:cs="Arial"/>
              <w:sz w:val="24"/>
              <w:szCs w:val="24"/>
            </w:rPr>
            <w:t>edn</w:t>
          </w:r>
          <w:proofErr w:type="spellEnd"/>
          <w:r w:rsidR="00D449F5">
            <w:rPr>
              <w:rFonts w:ascii="Arial" w:hAnsi="Arial" w:cs="Arial"/>
              <w:sz w:val="24"/>
              <w:szCs w:val="24"/>
            </w:rPr>
            <w:t>.</w:t>
          </w:r>
          <w:r w:rsidRPr="00D449F5">
            <w:rPr>
              <w:rFonts w:ascii="Arial" w:hAnsi="Arial" w:cs="Arial"/>
              <w:sz w:val="24"/>
              <w:szCs w:val="24"/>
            </w:rPr>
            <w:t xml:space="preserve"> Harlow: Prentice Hall.</w:t>
          </w:r>
        </w:p>
        <w:p w14:paraId="3B9A5906" w14:textId="77777777" w:rsidR="00555A9A" w:rsidRPr="00555A9A" w:rsidRDefault="00555A9A">
          <w:pPr>
            <w:rPr>
              <w:rFonts w:ascii="Arial" w:hAnsi="Arial" w:cs="Arial"/>
              <w:sz w:val="24"/>
              <w:szCs w:val="24"/>
            </w:rPr>
          </w:pPr>
        </w:p>
        <w:p w14:paraId="04B40B59" w14:textId="1F82E94F" w:rsidR="00CA09F3" w:rsidRPr="00A27C5B" w:rsidRDefault="00A27C5B">
          <w:pPr>
            <w:rPr>
              <w:rFonts w:ascii="Arial" w:hAnsi="Arial" w:cs="Arial"/>
              <w:b/>
              <w:bCs/>
              <w:sz w:val="28"/>
              <w:szCs w:val="28"/>
            </w:rPr>
          </w:pPr>
          <w:r>
            <w:rPr>
              <w:rFonts w:ascii="Arial" w:hAnsi="Arial" w:cs="Arial"/>
              <w:i/>
              <w:iCs/>
              <w:sz w:val="24"/>
              <w:szCs w:val="24"/>
            </w:rPr>
            <w:t xml:space="preserve"> </w:t>
          </w:r>
        </w:p>
      </w:sdtContent>
    </w:sdt>
    <w:sectPr w:rsidR="00CA09F3" w:rsidRPr="00A27C5B" w:rsidSect="007D1947">
      <w:footerReference w:type="default" r:id="rId3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7D57FA" w14:textId="77777777" w:rsidR="006813B4" w:rsidRDefault="006813B4" w:rsidP="004D16A2">
      <w:pPr>
        <w:spacing w:after="0" w:line="240" w:lineRule="auto"/>
      </w:pPr>
      <w:r>
        <w:separator/>
      </w:r>
    </w:p>
  </w:endnote>
  <w:endnote w:type="continuationSeparator" w:id="0">
    <w:p w14:paraId="0AF4E678" w14:textId="77777777" w:rsidR="006813B4" w:rsidRDefault="006813B4" w:rsidP="004D16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13158878"/>
      <w:docPartObj>
        <w:docPartGallery w:val="Page Numbers (Bottom of Page)"/>
        <w:docPartUnique/>
      </w:docPartObj>
    </w:sdtPr>
    <w:sdtEndPr>
      <w:rPr>
        <w:noProof/>
      </w:rPr>
    </w:sdtEndPr>
    <w:sdtContent>
      <w:p w14:paraId="7C7BE940" w14:textId="0B53E8D7" w:rsidR="004D16A2" w:rsidRDefault="004D16A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D75639E" w14:textId="77777777" w:rsidR="004D16A2" w:rsidRDefault="004D16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75B597" w14:textId="77777777" w:rsidR="006813B4" w:rsidRDefault="006813B4" w:rsidP="004D16A2">
      <w:pPr>
        <w:spacing w:after="0" w:line="240" w:lineRule="auto"/>
      </w:pPr>
      <w:r>
        <w:separator/>
      </w:r>
    </w:p>
  </w:footnote>
  <w:footnote w:type="continuationSeparator" w:id="0">
    <w:p w14:paraId="251A1390" w14:textId="77777777" w:rsidR="006813B4" w:rsidRDefault="006813B4" w:rsidP="004D16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58552B"/>
    <w:multiLevelType w:val="hybridMultilevel"/>
    <w:tmpl w:val="2A765E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BCA0539"/>
    <w:multiLevelType w:val="multilevel"/>
    <w:tmpl w:val="1C94BD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17944987">
    <w:abstractNumId w:val="1"/>
  </w:num>
  <w:num w:numId="2" w16cid:durableId="20032706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1ACC"/>
    <w:rsid w:val="00037152"/>
    <w:rsid w:val="00094A04"/>
    <w:rsid w:val="000A043C"/>
    <w:rsid w:val="000B6411"/>
    <w:rsid w:val="000D5E8F"/>
    <w:rsid w:val="000E4447"/>
    <w:rsid w:val="00115B96"/>
    <w:rsid w:val="00121DDB"/>
    <w:rsid w:val="001311ED"/>
    <w:rsid w:val="00131882"/>
    <w:rsid w:val="00155FF6"/>
    <w:rsid w:val="001649C0"/>
    <w:rsid w:val="001865D4"/>
    <w:rsid w:val="00187268"/>
    <w:rsid w:val="001910B4"/>
    <w:rsid w:val="001A3B90"/>
    <w:rsid w:val="001B73A0"/>
    <w:rsid w:val="001C329E"/>
    <w:rsid w:val="001E4E31"/>
    <w:rsid w:val="00214C51"/>
    <w:rsid w:val="00232DB7"/>
    <w:rsid w:val="00234318"/>
    <w:rsid w:val="00242A2A"/>
    <w:rsid w:val="002605C2"/>
    <w:rsid w:val="002820D4"/>
    <w:rsid w:val="00284F1F"/>
    <w:rsid w:val="00295FF4"/>
    <w:rsid w:val="00297A69"/>
    <w:rsid w:val="002A6FEF"/>
    <w:rsid w:val="002B2FDB"/>
    <w:rsid w:val="002E5894"/>
    <w:rsid w:val="002F4770"/>
    <w:rsid w:val="00317E9A"/>
    <w:rsid w:val="00324CCD"/>
    <w:rsid w:val="00337C9C"/>
    <w:rsid w:val="00354AF0"/>
    <w:rsid w:val="003B5E35"/>
    <w:rsid w:val="003B6C1B"/>
    <w:rsid w:val="003E79A6"/>
    <w:rsid w:val="00434373"/>
    <w:rsid w:val="00483925"/>
    <w:rsid w:val="004A11F6"/>
    <w:rsid w:val="004A7790"/>
    <w:rsid w:val="004B3876"/>
    <w:rsid w:val="004B57D0"/>
    <w:rsid w:val="004C2581"/>
    <w:rsid w:val="004C3734"/>
    <w:rsid w:val="004D16A2"/>
    <w:rsid w:val="004D519C"/>
    <w:rsid w:val="004E4F77"/>
    <w:rsid w:val="00537A11"/>
    <w:rsid w:val="005407D5"/>
    <w:rsid w:val="005453A3"/>
    <w:rsid w:val="00555A9A"/>
    <w:rsid w:val="0056229A"/>
    <w:rsid w:val="005960A9"/>
    <w:rsid w:val="005C4B98"/>
    <w:rsid w:val="00610396"/>
    <w:rsid w:val="00613456"/>
    <w:rsid w:val="0062489C"/>
    <w:rsid w:val="006540DB"/>
    <w:rsid w:val="006813B4"/>
    <w:rsid w:val="006855F2"/>
    <w:rsid w:val="00697F91"/>
    <w:rsid w:val="006B5B68"/>
    <w:rsid w:val="006C5EF0"/>
    <w:rsid w:val="006D4CF7"/>
    <w:rsid w:val="006E168F"/>
    <w:rsid w:val="006F26D9"/>
    <w:rsid w:val="007247E7"/>
    <w:rsid w:val="00725A14"/>
    <w:rsid w:val="0073302C"/>
    <w:rsid w:val="00753129"/>
    <w:rsid w:val="007558ED"/>
    <w:rsid w:val="00776E19"/>
    <w:rsid w:val="0079208E"/>
    <w:rsid w:val="00795578"/>
    <w:rsid w:val="007A2980"/>
    <w:rsid w:val="007C17FF"/>
    <w:rsid w:val="007D1947"/>
    <w:rsid w:val="007F63D7"/>
    <w:rsid w:val="0080566D"/>
    <w:rsid w:val="00813F5D"/>
    <w:rsid w:val="00823334"/>
    <w:rsid w:val="0083068E"/>
    <w:rsid w:val="0087235A"/>
    <w:rsid w:val="008B62E8"/>
    <w:rsid w:val="008C2171"/>
    <w:rsid w:val="008C6E6C"/>
    <w:rsid w:val="008F0DF0"/>
    <w:rsid w:val="008F390C"/>
    <w:rsid w:val="0090598E"/>
    <w:rsid w:val="009160E2"/>
    <w:rsid w:val="009310E4"/>
    <w:rsid w:val="009313CA"/>
    <w:rsid w:val="00935DFE"/>
    <w:rsid w:val="00943C6C"/>
    <w:rsid w:val="00957E16"/>
    <w:rsid w:val="009679B9"/>
    <w:rsid w:val="00970773"/>
    <w:rsid w:val="00975356"/>
    <w:rsid w:val="009775B7"/>
    <w:rsid w:val="009A5CF0"/>
    <w:rsid w:val="009B29BA"/>
    <w:rsid w:val="009B3C53"/>
    <w:rsid w:val="009B6CB1"/>
    <w:rsid w:val="009C54E0"/>
    <w:rsid w:val="009D17B6"/>
    <w:rsid w:val="009E3109"/>
    <w:rsid w:val="00A045BD"/>
    <w:rsid w:val="00A05EBD"/>
    <w:rsid w:val="00A27C5B"/>
    <w:rsid w:val="00A766EA"/>
    <w:rsid w:val="00A95783"/>
    <w:rsid w:val="00AA2A91"/>
    <w:rsid w:val="00AE3DC7"/>
    <w:rsid w:val="00AE7A60"/>
    <w:rsid w:val="00B55B0B"/>
    <w:rsid w:val="00B85ECE"/>
    <w:rsid w:val="00BC70E8"/>
    <w:rsid w:val="00BF4FC0"/>
    <w:rsid w:val="00C46CAD"/>
    <w:rsid w:val="00C64D4D"/>
    <w:rsid w:val="00C71FB5"/>
    <w:rsid w:val="00CA03A7"/>
    <w:rsid w:val="00CA09F3"/>
    <w:rsid w:val="00CD208A"/>
    <w:rsid w:val="00CD59DF"/>
    <w:rsid w:val="00CE04A9"/>
    <w:rsid w:val="00CE5CC2"/>
    <w:rsid w:val="00CF05BD"/>
    <w:rsid w:val="00CF7773"/>
    <w:rsid w:val="00D1170D"/>
    <w:rsid w:val="00D449F5"/>
    <w:rsid w:val="00D4788D"/>
    <w:rsid w:val="00D84D87"/>
    <w:rsid w:val="00D854A5"/>
    <w:rsid w:val="00DA158E"/>
    <w:rsid w:val="00DB1A6B"/>
    <w:rsid w:val="00DD2AD6"/>
    <w:rsid w:val="00E016BB"/>
    <w:rsid w:val="00E206B3"/>
    <w:rsid w:val="00E63429"/>
    <w:rsid w:val="00E754B9"/>
    <w:rsid w:val="00EF464C"/>
    <w:rsid w:val="00EF6754"/>
    <w:rsid w:val="00F548AF"/>
    <w:rsid w:val="00FF1749"/>
    <w:rsid w:val="00FF43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CA3F25"/>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table" w:styleId="TableGrid">
    <w:name w:val="Table Grid"/>
    <w:basedOn w:val="TableNormal"/>
    <w:uiPriority w:val="39"/>
    <w:rsid w:val="00094A0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045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A045BD"/>
    <w:rPr>
      <w:i/>
      <w:iCs/>
    </w:rPr>
  </w:style>
  <w:style w:type="character" w:styleId="UnresolvedMention">
    <w:name w:val="Unresolved Mention"/>
    <w:basedOn w:val="DefaultParagraphFont"/>
    <w:uiPriority w:val="99"/>
    <w:semiHidden/>
    <w:unhideWhenUsed/>
    <w:rsid w:val="00A27C5B"/>
    <w:rPr>
      <w:color w:val="605E5C"/>
      <w:shd w:val="clear" w:color="auto" w:fill="E1DFDD"/>
    </w:rPr>
  </w:style>
  <w:style w:type="character" w:styleId="Strong">
    <w:name w:val="Strong"/>
    <w:basedOn w:val="DefaultParagraphFont"/>
    <w:uiPriority w:val="22"/>
    <w:qFormat/>
    <w:rsid w:val="00DA158E"/>
    <w:rPr>
      <w:b/>
      <w:bCs/>
    </w:rPr>
  </w:style>
  <w:style w:type="paragraph" w:styleId="ListParagraph">
    <w:name w:val="List Paragraph"/>
    <w:basedOn w:val="Normal"/>
    <w:uiPriority w:val="34"/>
    <w:qFormat/>
    <w:rsid w:val="00CE5CC2"/>
    <w:pPr>
      <w:ind w:left="720"/>
      <w:contextualSpacing/>
    </w:pPr>
  </w:style>
  <w:style w:type="paragraph" w:styleId="Header">
    <w:name w:val="header"/>
    <w:basedOn w:val="Normal"/>
    <w:link w:val="HeaderChar"/>
    <w:uiPriority w:val="99"/>
    <w:unhideWhenUsed/>
    <w:rsid w:val="004D16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16A2"/>
  </w:style>
  <w:style w:type="paragraph" w:styleId="Footer">
    <w:name w:val="footer"/>
    <w:basedOn w:val="Normal"/>
    <w:link w:val="FooterChar"/>
    <w:uiPriority w:val="99"/>
    <w:unhideWhenUsed/>
    <w:rsid w:val="004D16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16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701385">
      <w:bodyDiv w:val="1"/>
      <w:marLeft w:val="0"/>
      <w:marRight w:val="0"/>
      <w:marTop w:val="0"/>
      <w:marBottom w:val="0"/>
      <w:divBdr>
        <w:top w:val="none" w:sz="0" w:space="0" w:color="auto"/>
        <w:left w:val="none" w:sz="0" w:space="0" w:color="auto"/>
        <w:bottom w:val="none" w:sz="0" w:space="0" w:color="auto"/>
        <w:right w:val="none" w:sz="0" w:space="0" w:color="auto"/>
      </w:divBdr>
    </w:div>
    <w:div w:id="548565448">
      <w:bodyDiv w:val="1"/>
      <w:marLeft w:val="0"/>
      <w:marRight w:val="0"/>
      <w:marTop w:val="0"/>
      <w:marBottom w:val="0"/>
      <w:divBdr>
        <w:top w:val="none" w:sz="0" w:space="0" w:color="auto"/>
        <w:left w:val="none" w:sz="0" w:space="0" w:color="auto"/>
        <w:bottom w:val="none" w:sz="0" w:space="0" w:color="auto"/>
        <w:right w:val="none" w:sz="0" w:space="0" w:color="auto"/>
      </w:divBdr>
    </w:div>
    <w:div w:id="2032871995">
      <w:bodyDiv w:val="1"/>
      <w:marLeft w:val="0"/>
      <w:marRight w:val="0"/>
      <w:marTop w:val="0"/>
      <w:marBottom w:val="0"/>
      <w:divBdr>
        <w:top w:val="none" w:sz="0" w:space="0" w:color="auto"/>
        <w:left w:val="none" w:sz="0" w:space="0" w:color="auto"/>
        <w:bottom w:val="none" w:sz="0" w:space="0" w:color="auto"/>
        <w:right w:val="none" w:sz="0" w:space="0" w:color="auto"/>
      </w:divBdr>
      <w:divsChild>
        <w:div w:id="655302162">
          <w:marLeft w:val="0"/>
          <w:marRight w:val="0"/>
          <w:marTop w:val="0"/>
          <w:marBottom w:val="375"/>
          <w:divBdr>
            <w:top w:val="none" w:sz="0" w:space="0" w:color="auto"/>
            <w:left w:val="none" w:sz="0" w:space="0" w:color="auto"/>
            <w:bottom w:val="none" w:sz="0" w:space="0" w:color="auto"/>
            <w:right w:val="none" w:sz="0" w:space="0" w:color="auto"/>
          </w:divBdr>
        </w:div>
        <w:div w:id="794787675">
          <w:marLeft w:val="0"/>
          <w:marRight w:val="0"/>
          <w:marTop w:val="0"/>
          <w:marBottom w:val="375"/>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yperlink" Target="https://www.forbes.com/advisor/investing/roa-return-on-assets/" TargetMode="External"/><Relationship Id="rId26" Type="http://schemas.openxmlformats.org/officeDocument/2006/relationships/hyperlink" Target="https://www.oneadvanced.com/news-and-opinion/how-do-you-prepare-a-financial-trend-analysis/" TargetMode="External"/><Relationship Id="rId3" Type="http://schemas.openxmlformats.org/officeDocument/2006/relationships/customXml" Target="../customXml/item3.xml"/><Relationship Id="rId21" Type="http://schemas.openxmlformats.org/officeDocument/2006/relationships/hyperlink" Target="https://corporatefinanceinstitute.com/resources/accounting/profitability-ratios/?fbclid=IwAR2yPJuDg8fTJ3wqLqyx9Knld8mQajdNSNThBgIW_1wilEkCW3bjRM3u4Bg" TargetMode="External"/><Relationship Id="rId34" Type="http://schemas.openxmlformats.org/officeDocument/2006/relationships/footer" Target="footer1.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www.tutorialspoint.com/what-are-the-limitations-of-ratio-analysis" TargetMode="External"/><Relationship Id="rId25" Type="http://schemas.openxmlformats.org/officeDocument/2006/relationships/hyperlink" Target="https://www.fool.com/the-ascent/small-business/accounting/articles/current-ratio-vs-quick-ratio/" TargetMode="External"/><Relationship Id="rId33" Type="http://schemas.openxmlformats.org/officeDocument/2006/relationships/hyperlink" Target="https://www.uschamber.com/co/run/finance/how-to-measure-business-profitability" TargetMode="External"/><Relationship Id="rId2" Type="http://schemas.openxmlformats.org/officeDocument/2006/relationships/customXml" Target="../customXml/item2.xml"/><Relationship Id="rId16" Type="http://schemas.openxmlformats.org/officeDocument/2006/relationships/hyperlink" Target="https://www.accountingtools.com/articles/operating-cash-flow" TargetMode="External"/><Relationship Id="rId20" Type="http://schemas.openxmlformats.org/officeDocument/2006/relationships/hyperlink" Target="https://www.fool.com/investing/how-to-invest/stocks/return-on-equity/" TargetMode="External"/><Relationship Id="rId29" Type="http://schemas.openxmlformats.org/officeDocument/2006/relationships/hyperlink" Target="https://www.investopedia.com/terms/g/gearingratio.asp"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www.investopedia.com/terms/c/currentratio.asp" TargetMode="External"/><Relationship Id="rId32" Type="http://schemas.openxmlformats.org/officeDocument/2006/relationships/hyperlink" Target="https://www.referenceforbusiness.com/history2/12/Marriott-International-Inc.html" TargetMode="External"/><Relationship Id="rId37"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hyperlink" Target="https://www.accountingtools.com/articles/what-are-the-limitations-of-ratio-analysis.html" TargetMode="External"/><Relationship Id="rId23" Type="http://schemas.openxmlformats.org/officeDocument/2006/relationships/hyperlink" Target="https://www.creativebrief.com/agency/digitas/case-studies/marriott-covid-recovery" TargetMode="External"/><Relationship Id="rId28" Type="http://schemas.openxmlformats.org/officeDocument/2006/relationships/hyperlink" Target="https://www.investopedia.com/terms/g/goingconcern.asp" TargetMode="External"/><Relationship Id="rId36" Type="http://schemas.openxmlformats.org/officeDocument/2006/relationships/glossaryDocument" Target="glossary/document.xml"/><Relationship Id="rId10" Type="http://schemas.openxmlformats.org/officeDocument/2006/relationships/footnotes" Target="footnotes.xml"/><Relationship Id="rId19" Type="http://schemas.openxmlformats.org/officeDocument/2006/relationships/hyperlink" Target="https://www.investopedia.com/ask/answers/121814/what-good-gearing-ratio.asp" TargetMode="External"/><Relationship Id="rId31" Type="http://schemas.openxmlformats.org/officeDocument/2006/relationships/hyperlink" Target="https://www.annualreports.com/HostedData/AnnualReportArchive/m/NASDAQ_MAR_2020.pdf"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chart" Target="charts/chart1.xml"/><Relationship Id="rId22" Type="http://schemas.openxmlformats.org/officeDocument/2006/relationships/hyperlink" Target="https://corporatefinanceinstitute.com/resources/accounting/limitations-ratio-analysis/" TargetMode="External"/><Relationship Id="rId27" Type="http://schemas.openxmlformats.org/officeDocument/2006/relationships/hyperlink" Target="https://www.businessinsider.com/personal-finance/what-is-liquidity?r=US&amp;IR=T" TargetMode="External"/><Relationship Id="rId30" Type="http://schemas.openxmlformats.org/officeDocument/2006/relationships/hyperlink" Target="https://www.macrotrends.net/stocks/charts/MAR/marriott/gross-margin" TargetMode="External"/><Relationship Id="rId35"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2020</c:v>
                </c:pt>
              </c:strCache>
            </c:strRef>
          </c:tx>
          <c:spPr>
            <a:solidFill>
              <a:schemeClr val="accent6"/>
            </a:solidFill>
            <a:ln>
              <a:noFill/>
            </a:ln>
            <a:effectLst/>
          </c:spPr>
          <c:invertIfNegative val="0"/>
          <c:trendline>
            <c:spPr>
              <a:ln w="19050" cap="rnd">
                <a:solidFill>
                  <a:schemeClr val="accent6"/>
                </a:solidFill>
                <a:prstDash val="sysDot"/>
              </a:ln>
              <a:effectLst/>
            </c:spPr>
            <c:trendlineType val="movingAvg"/>
            <c:period val="2"/>
            <c:dispRSqr val="0"/>
            <c:dispEq val="0"/>
          </c:trendline>
          <c:cat>
            <c:strRef>
              <c:f>Sheet1!$A$2:$A$9</c:f>
              <c:strCache>
                <c:ptCount val="8"/>
                <c:pt idx="0">
                  <c:v>Gross Margin</c:v>
                </c:pt>
                <c:pt idx="1">
                  <c:v>Net Margin</c:v>
                </c:pt>
                <c:pt idx="2">
                  <c:v>Operating Margin</c:v>
                </c:pt>
                <c:pt idx="3">
                  <c:v>ROA</c:v>
                </c:pt>
                <c:pt idx="4">
                  <c:v>ROE</c:v>
                </c:pt>
                <c:pt idx="5">
                  <c:v>Debts Ratio</c:v>
                </c:pt>
                <c:pt idx="6">
                  <c:v>ROCE</c:v>
                </c:pt>
                <c:pt idx="7">
                  <c:v>Current Ratio</c:v>
                </c:pt>
              </c:strCache>
            </c:strRef>
          </c:cat>
          <c:val>
            <c:numRef>
              <c:f>Sheet1!$B$2:$B$9</c:f>
              <c:numCache>
                <c:formatCode>General</c:formatCode>
                <c:ptCount val="8"/>
                <c:pt idx="0">
                  <c:v>13.8</c:v>
                </c:pt>
                <c:pt idx="1">
                  <c:v>-2.5299999999999998</c:v>
                </c:pt>
                <c:pt idx="2">
                  <c:v>0.79</c:v>
                </c:pt>
                <c:pt idx="3">
                  <c:v>-1.08</c:v>
                </c:pt>
                <c:pt idx="4">
                  <c:v>-62.09</c:v>
                </c:pt>
                <c:pt idx="5">
                  <c:v>24.13</c:v>
                </c:pt>
                <c:pt idx="6">
                  <c:v>0.01</c:v>
                </c:pt>
                <c:pt idx="7">
                  <c:v>0.49</c:v>
                </c:pt>
              </c:numCache>
            </c:numRef>
          </c:val>
          <c:extLst>
            <c:ext xmlns:c16="http://schemas.microsoft.com/office/drawing/2014/chart" uri="{C3380CC4-5D6E-409C-BE32-E72D297353CC}">
              <c16:uniqueId val="{00000000-878A-4604-913D-60861F98695D}"/>
            </c:ext>
          </c:extLst>
        </c:ser>
        <c:ser>
          <c:idx val="1"/>
          <c:order val="1"/>
          <c:tx>
            <c:strRef>
              <c:f>Sheet1!$C$1</c:f>
              <c:strCache>
                <c:ptCount val="1"/>
                <c:pt idx="0">
                  <c:v>2021</c:v>
                </c:pt>
              </c:strCache>
            </c:strRef>
          </c:tx>
          <c:spPr>
            <a:solidFill>
              <a:schemeClr val="accent5"/>
            </a:solidFill>
            <a:ln>
              <a:noFill/>
            </a:ln>
            <a:effectLst/>
          </c:spPr>
          <c:invertIfNegative val="0"/>
          <c:trendline>
            <c:spPr>
              <a:ln w="19050" cap="rnd">
                <a:solidFill>
                  <a:schemeClr val="accent5"/>
                </a:solidFill>
                <a:prstDash val="sysDot"/>
              </a:ln>
              <a:effectLst/>
            </c:spPr>
            <c:trendlineType val="movingAvg"/>
            <c:period val="2"/>
            <c:dispRSqr val="0"/>
            <c:dispEq val="0"/>
          </c:trendline>
          <c:trendline>
            <c:spPr>
              <a:ln w="19050" cap="rnd">
                <a:solidFill>
                  <a:schemeClr val="accent5"/>
                </a:solidFill>
                <a:prstDash val="sysDot"/>
              </a:ln>
              <a:effectLst/>
            </c:spPr>
            <c:trendlineType val="movingAvg"/>
            <c:period val="2"/>
            <c:dispRSqr val="0"/>
            <c:dispEq val="0"/>
          </c:trendline>
          <c:cat>
            <c:strRef>
              <c:f>Sheet1!$A$2:$A$9</c:f>
              <c:strCache>
                <c:ptCount val="8"/>
                <c:pt idx="0">
                  <c:v>Gross Margin</c:v>
                </c:pt>
                <c:pt idx="1">
                  <c:v>Net Margin</c:v>
                </c:pt>
                <c:pt idx="2">
                  <c:v>Operating Margin</c:v>
                </c:pt>
                <c:pt idx="3">
                  <c:v>ROA</c:v>
                </c:pt>
                <c:pt idx="4">
                  <c:v>ROE</c:v>
                </c:pt>
                <c:pt idx="5">
                  <c:v>Debts Ratio</c:v>
                </c:pt>
                <c:pt idx="6">
                  <c:v>ROCE</c:v>
                </c:pt>
                <c:pt idx="7">
                  <c:v>Current Ratio</c:v>
                </c:pt>
              </c:strCache>
            </c:strRef>
          </c:cat>
          <c:val>
            <c:numRef>
              <c:f>Sheet1!$C$2:$C$9</c:f>
              <c:numCache>
                <c:formatCode>General</c:formatCode>
                <c:ptCount val="8"/>
                <c:pt idx="0">
                  <c:v>20.21</c:v>
                </c:pt>
                <c:pt idx="1">
                  <c:v>7.93</c:v>
                </c:pt>
                <c:pt idx="2">
                  <c:v>12.63</c:v>
                </c:pt>
                <c:pt idx="3">
                  <c:v>4.3</c:v>
                </c:pt>
                <c:pt idx="4">
                  <c:v>77.72</c:v>
                </c:pt>
                <c:pt idx="5">
                  <c:v>7.17</c:v>
                </c:pt>
                <c:pt idx="6">
                  <c:v>9.14</c:v>
                </c:pt>
                <c:pt idx="7">
                  <c:v>0.56999999999999995</c:v>
                </c:pt>
              </c:numCache>
            </c:numRef>
          </c:val>
          <c:extLst>
            <c:ext xmlns:c16="http://schemas.microsoft.com/office/drawing/2014/chart" uri="{C3380CC4-5D6E-409C-BE32-E72D297353CC}">
              <c16:uniqueId val="{00000001-878A-4604-913D-60861F98695D}"/>
            </c:ext>
          </c:extLst>
        </c:ser>
        <c:dLbls>
          <c:showLegendKey val="0"/>
          <c:showVal val="0"/>
          <c:showCatName val="0"/>
          <c:showSerName val="0"/>
          <c:showPercent val="0"/>
          <c:showBubbleSize val="0"/>
        </c:dLbls>
        <c:gapWidth val="219"/>
        <c:overlap val="-27"/>
        <c:axId val="663698680"/>
        <c:axId val="663695072"/>
      </c:barChart>
      <c:catAx>
        <c:axId val="663698680"/>
        <c:scaling>
          <c:orientation val="minMax"/>
        </c:scaling>
        <c:delete val="0"/>
        <c:axPos val="b"/>
        <c:numFmt formatCode="00.00%" sourceLinked="0"/>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3695072"/>
        <c:crossesAt val="0"/>
        <c:auto val="1"/>
        <c:lblAlgn val="ctr"/>
        <c:lblOffset val="100"/>
        <c:noMultiLvlLbl val="0"/>
      </c:catAx>
      <c:valAx>
        <c:axId val="6636950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3698680"/>
        <c:crosses val="autoZero"/>
        <c:crossBetween val="between"/>
      </c:valAx>
      <c:spPr>
        <a:noFill/>
        <a:ln>
          <a:noFill/>
        </a:ln>
        <a:effectLst/>
      </c:spPr>
    </c:plotArea>
    <c:legend>
      <c:legendPos val="b"/>
      <c:legendEntry>
        <c:idx val="4"/>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447E4B"/>
    <w:rsid w:val="00626553"/>
    <w:rsid w:val="00667106"/>
    <w:rsid w:val="00765B6D"/>
    <w:rsid w:val="007F3239"/>
    <w:rsid w:val="00816C49"/>
    <w:rsid w:val="0083132B"/>
    <w:rsid w:val="00897804"/>
    <w:rsid w:val="00A34C42"/>
    <w:rsid w:val="00B87609"/>
    <w:rsid w:val="00BC1251"/>
    <w:rsid w:val="00C67429"/>
    <w:rsid w:val="00E67360"/>
    <w:rsid w:val="00F87C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2022-12-09T00:00:00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321913553D3EB4479A5F0D40DB0A3B87" ma:contentTypeVersion="15" ma:contentTypeDescription="Create a new document." ma:contentTypeScope="" ma:versionID="2bbf414c7904c1dc8e1cce7499068dfc">
  <xsd:schema xmlns:xsd="http://www.w3.org/2001/XMLSchema" xmlns:xs="http://www.w3.org/2001/XMLSchema" xmlns:p="http://schemas.microsoft.com/office/2006/metadata/properties" xmlns:ns3="e2529e2e-246e-4beb-bcc0-0746cc8768ab" xmlns:ns4="f4749491-4d80-4c02-8964-7cff4f7a4456" targetNamespace="http://schemas.microsoft.com/office/2006/metadata/properties" ma:root="true" ma:fieldsID="1299ba2e209a94c4e81664d4fa415346" ns3:_="" ns4:_="">
    <xsd:import namespace="e2529e2e-246e-4beb-bcc0-0746cc8768ab"/>
    <xsd:import namespace="f4749491-4d80-4c02-8964-7cff4f7a4456"/>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AutoKeyPoints" minOccurs="0"/>
                <xsd:element ref="ns3:MediaServiceKeyPoints"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DateTaken" minOccurs="0"/>
                <xsd:element ref="ns3:MediaServiceLocation" minOccurs="0"/>
                <xsd:element ref="ns3:MediaLengthInSecond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529e2e-246e-4beb-bcc0-0746cc8768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4749491-4d80-4c02-8964-7cff4f7a4456"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089997B-1BA3-4552-BD01-A020246ED28E}">
  <ds:schemaRefs>
    <ds:schemaRef ds:uri="http://schemas.openxmlformats.org/officeDocument/2006/bibliography"/>
  </ds:schemaRefs>
</ds:datastoreItem>
</file>

<file path=customXml/itemProps3.xml><?xml version="1.0" encoding="utf-8"?>
<ds:datastoreItem xmlns:ds="http://schemas.openxmlformats.org/officeDocument/2006/customXml" ds:itemID="{67966E1F-1CAE-4025-9E7C-4B7C36E7B55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529e2e-246e-4beb-bcc0-0746cc8768ab"/>
    <ds:schemaRef ds:uri="f4749491-4d80-4c02-8964-7cff4f7a445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D2F4F2A-CF7C-401C-BB08-257D9F0C0488}">
  <ds:schemaRefs>
    <ds:schemaRef ds:uri="http://schemas.microsoft.com/sharepoint/v3/contenttype/forms"/>
  </ds:schemaRefs>
</ds:datastoreItem>
</file>

<file path=customXml/itemProps5.xml><?xml version="1.0" encoding="utf-8"?>
<ds:datastoreItem xmlns:ds="http://schemas.openxmlformats.org/officeDocument/2006/customXml" ds:itemID="{10A531A7-2A6C-4247-BEF2-F5F7AC812B19}">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1435</TotalTime>
  <Pages>11</Pages>
  <Words>2941</Words>
  <Characters>16765</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Marriott International</vt:lpstr>
    </vt:vector>
  </TitlesOfParts>
  <Company>University of Wales Trinity Saint David</Company>
  <LinksUpToDate>false</LinksUpToDate>
  <CharactersWithSpaces>19667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Marriott International</dc:title>
  <dc:subject>Analysis of the Financial Statement</dc:subject>
  <dc:creator>Marie Pitson</dc:creator>
  <cp:keywords/>
  <dc:description/>
  <cp:lastModifiedBy>Antonela Puiu (2025260)</cp:lastModifiedBy>
  <cp:revision>66</cp:revision>
  <dcterms:created xsi:type="dcterms:W3CDTF">2022-12-01T00:06:00Z</dcterms:created>
  <dcterms:modified xsi:type="dcterms:W3CDTF">2022-12-09T01:43:00Z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0x010100321913553D3EB4479A5F0D40DB0A3B87</vt:lpwstr>
  </property>
</Properties>
</file>