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b/>
          <w:bCs/>
          <w:u w:val="single"/>
        </w:rPr>
        <w:t>Findings and Conclusions</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rPr>
        <w:t>The purpose of this paper is to address the question as to whether a reactive approach to response policing is more effective than a proactive approach, and if there is anything that can be done to increase the effectiveness of each approach.  In order to achieve this, research has been conducted with different groups of police officers and members of the public to ensure that a fair and ethical understanding is gained from the research that has been undertaken.  It is the expected outcome that this paper will show the gaps that are present in the research that had already been undertaken and address these, before making suggestions for the future.</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rPr>
        <w:t>The general consensus amongst all police officers who were canvassed for this study is that they do not utilise a proactive style of policing often enough.  It can be seen in the analysis of results section that response officers use proactive methods the least often, with neighbourhood officers using this method slightly more often than the response colleagues.</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rPr>
        <w:t>This result goes against what was suggested by Haskins, P. 2019, whereby he stated that proactive policing appears to be here to stay.  The results that have been obtained in this study suggest that officers wish to be able to spend more time utilising proactive policing methods, but that this is obviously not possible due to the results obtained.</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rPr>
        <w:t>Therefore, it can be suggested that this study br</w:t>
      </w:r>
      <w:bookmarkStart w:id="0" w:name="_GoBack"/>
      <w:bookmarkEnd w:id="0"/>
      <w:r w:rsidRPr="00361066">
        <w:rPr>
          <w:rFonts w:asciiTheme="minorHAnsi" w:eastAsia="Times New Roman" w:hAnsiTheme="minorHAnsi" w:cstheme="minorHAnsi"/>
        </w:rPr>
        <w:t>idges the gap in research that was conducted by Haskins, P. 2019 as it shows that from soaking to serving police officers, they believe that not enough time is allowed for them to engage proactively.  This is further backed up by all officers who took part in the survey stating that they wish more time could be spend engaging proactively than it currently is, showing that whilst proactive policing may endeavour to become more prominent, it is currently not the case.</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rPr>
        <w:t xml:space="preserve">Moreover, the members of the public who were considered as part of this study believe that police do not spend much time acting proactively.  Inference could be drawn here to suggest that they are aware of the pressures faced by police in the volume of work that is already present, and that as a result of this police are often unable to respond proactively to </w:t>
      </w:r>
      <w:proofErr w:type="spellStart"/>
      <w:r w:rsidRPr="00361066">
        <w:rPr>
          <w:rFonts w:asciiTheme="minorHAnsi" w:eastAsia="Times New Roman" w:hAnsiTheme="minorHAnsi" w:cstheme="minorHAnsi"/>
        </w:rPr>
        <w:t>communities</w:t>
      </w:r>
      <w:proofErr w:type="spellEnd"/>
      <w:r w:rsidRPr="00361066">
        <w:rPr>
          <w:rFonts w:asciiTheme="minorHAnsi" w:eastAsia="Times New Roman" w:hAnsiTheme="minorHAnsi" w:cstheme="minorHAnsi"/>
        </w:rPr>
        <w:t xml:space="preserve"> needs.  Also, there was a comment made by one respondent who said that they believe funding needs to be increased to enable the police to have more options to deal with matters.</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rPr>
        <w:t>This result could be compared to research conducted by Maguire, M. 2006 whereby it is suggested that the future of British policing is through intelligence-led policing.  This shows that there is a desire from the public for police to act more proactively, however due to the constraints currently faced, this is often not possible.</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rPr>
        <w:t>From comparing the research results obtained in this study to ones that have gone before, inference can be drawn that the public are well aware of the issues faced by police, however the public are still expectant of the police to maintain the service that is provided and needed by the population.</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rPr>
        <w:lastRenderedPageBreak/>
        <w:t>Although similarities can be seen between the studies that have been mentioned above in relation to the study utilised in this paper, there are some differences.  Namely, this study involved the canvassing of serving police officers from different departments, as well as members of the public, through the use of a similar style of survey.  This puts this study separate from the others that have been mentioned above.</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rPr>
        <w:t>The findings of this study are broadly what was expected prior to the study commencing. The results show that there is a clear want and need for police officers to be able to act proactively more of the time than they currently are.  This was expected due to the constraints that are faced by officers due to lack of resources, lack of funding and overwork which all too often prevent police officers from acting proactively, as they want to do so as has been demonstrated through the results of this study.</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b/>
          <w:bCs/>
          <w:u w:val="single"/>
        </w:rPr>
        <w:t>Limitations of Study</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rPr>
        <w:t>Whilst this study has been carried out studiously, there are some inevitable limitations to it.  The main limitation that has been identified throughout the study is that it has only been two departments canvassed for their thoughts and feelings regarding the topic.  It would be more beneficial in future to ensure a wider range of departments are considered, as there are some departments who use only proactive methods and no reactive methods at all.  Therefore, it would be beneficial to get the views of officers within these departments to ascertain if they would indeed rather police slightly more reactively than they do due to the restraints of their own departments.</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rPr>
        <w:t>Another limitation is the type of members of the public who were asked to complete the survey.  This was limited to friends and family in this instance to ensure a high response rate, however it would have perhaps been more ideal to canvas the wider public also.  Although this may have resulted in a lower response rate, it could have enabled a wider dynamic to have their views heard over the policing style that they experience and what it means for them.</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b/>
          <w:bCs/>
          <w:u w:val="single"/>
        </w:rPr>
        <w:t>Suggestions for further research</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rPr>
        <w:t>The results of this study and the subsequent findings and conclusions can form a basis on which further research can be developed moving forwards.</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rPr>
        <w:t>One suggestion that could be deemed beneficial going forwards is to ensure that officers from all departments across a force are included in the study group to ensure the biggest spread of results and the best insight into the values and beliefs of police officers throughout the force.</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rPr>
        <w:t>Another suggestion going forward from this study is to aim for a push in achieving a higher result rate from the subjects who received the survey. This again would assist in obtaining a higher success rate and therefore a greater spread of officers who submit results, meaning that the views of a wider number of the organisation are taken into account.</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rPr>
        <w:lastRenderedPageBreak/>
        <w:t>A study by Evans, D et al. 2014 suggests that there is a requirement in some research studies to incorporate more qualitative results than quantitative to ensure that the views of the subjects are taken into consideration.  Therefore, it could be suggested that if further research was to be undertaken into this subject, the consideration be given for more written answer questions to be included in the survey to ensure that the views of individuals are captured and considered more than they have been in this paper.</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b/>
          <w:bCs/>
          <w:u w:val="single"/>
        </w:rPr>
        <w:t>Conclusion</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rPr>
        <w:t>Overall, the conclusion can be drawn from the research gathered that the-olive officers included this study do not feel that they spend as much time acting proactively as they may like.  This can be down to a multitude of reasons, which further research may also be able to identify.</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rPr>
        <w:t>Along with this, the study has shown that members of the public also feel that the police are not afforded enough opportunity to act in a proactive manner, and this is something that needs to be addressed to meet the public’s needs.</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rPr>
        <w:t>There is an obvious gap in the way that police are able to respond to and prevent crimes from occurring.  It would be interesting and beneficial going forward to look more into the issues that cause this to be the case, and why the police have to react in a reactive way to crime rather than going out and stopping it from occurring in the first place.  Admittedly, there are limitations to the types of crime that can be policed proactively, and due to this a reactive method will always be required in certain circumstances.</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rPr>
        <w:t>To conclude, it appears that there is still a long way to go in policing until officers are able to utilise a proactive method in their daily work, and whilst there is an inevitable draw towards a reactive style due to the nature of crime, it would be beneficial for police officers to be able to strike a balance between the two to best serve the community.</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p>
    <w:p w:rsidR="00361066" w:rsidRDefault="00361066" w:rsidP="00361066">
      <w:pPr>
        <w:rPr>
          <w:rFonts w:asciiTheme="minorHAnsi" w:eastAsia="Times New Roman" w:hAnsiTheme="minorHAnsi" w:cstheme="minorHAnsi"/>
          <w:b/>
          <w:bCs/>
        </w:rPr>
      </w:pPr>
      <w:r w:rsidRPr="00361066">
        <w:rPr>
          <w:rFonts w:asciiTheme="minorHAnsi" w:eastAsia="Times New Roman" w:hAnsiTheme="minorHAnsi" w:cstheme="minorHAnsi"/>
          <w:b/>
          <w:bCs/>
        </w:rPr>
        <w:t xml:space="preserve">Word Count </w:t>
      </w:r>
      <w:r>
        <w:rPr>
          <w:rFonts w:asciiTheme="minorHAnsi" w:eastAsia="Times New Roman" w:hAnsiTheme="minorHAnsi" w:cstheme="minorHAnsi"/>
          <w:b/>
          <w:bCs/>
        </w:rPr>
        <w:t>–</w:t>
      </w:r>
      <w:r w:rsidRPr="00361066">
        <w:rPr>
          <w:rFonts w:asciiTheme="minorHAnsi" w:eastAsia="Times New Roman" w:hAnsiTheme="minorHAnsi" w:cstheme="minorHAnsi"/>
          <w:b/>
          <w:bCs/>
        </w:rPr>
        <w:t xml:space="preserve"> 1358</w:t>
      </w:r>
    </w:p>
    <w:p w:rsidR="00361066" w:rsidRDefault="00361066" w:rsidP="00361066">
      <w:pPr>
        <w:rPr>
          <w:rFonts w:asciiTheme="minorHAnsi" w:eastAsia="Times New Roman" w:hAnsiTheme="minorHAnsi" w:cstheme="minorHAnsi"/>
          <w:b/>
          <w:bCs/>
        </w:rPr>
      </w:pPr>
    </w:p>
    <w:p w:rsidR="00361066" w:rsidRDefault="00361066" w:rsidP="00361066">
      <w:pPr>
        <w:rPr>
          <w:rFonts w:asciiTheme="minorHAnsi" w:eastAsia="Times New Roman" w:hAnsiTheme="minorHAnsi" w:cstheme="minorHAnsi"/>
          <w:b/>
          <w:bCs/>
        </w:rPr>
      </w:pPr>
    </w:p>
    <w:p w:rsidR="00361066" w:rsidRDefault="00361066" w:rsidP="00361066">
      <w:pPr>
        <w:rPr>
          <w:rFonts w:asciiTheme="minorHAnsi" w:eastAsia="Times New Roman" w:hAnsiTheme="minorHAnsi" w:cstheme="minorHAnsi"/>
          <w:b/>
          <w:bCs/>
        </w:rPr>
      </w:pPr>
    </w:p>
    <w:p w:rsidR="00361066" w:rsidRDefault="00361066" w:rsidP="00361066">
      <w:pPr>
        <w:rPr>
          <w:rFonts w:asciiTheme="minorHAnsi" w:eastAsia="Times New Roman" w:hAnsiTheme="minorHAnsi" w:cstheme="minorHAnsi"/>
          <w:b/>
          <w:bCs/>
        </w:rPr>
      </w:pPr>
    </w:p>
    <w:p w:rsidR="00361066" w:rsidRDefault="00361066" w:rsidP="00361066">
      <w:pPr>
        <w:rPr>
          <w:rFonts w:asciiTheme="minorHAnsi" w:eastAsia="Times New Roman" w:hAnsiTheme="minorHAnsi" w:cstheme="minorHAnsi"/>
          <w:b/>
          <w:bCs/>
        </w:rPr>
      </w:pPr>
    </w:p>
    <w:p w:rsidR="00361066" w:rsidRDefault="00361066" w:rsidP="00361066">
      <w:pPr>
        <w:rPr>
          <w:rFonts w:asciiTheme="minorHAnsi" w:eastAsia="Times New Roman" w:hAnsiTheme="minorHAnsi" w:cstheme="minorHAnsi"/>
          <w:b/>
          <w:bCs/>
        </w:rPr>
      </w:pPr>
    </w:p>
    <w:p w:rsidR="00361066" w:rsidRDefault="00361066" w:rsidP="00361066">
      <w:pPr>
        <w:rPr>
          <w:rFonts w:asciiTheme="minorHAnsi" w:eastAsia="Times New Roman" w:hAnsiTheme="minorHAnsi" w:cstheme="minorHAnsi"/>
          <w:b/>
          <w:bCs/>
        </w:rPr>
      </w:pPr>
    </w:p>
    <w:p w:rsidR="00361066" w:rsidRDefault="00361066" w:rsidP="00361066">
      <w:pPr>
        <w:rPr>
          <w:rFonts w:asciiTheme="minorHAnsi" w:eastAsia="Times New Roman" w:hAnsiTheme="minorHAnsi" w:cstheme="minorHAnsi"/>
          <w:b/>
          <w:bCs/>
        </w:rPr>
      </w:pPr>
    </w:p>
    <w:p w:rsidR="00361066" w:rsidRDefault="00361066" w:rsidP="00361066">
      <w:pPr>
        <w:rPr>
          <w:rFonts w:asciiTheme="minorHAnsi" w:eastAsia="Times New Roman" w:hAnsiTheme="minorHAnsi" w:cstheme="minorHAnsi"/>
          <w:b/>
          <w:bCs/>
        </w:rPr>
      </w:pPr>
    </w:p>
    <w:p w:rsidR="00361066" w:rsidRDefault="00361066" w:rsidP="00361066">
      <w:pPr>
        <w:rPr>
          <w:rFonts w:asciiTheme="minorHAnsi" w:eastAsia="Times New Roman" w:hAnsiTheme="minorHAnsi" w:cstheme="minorHAnsi"/>
          <w:b/>
          <w:bCs/>
        </w:rPr>
      </w:pPr>
    </w:p>
    <w:p w:rsidR="00361066" w:rsidRDefault="00361066" w:rsidP="00361066">
      <w:pPr>
        <w:rPr>
          <w:rFonts w:asciiTheme="minorHAnsi" w:eastAsia="Times New Roman" w:hAnsiTheme="minorHAnsi" w:cstheme="minorHAnsi"/>
          <w:b/>
          <w:bCs/>
        </w:rPr>
      </w:pPr>
    </w:p>
    <w:p w:rsidR="00361066" w:rsidRDefault="00361066" w:rsidP="00361066">
      <w:pPr>
        <w:rPr>
          <w:rFonts w:asciiTheme="minorHAnsi" w:eastAsia="Times New Roman" w:hAnsiTheme="minorHAnsi" w:cstheme="minorHAnsi"/>
          <w:b/>
          <w:bCs/>
        </w:rPr>
      </w:pPr>
    </w:p>
    <w:p w:rsidR="00361066" w:rsidRDefault="00361066" w:rsidP="00361066">
      <w:pPr>
        <w:rPr>
          <w:rFonts w:asciiTheme="minorHAnsi" w:eastAsia="Times New Roman" w:hAnsiTheme="minorHAnsi" w:cstheme="minorHAnsi"/>
          <w:b/>
          <w:bCs/>
        </w:rPr>
      </w:pPr>
    </w:p>
    <w:p w:rsidR="00361066" w:rsidRDefault="00361066" w:rsidP="00361066">
      <w:pPr>
        <w:rPr>
          <w:rFonts w:asciiTheme="minorHAnsi" w:eastAsia="Times New Roman" w:hAnsiTheme="minorHAnsi" w:cstheme="minorHAnsi"/>
          <w:b/>
          <w:bCs/>
        </w:rPr>
      </w:pP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rPr>
        <w:lastRenderedPageBreak/>
        <w:t xml:space="preserve">Evans, D et al. (2014). </w:t>
      </w:r>
      <w:r w:rsidRPr="00361066">
        <w:rPr>
          <w:rFonts w:asciiTheme="minorHAnsi" w:eastAsia="Times New Roman" w:hAnsiTheme="minorHAnsi" w:cstheme="minorHAnsi"/>
          <w:i/>
          <w:iCs/>
        </w:rPr>
        <w:t>Chapter 9Conclusions and recommendations for future research.</w:t>
      </w:r>
      <w:r w:rsidRPr="00361066">
        <w:rPr>
          <w:rFonts w:asciiTheme="minorHAnsi" w:eastAsia="Times New Roman" w:hAnsiTheme="minorHAnsi" w:cstheme="minorHAnsi"/>
        </w:rPr>
        <w:t xml:space="preserve"> Available: </w:t>
      </w:r>
      <w:hyperlink r:id="rId6" w:history="1">
        <w:r w:rsidRPr="00361066">
          <w:rPr>
            <w:rStyle w:val="Hyperlink"/>
            <w:rFonts w:asciiTheme="minorHAnsi" w:eastAsia="Times New Roman" w:hAnsiTheme="minorHAnsi" w:cstheme="minorHAnsi"/>
          </w:rPr>
          <w:t>https://www.ncbi.nlm.nih.gov/books/NBK260175/</w:t>
        </w:r>
      </w:hyperlink>
      <w:r w:rsidRPr="00361066">
        <w:rPr>
          <w:rFonts w:asciiTheme="minorHAnsi" w:eastAsia="Times New Roman" w:hAnsiTheme="minorHAnsi" w:cstheme="minorHAnsi"/>
        </w:rPr>
        <w:t>. Last accessed 30th Oct 2021.</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rPr>
        <w:t xml:space="preserve">HASKINS, P. (2019). </w:t>
      </w:r>
      <w:r w:rsidRPr="00361066">
        <w:rPr>
          <w:rFonts w:asciiTheme="minorHAnsi" w:eastAsia="Times New Roman" w:hAnsiTheme="minorHAnsi" w:cstheme="minorHAnsi"/>
          <w:i/>
          <w:iCs/>
        </w:rPr>
        <w:t>Research Will Shape the Future of Proactive Policing.</w:t>
      </w:r>
      <w:r w:rsidRPr="00361066">
        <w:rPr>
          <w:rFonts w:asciiTheme="minorHAnsi" w:eastAsia="Times New Roman" w:hAnsiTheme="minorHAnsi" w:cstheme="minorHAnsi"/>
        </w:rPr>
        <w:t xml:space="preserve"> Available: </w:t>
      </w:r>
      <w:hyperlink r:id="rId7" w:history="1">
        <w:r w:rsidRPr="00361066">
          <w:rPr>
            <w:rStyle w:val="Hyperlink"/>
            <w:rFonts w:asciiTheme="minorHAnsi" w:eastAsia="Times New Roman" w:hAnsiTheme="minorHAnsi" w:cstheme="minorHAnsi"/>
          </w:rPr>
          <w:t>https://nij.ojp.gov/topics/articles/research-will-shape-future-proactive-policing</w:t>
        </w:r>
      </w:hyperlink>
      <w:r w:rsidRPr="00361066">
        <w:rPr>
          <w:rFonts w:asciiTheme="minorHAnsi" w:eastAsia="Times New Roman" w:hAnsiTheme="minorHAnsi" w:cstheme="minorHAnsi"/>
        </w:rPr>
        <w:t>. Last accessed 25th July 2021.</w:t>
      </w:r>
    </w:p>
    <w:p w:rsidR="00361066" w:rsidRPr="00361066" w:rsidRDefault="00361066" w:rsidP="00361066">
      <w:pPr>
        <w:rPr>
          <w:rFonts w:asciiTheme="minorHAnsi" w:eastAsia="Times New Roman" w:hAnsiTheme="minorHAnsi" w:cstheme="minorHAnsi"/>
        </w:rPr>
      </w:pPr>
    </w:p>
    <w:p w:rsidR="00361066" w:rsidRPr="00361066" w:rsidRDefault="00361066" w:rsidP="00361066">
      <w:pPr>
        <w:rPr>
          <w:rFonts w:asciiTheme="minorHAnsi" w:eastAsia="Times New Roman" w:hAnsiTheme="minorHAnsi" w:cstheme="minorHAnsi"/>
        </w:rPr>
      </w:pPr>
      <w:r w:rsidRPr="00361066">
        <w:rPr>
          <w:rFonts w:asciiTheme="minorHAnsi" w:eastAsia="Times New Roman" w:hAnsiTheme="minorHAnsi" w:cstheme="minorHAnsi"/>
        </w:rPr>
        <w:t xml:space="preserve">MAGUIRE, M. (2006). </w:t>
      </w:r>
      <w:r w:rsidRPr="00361066">
        <w:rPr>
          <w:rFonts w:asciiTheme="minorHAnsi" w:eastAsia="Times New Roman" w:hAnsiTheme="minorHAnsi" w:cstheme="minorHAnsi"/>
          <w:i/>
          <w:iCs/>
        </w:rPr>
        <w:t xml:space="preserve">Intelligence Led Policing, </w:t>
      </w:r>
      <w:proofErr w:type="spellStart"/>
      <w:r w:rsidRPr="00361066">
        <w:rPr>
          <w:rFonts w:asciiTheme="minorHAnsi" w:eastAsia="Times New Roman" w:hAnsiTheme="minorHAnsi" w:cstheme="minorHAnsi"/>
          <w:i/>
          <w:iCs/>
        </w:rPr>
        <w:t>Managerialism</w:t>
      </w:r>
      <w:proofErr w:type="spellEnd"/>
      <w:r w:rsidRPr="00361066">
        <w:rPr>
          <w:rFonts w:asciiTheme="minorHAnsi" w:eastAsia="Times New Roman" w:hAnsiTheme="minorHAnsi" w:cstheme="minorHAnsi"/>
          <w:i/>
          <w:iCs/>
        </w:rPr>
        <w:t xml:space="preserve"> and Community Engagement: Competing Priorities and the Role of the National Intelligence Model in the UK.</w:t>
      </w:r>
      <w:r w:rsidRPr="00361066">
        <w:rPr>
          <w:rFonts w:asciiTheme="minorHAnsi" w:eastAsia="Times New Roman" w:hAnsiTheme="minorHAnsi" w:cstheme="minorHAnsi"/>
        </w:rPr>
        <w:t xml:space="preserve"> Available: </w:t>
      </w:r>
      <w:hyperlink r:id="rId8" w:history="1">
        <w:r w:rsidRPr="00361066">
          <w:rPr>
            <w:rStyle w:val="Hyperlink"/>
            <w:rFonts w:asciiTheme="minorHAnsi" w:eastAsia="Times New Roman" w:hAnsiTheme="minorHAnsi" w:cstheme="minorHAnsi"/>
          </w:rPr>
          <w:t>https://www.tandfonline.com/doi/abs/10.1080/10439460500399791</w:t>
        </w:r>
      </w:hyperlink>
      <w:r w:rsidRPr="00361066">
        <w:rPr>
          <w:rFonts w:asciiTheme="minorHAnsi" w:eastAsia="Times New Roman" w:hAnsiTheme="minorHAnsi" w:cstheme="minorHAnsi"/>
        </w:rPr>
        <w:t>. Last accessed 25th July 2021.</w:t>
      </w:r>
    </w:p>
    <w:p w:rsidR="00542C20" w:rsidRPr="00361066" w:rsidRDefault="00542C20">
      <w:pPr>
        <w:rPr>
          <w:rFonts w:asciiTheme="minorHAnsi" w:hAnsiTheme="minorHAnsi" w:cstheme="minorHAnsi"/>
        </w:rPr>
      </w:pPr>
    </w:p>
    <w:sectPr w:rsidR="00542C20" w:rsidRPr="00361066" w:rsidSect="00361066">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61066" w:rsidRDefault="00361066" w:rsidP="00361066">
      <w:r>
        <w:separator/>
      </w:r>
    </w:p>
  </w:endnote>
  <w:endnote w:type="continuationSeparator" w:id="0">
    <w:p w:rsidR="00361066" w:rsidRDefault="00361066" w:rsidP="003610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1066" w:rsidRDefault="00361066" w:rsidP="00361066">
    <w:pPr>
      <w:pStyle w:val="Footer"/>
      <w:rPr>
        <w:color w:val="000000"/>
        <w:sz w:val="17"/>
      </w:rPr>
    </w:pPr>
    <w:bookmarkStart w:id="3" w:name="TITUS1FooterEvenPages"/>
    <w:r w:rsidRPr="00361066">
      <w:rPr>
        <w:color w:val="000000"/>
        <w:sz w:val="17"/>
      </w:rPr>
      <w:t> </w:t>
    </w:r>
  </w:p>
  <w:bookmarkEnd w:id="3"/>
  <w:p w:rsidR="00361066" w:rsidRDefault="003610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1066" w:rsidRDefault="00361066" w:rsidP="00361066">
    <w:pPr>
      <w:pStyle w:val="Footer"/>
      <w:rPr>
        <w:color w:val="000000"/>
        <w:sz w:val="17"/>
      </w:rPr>
    </w:pPr>
    <w:bookmarkStart w:id="4" w:name="TITUS1FooterPrimary"/>
    <w:r w:rsidRPr="00361066">
      <w:rPr>
        <w:color w:val="000000"/>
        <w:sz w:val="17"/>
      </w:rPr>
      <w:t> </w:t>
    </w:r>
  </w:p>
  <w:bookmarkEnd w:id="4"/>
  <w:p w:rsidR="00361066" w:rsidRDefault="0036106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1066" w:rsidRDefault="00361066" w:rsidP="00361066">
    <w:pPr>
      <w:pStyle w:val="Footer"/>
      <w:rPr>
        <w:color w:val="000000"/>
        <w:sz w:val="17"/>
      </w:rPr>
    </w:pPr>
    <w:bookmarkStart w:id="6" w:name="TITUS1FooterFirstPage"/>
    <w:r w:rsidRPr="00361066">
      <w:rPr>
        <w:color w:val="000000"/>
        <w:sz w:val="17"/>
      </w:rPr>
      <w:t> </w:t>
    </w:r>
  </w:p>
  <w:bookmarkEnd w:id="6"/>
  <w:p w:rsidR="00361066" w:rsidRDefault="003610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61066" w:rsidRDefault="00361066" w:rsidP="00361066">
      <w:r>
        <w:separator/>
      </w:r>
    </w:p>
  </w:footnote>
  <w:footnote w:type="continuationSeparator" w:id="0">
    <w:p w:rsidR="00361066" w:rsidRDefault="00361066" w:rsidP="003610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1066" w:rsidRDefault="00361066" w:rsidP="00361066">
    <w:pPr>
      <w:pStyle w:val="Header"/>
      <w:rPr>
        <w:color w:val="000000"/>
        <w:sz w:val="17"/>
      </w:rPr>
    </w:pPr>
    <w:bookmarkStart w:id="1" w:name="TITUS1HeaderEvenPages"/>
    <w:r w:rsidRPr="00361066">
      <w:rPr>
        <w:color w:val="000000"/>
        <w:sz w:val="17"/>
      </w:rPr>
      <w:t> </w:t>
    </w:r>
  </w:p>
  <w:bookmarkEnd w:id="1"/>
  <w:p w:rsidR="00361066" w:rsidRDefault="003610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1066" w:rsidRDefault="00361066" w:rsidP="00361066">
    <w:pPr>
      <w:pStyle w:val="Header"/>
      <w:rPr>
        <w:color w:val="000000"/>
        <w:sz w:val="17"/>
      </w:rPr>
    </w:pPr>
    <w:bookmarkStart w:id="2" w:name="TITUS1HeaderPrimary"/>
    <w:r w:rsidRPr="00361066">
      <w:rPr>
        <w:color w:val="000000"/>
        <w:sz w:val="17"/>
      </w:rPr>
      <w:t> </w:t>
    </w:r>
  </w:p>
  <w:bookmarkEnd w:id="2"/>
  <w:p w:rsidR="00361066" w:rsidRDefault="003610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1066" w:rsidRDefault="00361066" w:rsidP="00361066">
    <w:pPr>
      <w:pStyle w:val="Header"/>
      <w:rPr>
        <w:color w:val="000000"/>
        <w:sz w:val="17"/>
      </w:rPr>
    </w:pPr>
    <w:bookmarkStart w:id="5" w:name="TITUS1HeaderFirstPage"/>
    <w:r w:rsidRPr="00361066">
      <w:rPr>
        <w:color w:val="000000"/>
        <w:sz w:val="17"/>
      </w:rPr>
      <w:t> </w:t>
    </w:r>
  </w:p>
  <w:bookmarkEnd w:id="5"/>
  <w:p w:rsidR="00361066" w:rsidRDefault="0036106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1066"/>
    <w:rsid w:val="00361066"/>
    <w:rsid w:val="00542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CB85D2"/>
  <w15:chartTrackingRefBased/>
  <w15:docId w15:val="{B5EF48C0-4156-40C6-A859-6F2A4F752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1066"/>
    <w:pPr>
      <w:spacing w:after="0" w:line="240" w:lineRule="auto"/>
    </w:pPr>
    <w:rPr>
      <w:rFonts w:ascii="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61066"/>
    <w:rPr>
      <w:color w:val="0000FF"/>
      <w:u w:val="single"/>
    </w:rPr>
  </w:style>
  <w:style w:type="paragraph" w:styleId="Header">
    <w:name w:val="header"/>
    <w:basedOn w:val="Normal"/>
    <w:link w:val="HeaderChar"/>
    <w:uiPriority w:val="99"/>
    <w:unhideWhenUsed/>
    <w:rsid w:val="00361066"/>
    <w:pPr>
      <w:tabs>
        <w:tab w:val="center" w:pos="4513"/>
        <w:tab w:val="right" w:pos="9026"/>
      </w:tabs>
    </w:pPr>
  </w:style>
  <w:style w:type="character" w:customStyle="1" w:styleId="HeaderChar">
    <w:name w:val="Header Char"/>
    <w:basedOn w:val="DefaultParagraphFont"/>
    <w:link w:val="Header"/>
    <w:uiPriority w:val="99"/>
    <w:rsid w:val="00361066"/>
    <w:rPr>
      <w:rFonts w:ascii="Times New Roman" w:hAnsi="Times New Roman" w:cs="Times New Roman"/>
      <w:sz w:val="24"/>
      <w:szCs w:val="24"/>
      <w:lang w:eastAsia="en-GB"/>
    </w:rPr>
  </w:style>
  <w:style w:type="paragraph" w:styleId="Footer">
    <w:name w:val="footer"/>
    <w:basedOn w:val="Normal"/>
    <w:link w:val="FooterChar"/>
    <w:uiPriority w:val="99"/>
    <w:unhideWhenUsed/>
    <w:rsid w:val="00361066"/>
    <w:pPr>
      <w:tabs>
        <w:tab w:val="center" w:pos="4513"/>
        <w:tab w:val="right" w:pos="9026"/>
      </w:tabs>
    </w:pPr>
  </w:style>
  <w:style w:type="character" w:customStyle="1" w:styleId="FooterChar">
    <w:name w:val="Footer Char"/>
    <w:basedOn w:val="DefaultParagraphFont"/>
    <w:link w:val="Footer"/>
    <w:uiPriority w:val="99"/>
    <w:rsid w:val="00361066"/>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6142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br01.safelinks.protection.outlook.com/?url=https%3A%2F%2Fwww.tandfonline.com%2Fdoi%2Fabs%2F10.1080%2F10439460500399791&amp;data=04%7C01%7Cjacob.morgan2%40south-wales.police.uk%7Ca0372d4a844c44cbd5e308d99d608999%7C270c2f4dfd0c4f0892a9e5bdd8a87e09%7C0%7C0%7C637713860939551668%7CUnknown%7CTWFpbGZsb3d8eyJWIjoiMC4wLjAwMDAiLCJQIjoiV2luMzIiLCJBTiI6Ik1haWwiLCJXVCI6Mn0%3D%7C3000&amp;sdata=PdDAFlss4wdXr%2FrwcWLFTe5jKbmUjPUAAawxrsB6eis%3D&amp;reserved=0" TargetMode="External"/><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hyperlink" Target="https://gbr01.safelinks.protection.outlook.com/?url=https%3A%2F%2Fnij.ojp.gov%2Ftopics%2Farticles%2Fresearch-will-shape-future-proactive-policing&amp;data=04%7C01%7Cjacob.morgan2%40south-wales.police.uk%7Ca0372d4a844c44cbd5e308d99d608999%7C270c2f4dfd0c4f0892a9e5bdd8a87e09%7C0%7C0%7C637713860939541712%7CUnknown%7CTWFpbGZsb3d8eyJWIjoiMC4wLjAwMDAiLCJQIjoiV2luMzIiLCJBTiI6Ik1haWwiLCJXVCI6Mn0%3D%7C3000&amp;sdata=CwvmspVr1YrQBulVWII3dWqfVJUHgc6%2BvFpjhFjEiPI%3D&amp;reserved=0" TargetMode="External"/><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gbr01.safelinks.protection.outlook.com/?url=https%3A%2F%2Fwww.ncbi.nlm.nih.gov%2Fbooks%2FNBK260175%2F&amp;data=04%7C01%7Cjacob.morgan2%40south-wales.police.uk%7Ca0372d4a844c44cbd5e308d99d608999%7C270c2f4dfd0c4f0892a9e5bdd8a87e09%7C0%7C0%7C637713860939541712%7CUnknown%7CTWFpbGZsb3d8eyJWIjoiMC4wLjAwMDAiLCJQIjoiV2luMzIiLCJBTiI6Ik1haWwiLCJXVCI6Mn0%3D%7C3000&amp;sdata=xnMjpS8WeqSjjoxIXyQFtUfx%2F5QlJwia6jp08aOSv1c%3D&amp;reserved=0" TargetMode="External"/><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1495</Words>
  <Characters>8528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Morgan,Jacob swp6439</dc:creator>
  <cp:keywords/>
  <dc:description/>
  <cp:lastModifiedBy>Morgan,Jacob swp6439</cp:lastModifiedBy>
  <cp:revision>1</cp:revision>
  <dcterms:created xsi:type="dcterms:W3CDTF">2021-11-01T21:55:00Z</dcterms:created>
  <dcterms:modified xsi:type="dcterms:W3CDTF">2021-11-01T21:56:00Z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07b7e3d7-f839-4399-9a5c-4ac8f9e21072</vt:lpwstr>
  </property>
  <property fmtid="{D5CDD505-2E9C-101B-9397-08002B2CF9AE}" pid="3" name="Classification">
    <vt:lpwstr>OFFICIAL</vt:lpwstr>
  </property>
  <property fmtid="{D5CDD505-2E9C-101B-9397-08002B2CF9AE}" pid="4" name="Visibility">
    <vt:lpwstr>NOT VISIBLE</vt:lpwstr>
  </property>
</Properties>
</file>