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13879" w:rsidRDefault="00F13879">
      <w:pPr>
        <w:pBdr>
          <w:top w:val="nil"/>
          <w:left w:val="nil"/>
          <w:bottom w:val="nil"/>
          <w:right w:val="nil"/>
          <w:between w:val="nil"/>
        </w:pBdr>
        <w:spacing w:after="160" w:line="259" w:lineRule="auto"/>
        <w:jc w:val="center"/>
        <w:rPr>
          <w:rFonts w:ascii="Calibri" w:eastAsia="Calibri" w:hAnsi="Calibri" w:cs="Calibri"/>
          <w:color w:val="000000"/>
          <w:u w:val="single"/>
        </w:rPr>
      </w:pPr>
    </w:p>
    <w:p w14:paraId="00000002" w14:textId="77777777" w:rsidR="00F13879" w:rsidRPr="00992A49" w:rsidRDefault="000F7A72">
      <w:pPr>
        <w:pBdr>
          <w:top w:val="nil"/>
          <w:left w:val="nil"/>
          <w:bottom w:val="nil"/>
          <w:right w:val="nil"/>
          <w:between w:val="nil"/>
        </w:pBdr>
        <w:spacing w:after="160" w:line="259" w:lineRule="auto"/>
        <w:jc w:val="center"/>
        <w:rPr>
          <w:rFonts w:ascii="Calibri" w:eastAsia="Calibri" w:hAnsi="Calibri" w:cs="Calibri"/>
          <w:u w:val="single"/>
        </w:rPr>
      </w:pPr>
      <w:r w:rsidRPr="00992A49">
        <w:rPr>
          <w:rFonts w:ascii="Calibri" w:eastAsia="Calibri" w:hAnsi="Calibri" w:cs="Calibri"/>
          <w:u w:val="single"/>
        </w:rPr>
        <w:t>Criminal Law assignment 1 – Reform of Homicide</w:t>
      </w:r>
    </w:p>
    <w:p w14:paraId="00000003" w14:textId="77777777" w:rsidR="00F13879" w:rsidRPr="00992A49" w:rsidRDefault="000F7A72">
      <w:pPr>
        <w:pBdr>
          <w:top w:val="nil"/>
          <w:left w:val="nil"/>
          <w:bottom w:val="nil"/>
          <w:right w:val="nil"/>
          <w:between w:val="nil"/>
        </w:pBdr>
        <w:spacing w:after="160" w:line="259" w:lineRule="auto"/>
        <w:jc w:val="center"/>
        <w:rPr>
          <w:rFonts w:ascii="Calibri" w:eastAsia="Calibri" w:hAnsi="Calibri" w:cs="Calibri"/>
          <w:u w:val="single"/>
        </w:rPr>
      </w:pPr>
      <w:r w:rsidRPr="00992A49">
        <w:rPr>
          <w:rFonts w:ascii="Calibri" w:eastAsia="Calibri" w:hAnsi="Calibri" w:cs="Calibri"/>
          <w:u w:val="single"/>
        </w:rPr>
        <w:t>2115653</w:t>
      </w:r>
    </w:p>
    <w:p w14:paraId="00000004" w14:textId="77777777" w:rsidR="00F13879" w:rsidRPr="00992A49" w:rsidRDefault="000F7A72">
      <w:pPr>
        <w:pBdr>
          <w:top w:val="nil"/>
          <w:left w:val="nil"/>
          <w:bottom w:val="nil"/>
          <w:right w:val="nil"/>
          <w:between w:val="nil"/>
        </w:pBdr>
        <w:spacing w:after="160" w:line="259" w:lineRule="auto"/>
        <w:jc w:val="center"/>
        <w:rPr>
          <w:rFonts w:ascii="Calibri" w:eastAsia="Calibri" w:hAnsi="Calibri" w:cs="Calibri"/>
          <w:u w:val="single"/>
        </w:rPr>
      </w:pPr>
      <w:r w:rsidRPr="00992A49">
        <w:rPr>
          <w:rFonts w:ascii="Calibri" w:eastAsia="Calibri" w:hAnsi="Calibri" w:cs="Calibri"/>
          <w:u w:val="single"/>
        </w:rPr>
        <w:t>BMLW4005</w:t>
      </w:r>
    </w:p>
    <w:p w14:paraId="00000005"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6"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7" w14:textId="77777777" w:rsidR="00F13879" w:rsidRPr="00992A49" w:rsidRDefault="00F13879">
      <w:pPr>
        <w:pBdr>
          <w:top w:val="nil"/>
          <w:left w:val="nil"/>
          <w:bottom w:val="nil"/>
          <w:right w:val="nil"/>
          <w:between w:val="nil"/>
        </w:pBdr>
        <w:spacing w:after="160" w:line="480" w:lineRule="auto"/>
        <w:ind w:left="1600"/>
        <w:rPr>
          <w:rFonts w:ascii="Calibri" w:eastAsia="Calibri" w:hAnsi="Calibri" w:cs="Calibri"/>
          <w:sz w:val="22"/>
          <w:szCs w:val="22"/>
        </w:rPr>
      </w:pPr>
    </w:p>
    <w:p w14:paraId="00000008"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9"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A"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B"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C"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D"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E"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0F"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10"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11"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12"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13"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14"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15" w14:textId="77777777" w:rsidR="00F13879" w:rsidRPr="00992A49" w:rsidRDefault="00F13879">
      <w:pPr>
        <w:pBdr>
          <w:top w:val="nil"/>
          <w:left w:val="nil"/>
          <w:bottom w:val="nil"/>
          <w:right w:val="nil"/>
          <w:between w:val="nil"/>
        </w:pBdr>
        <w:spacing w:after="160" w:line="480" w:lineRule="auto"/>
        <w:ind w:left="720"/>
        <w:rPr>
          <w:rFonts w:ascii="Calibri" w:eastAsia="Calibri" w:hAnsi="Calibri" w:cs="Calibri"/>
          <w:sz w:val="22"/>
          <w:szCs w:val="22"/>
          <w:u w:val="single"/>
        </w:rPr>
      </w:pPr>
    </w:p>
    <w:p w14:paraId="00000016" w14:textId="77777777" w:rsidR="00F13879" w:rsidRPr="00992A49" w:rsidRDefault="00F13879">
      <w:pPr>
        <w:pBdr>
          <w:top w:val="nil"/>
          <w:left w:val="nil"/>
          <w:bottom w:val="nil"/>
          <w:right w:val="nil"/>
          <w:between w:val="nil"/>
        </w:pBdr>
        <w:spacing w:line="480" w:lineRule="auto"/>
        <w:rPr>
          <w:u w:val="single"/>
        </w:rPr>
      </w:pPr>
    </w:p>
    <w:p w14:paraId="00000017"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The law for homicide has not been reformed in so long and many academics have varying opinions on this. This essay will be focusing on; Whether there is a necessity to reform this law, by looking at what the law at present is, what some of the problems sur</w:t>
      </w:r>
      <w:r w:rsidRPr="00992A49">
        <w:rPr>
          <w:rFonts w:ascii="Calibri" w:eastAsia="Calibri" w:hAnsi="Calibri" w:cs="Calibri"/>
        </w:rPr>
        <w:t>rounding the law are, the propositions which previously were put forward and how the government has altered regarding this law</w:t>
      </w:r>
      <w:r w:rsidRPr="00992A49">
        <w:rPr>
          <w:rFonts w:ascii="Calibri" w:eastAsia="Calibri" w:hAnsi="Calibri" w:cs="Calibri"/>
        </w:rPr>
        <w:t>,</w:t>
      </w:r>
      <w:r w:rsidRPr="00992A49">
        <w:rPr>
          <w:rFonts w:ascii="Calibri" w:eastAsia="Calibri" w:hAnsi="Calibri" w:cs="Calibri"/>
        </w:rPr>
        <w:t xml:space="preserve"> as well as what they have declined, if these changes were reasonable but also the other side to this debate and if change is nec</w:t>
      </w:r>
      <w:r w:rsidRPr="00992A49">
        <w:rPr>
          <w:rFonts w:ascii="Calibri" w:eastAsia="Calibri" w:hAnsi="Calibri" w:cs="Calibri"/>
        </w:rPr>
        <w:t>essary. Finally, looking at both arguments and deciding what would be a good course of action regarding the homicide law.</w:t>
      </w:r>
    </w:p>
    <w:p w14:paraId="00000018" w14:textId="77777777" w:rsidR="00F13879" w:rsidRPr="00992A49" w:rsidRDefault="00F13879">
      <w:pPr>
        <w:pBdr>
          <w:top w:val="nil"/>
          <w:left w:val="nil"/>
          <w:bottom w:val="nil"/>
          <w:right w:val="nil"/>
          <w:between w:val="nil"/>
        </w:pBdr>
        <w:spacing w:after="160" w:line="480" w:lineRule="auto"/>
        <w:rPr>
          <w:rFonts w:ascii="Calibri" w:eastAsia="Calibri" w:hAnsi="Calibri" w:cs="Calibri"/>
        </w:rPr>
      </w:pPr>
    </w:p>
    <w:p w14:paraId="00000019"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Before deciding if homicide is indeed in need of reform, we firstly must define it. Ultimately when a person’s actions cause an ending to another person’s life. Homicide is made up of “negligent homicide, manslaughter, and murder” as per Dubber (2014).</w:t>
      </w:r>
    </w:p>
    <w:p w14:paraId="0000001A" w14:textId="77777777" w:rsidR="00F13879" w:rsidRPr="00992A49" w:rsidRDefault="00F13879">
      <w:pPr>
        <w:pBdr>
          <w:top w:val="nil"/>
          <w:left w:val="nil"/>
          <w:bottom w:val="nil"/>
          <w:right w:val="nil"/>
          <w:between w:val="nil"/>
        </w:pBdr>
        <w:spacing w:after="160" w:line="480" w:lineRule="auto"/>
        <w:rPr>
          <w:rFonts w:ascii="Calibri" w:eastAsia="Calibri" w:hAnsi="Calibri" w:cs="Calibri"/>
        </w:rPr>
      </w:pPr>
    </w:p>
    <w:p w14:paraId="0000001B"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Ac</w:t>
      </w:r>
      <w:r w:rsidRPr="00992A49">
        <w:rPr>
          <w:rFonts w:ascii="Calibri" w:eastAsia="Calibri" w:hAnsi="Calibri" w:cs="Calibri"/>
        </w:rPr>
        <w:t>cording to Herring (2020), murder is when a defendant has firstly committed “the unlawful killing of another person in the Queen’s peace” which would be the Actus Reus element to the crime</w:t>
      </w:r>
      <w:r w:rsidRPr="00992A49">
        <w:rPr>
          <w:rFonts w:ascii="Calibri" w:eastAsia="Calibri" w:hAnsi="Calibri" w:cs="Calibri"/>
        </w:rPr>
        <w:t>,</w:t>
      </w:r>
      <w:r w:rsidRPr="00992A49">
        <w:rPr>
          <w:rFonts w:ascii="Calibri" w:eastAsia="Calibri" w:hAnsi="Calibri" w:cs="Calibri"/>
        </w:rPr>
        <w:t xml:space="preserve"> and secondly has “an intention to cause death or grievous bodily harm to the victim”, which would then be the </w:t>
      </w:r>
      <w:proofErr w:type="spellStart"/>
      <w:r w:rsidRPr="00992A49">
        <w:rPr>
          <w:rFonts w:ascii="Calibri" w:eastAsia="Calibri" w:hAnsi="Calibri" w:cs="Calibri"/>
        </w:rPr>
        <w:t>Mens</w:t>
      </w:r>
      <w:proofErr w:type="spellEnd"/>
      <w:r w:rsidRPr="00992A49">
        <w:rPr>
          <w:rFonts w:ascii="Calibri" w:eastAsia="Calibri" w:hAnsi="Calibri" w:cs="Calibri"/>
        </w:rPr>
        <w:t xml:space="preserve"> Rea element. If a defendant has the actus reus and </w:t>
      </w:r>
      <w:proofErr w:type="spellStart"/>
      <w:r w:rsidRPr="00992A49">
        <w:rPr>
          <w:rFonts w:ascii="Calibri" w:eastAsia="Calibri" w:hAnsi="Calibri" w:cs="Calibri"/>
        </w:rPr>
        <w:t>mens</w:t>
      </w:r>
      <w:proofErr w:type="spellEnd"/>
      <w:r w:rsidRPr="00992A49">
        <w:rPr>
          <w:rFonts w:ascii="Calibri" w:eastAsia="Calibri" w:hAnsi="Calibri" w:cs="Calibri"/>
        </w:rPr>
        <w:t xml:space="preserve"> rea elements, he can then be found guilty of murder resulting in life imprisonment. </w:t>
      </w:r>
      <w:r w:rsidRPr="00992A49">
        <w:rPr>
          <w:rFonts w:ascii="Calibri" w:eastAsia="Calibri" w:hAnsi="Calibri" w:cs="Calibri"/>
        </w:rPr>
        <w:t>Additionally, there is the offence of manslaughter which can be either voluntary or involuntary. For a homicide to be an involuntary manslaughter</w:t>
      </w:r>
      <w:r w:rsidRPr="00992A49">
        <w:rPr>
          <w:rFonts w:ascii="Calibri" w:eastAsia="Calibri" w:hAnsi="Calibri" w:cs="Calibri"/>
        </w:rPr>
        <w:t>,</w:t>
      </w:r>
      <w:r w:rsidRPr="00992A49">
        <w:rPr>
          <w:rFonts w:ascii="Calibri" w:eastAsia="Calibri" w:hAnsi="Calibri" w:cs="Calibri"/>
        </w:rPr>
        <w:t xml:space="preserve"> it would generally be the defendant knowing the dangers of their actions which may result in a victim being k</w:t>
      </w:r>
      <w:r w:rsidRPr="00992A49">
        <w:rPr>
          <w:rFonts w:ascii="Calibri" w:eastAsia="Calibri" w:hAnsi="Calibri" w:cs="Calibri"/>
        </w:rPr>
        <w:t xml:space="preserve">illed or significantly harmed and/ or if the defendant was acting in an unlawful </w:t>
      </w:r>
      <w:r w:rsidRPr="00992A49">
        <w:rPr>
          <w:rFonts w:ascii="Calibri" w:eastAsia="Calibri" w:hAnsi="Calibri" w:cs="Calibri"/>
        </w:rPr>
        <w:lastRenderedPageBreak/>
        <w:t>way to endanger</w:t>
      </w:r>
      <w:r w:rsidRPr="00992A49">
        <w:rPr>
          <w:rFonts w:ascii="Calibri" w:eastAsia="Calibri" w:hAnsi="Calibri" w:cs="Calibri"/>
        </w:rPr>
        <w:t xml:space="preserve"> </w:t>
      </w:r>
      <w:r w:rsidRPr="00992A49">
        <w:rPr>
          <w:rFonts w:ascii="Calibri" w:eastAsia="Calibri" w:hAnsi="Calibri" w:cs="Calibri"/>
        </w:rPr>
        <w:t>another person as a result. Then there is voluntary manslaughter which would involve a defendant aiming to kill the victim, but with the addition of other miti</w:t>
      </w:r>
      <w:r w:rsidRPr="00992A49">
        <w:rPr>
          <w:rFonts w:ascii="Calibri" w:eastAsia="Calibri" w:hAnsi="Calibri" w:cs="Calibri"/>
        </w:rPr>
        <w:t xml:space="preserve">gating factors such as “a partial </w:t>
      </w:r>
      <w:proofErr w:type="spellStart"/>
      <w:r w:rsidRPr="00992A49">
        <w:rPr>
          <w:rFonts w:ascii="Calibri" w:eastAsia="Calibri" w:hAnsi="Calibri" w:cs="Calibri"/>
        </w:rPr>
        <w:t>defence</w:t>
      </w:r>
      <w:proofErr w:type="spellEnd"/>
      <w:r w:rsidRPr="00992A49">
        <w:rPr>
          <w:rFonts w:ascii="Calibri" w:eastAsia="Calibri" w:hAnsi="Calibri" w:cs="Calibri"/>
        </w:rPr>
        <w:t xml:space="preserve">, provocation, diminished responsibility or killing pursuant to a suicide pact” as per The Law Commission (2006). </w:t>
      </w:r>
    </w:p>
    <w:p w14:paraId="0000001C" w14:textId="77777777" w:rsidR="00F13879" w:rsidRPr="00992A49" w:rsidRDefault="00F13879">
      <w:pPr>
        <w:pBdr>
          <w:top w:val="nil"/>
          <w:left w:val="nil"/>
          <w:bottom w:val="nil"/>
          <w:right w:val="nil"/>
          <w:between w:val="nil"/>
        </w:pBdr>
        <w:spacing w:after="160" w:line="480" w:lineRule="auto"/>
        <w:rPr>
          <w:rFonts w:ascii="Calibri" w:eastAsia="Calibri" w:hAnsi="Calibri" w:cs="Calibri"/>
        </w:rPr>
      </w:pPr>
    </w:p>
    <w:p w14:paraId="0000001D"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 xml:space="preserve">One of the issues that needs to be considered regarding homicide is partial </w:t>
      </w:r>
      <w:proofErr w:type="spellStart"/>
      <w:r w:rsidRPr="00992A49">
        <w:rPr>
          <w:rFonts w:ascii="Calibri" w:eastAsia="Calibri" w:hAnsi="Calibri" w:cs="Calibri"/>
        </w:rPr>
        <w:t>defences</w:t>
      </w:r>
      <w:proofErr w:type="spellEnd"/>
      <w:r w:rsidRPr="00992A49">
        <w:rPr>
          <w:rFonts w:ascii="Calibri" w:eastAsia="Calibri" w:hAnsi="Calibri" w:cs="Calibri"/>
        </w:rPr>
        <w:t>, such as self-</w:t>
      </w:r>
      <w:r w:rsidRPr="00992A49">
        <w:rPr>
          <w:rFonts w:ascii="Calibri" w:eastAsia="Calibri" w:hAnsi="Calibri" w:cs="Calibri"/>
        </w:rPr>
        <w:t xml:space="preserve"> </w:t>
      </w:r>
      <w:proofErr w:type="spellStart"/>
      <w:r w:rsidRPr="00992A49">
        <w:rPr>
          <w:rFonts w:ascii="Calibri" w:eastAsia="Calibri" w:hAnsi="Calibri" w:cs="Calibri"/>
        </w:rPr>
        <w:t>defence</w:t>
      </w:r>
      <w:proofErr w:type="spellEnd"/>
      <w:r w:rsidRPr="00992A49">
        <w:rPr>
          <w:rFonts w:ascii="Calibri" w:eastAsia="Calibri" w:hAnsi="Calibri" w:cs="Calibri"/>
        </w:rPr>
        <w:t>.</w:t>
      </w:r>
      <w:r w:rsidRPr="00992A49">
        <w:rPr>
          <w:rFonts w:ascii="Calibri" w:eastAsia="Calibri" w:hAnsi="Calibri" w:cs="Calibri"/>
        </w:rPr>
        <w:t xml:space="preserve"> P</w:t>
      </w:r>
      <w:r w:rsidRPr="00992A49">
        <w:rPr>
          <w:rFonts w:ascii="Calibri" w:eastAsia="Calibri" w:hAnsi="Calibri" w:cs="Calibri"/>
        </w:rPr>
        <w:t xml:space="preserve">artial </w:t>
      </w:r>
      <w:proofErr w:type="spellStart"/>
      <w:r w:rsidRPr="00992A49">
        <w:rPr>
          <w:rFonts w:ascii="Calibri" w:eastAsia="Calibri" w:hAnsi="Calibri" w:cs="Calibri"/>
        </w:rPr>
        <w:t>defences</w:t>
      </w:r>
      <w:proofErr w:type="spellEnd"/>
      <w:r w:rsidRPr="00992A49">
        <w:rPr>
          <w:rFonts w:ascii="Calibri" w:eastAsia="Calibri" w:hAnsi="Calibri" w:cs="Calibri"/>
        </w:rPr>
        <w:t xml:space="preserve"> are not the same as a regular </w:t>
      </w:r>
      <w:proofErr w:type="spellStart"/>
      <w:r w:rsidRPr="00992A49">
        <w:rPr>
          <w:rFonts w:ascii="Calibri" w:eastAsia="Calibri" w:hAnsi="Calibri" w:cs="Calibri"/>
        </w:rPr>
        <w:t>defence</w:t>
      </w:r>
      <w:proofErr w:type="spellEnd"/>
      <w:r w:rsidRPr="00992A49">
        <w:rPr>
          <w:rFonts w:ascii="Calibri" w:eastAsia="Calibri" w:hAnsi="Calibri" w:cs="Calibri"/>
        </w:rPr>
        <w:t xml:space="preserve">, since a partial </w:t>
      </w:r>
      <w:proofErr w:type="spellStart"/>
      <w:r w:rsidRPr="00992A49">
        <w:rPr>
          <w:rFonts w:ascii="Calibri" w:eastAsia="Calibri" w:hAnsi="Calibri" w:cs="Calibri"/>
        </w:rPr>
        <w:t>defence</w:t>
      </w:r>
      <w:proofErr w:type="spellEnd"/>
      <w:r w:rsidRPr="00992A49">
        <w:rPr>
          <w:rFonts w:ascii="Calibri" w:eastAsia="Calibri" w:hAnsi="Calibri" w:cs="Calibri"/>
        </w:rPr>
        <w:t xml:space="preserve"> may have the same elements as murder however if the case falls in the defendant’s </w:t>
      </w:r>
      <w:proofErr w:type="spellStart"/>
      <w:r w:rsidRPr="00992A49">
        <w:rPr>
          <w:rFonts w:ascii="Calibri" w:eastAsia="Calibri" w:hAnsi="Calibri" w:cs="Calibri"/>
        </w:rPr>
        <w:t>favour</w:t>
      </w:r>
      <w:proofErr w:type="spellEnd"/>
      <w:r w:rsidRPr="00992A49">
        <w:rPr>
          <w:rFonts w:ascii="Calibri" w:eastAsia="Calibri" w:hAnsi="Calibri" w:cs="Calibri"/>
        </w:rPr>
        <w:t xml:space="preserve"> and the partial </w:t>
      </w:r>
      <w:proofErr w:type="spellStart"/>
      <w:r w:rsidRPr="00992A49">
        <w:rPr>
          <w:rFonts w:ascii="Calibri" w:eastAsia="Calibri" w:hAnsi="Calibri" w:cs="Calibri"/>
        </w:rPr>
        <w:t>defence</w:t>
      </w:r>
      <w:proofErr w:type="spellEnd"/>
      <w:r w:rsidRPr="00992A49">
        <w:rPr>
          <w:rFonts w:ascii="Calibri" w:eastAsia="Calibri" w:hAnsi="Calibri" w:cs="Calibri"/>
        </w:rPr>
        <w:t xml:space="preserve"> is successful, they could have a lessened offence.</w:t>
      </w:r>
    </w:p>
    <w:p w14:paraId="0000001E"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Se</w:t>
      </w:r>
      <w:r w:rsidRPr="00992A49">
        <w:rPr>
          <w:rFonts w:ascii="Calibri" w:eastAsia="Calibri" w:hAnsi="Calibri" w:cs="Calibri"/>
        </w:rPr>
        <w:t>lf-</w:t>
      </w:r>
      <w:proofErr w:type="spellStart"/>
      <w:r w:rsidRPr="00992A49">
        <w:rPr>
          <w:rFonts w:ascii="Calibri" w:eastAsia="Calibri" w:hAnsi="Calibri" w:cs="Calibri"/>
        </w:rPr>
        <w:t>defence</w:t>
      </w:r>
      <w:proofErr w:type="spellEnd"/>
      <w:r w:rsidRPr="00992A49">
        <w:rPr>
          <w:rFonts w:ascii="Calibri" w:eastAsia="Calibri" w:hAnsi="Calibri" w:cs="Calibri"/>
        </w:rPr>
        <w:t xml:space="preserve"> is where a defendant believes someone has appeared to be threatening violence upon themselves or somebody else, then the defendant acts in a vein that they think to be acceptable in that situation</w:t>
      </w:r>
      <w:r w:rsidRPr="00992A49">
        <w:rPr>
          <w:rFonts w:ascii="Calibri" w:eastAsia="Calibri" w:hAnsi="Calibri" w:cs="Calibri"/>
        </w:rPr>
        <w:t xml:space="preserve"> </w:t>
      </w:r>
      <w:r w:rsidRPr="00992A49">
        <w:rPr>
          <w:rFonts w:ascii="Calibri" w:eastAsia="Calibri" w:hAnsi="Calibri" w:cs="Calibri"/>
        </w:rPr>
        <w:t xml:space="preserve">according to The Law Commission (2003). Then it </w:t>
      </w:r>
      <w:r w:rsidRPr="00992A49">
        <w:rPr>
          <w:rFonts w:ascii="Calibri" w:eastAsia="Calibri" w:hAnsi="Calibri" w:cs="Calibri"/>
        </w:rPr>
        <w:t xml:space="preserve">would be unfair for the defendant to be tried and given a life sentence the same as a defendant whose sole purpose was to murder another human being. When considering the circumstances of </w:t>
      </w:r>
      <w:proofErr w:type="spellStart"/>
      <w:r w:rsidRPr="00992A49">
        <w:rPr>
          <w:rFonts w:ascii="Calibri" w:eastAsia="Calibri" w:hAnsi="Calibri" w:cs="Calibri"/>
        </w:rPr>
        <w:t>self-defence</w:t>
      </w:r>
      <w:proofErr w:type="spellEnd"/>
      <w:r w:rsidRPr="00992A49">
        <w:rPr>
          <w:rFonts w:ascii="Calibri" w:eastAsia="Calibri" w:hAnsi="Calibri" w:cs="Calibri"/>
        </w:rPr>
        <w:t>, it is only applied where the defendant may fear for th</w:t>
      </w:r>
      <w:r w:rsidRPr="00992A49">
        <w:rPr>
          <w:rFonts w:ascii="Calibri" w:eastAsia="Calibri" w:hAnsi="Calibri" w:cs="Calibri"/>
        </w:rPr>
        <w:t>eir own life and had only acted as they saw fit in that scenario. Crown Prosecution court (2019).</w:t>
      </w:r>
    </w:p>
    <w:p w14:paraId="0000001F" w14:textId="77777777" w:rsidR="00F13879" w:rsidRPr="00992A49" w:rsidRDefault="00F13879">
      <w:pPr>
        <w:pBdr>
          <w:top w:val="nil"/>
          <w:left w:val="nil"/>
          <w:bottom w:val="nil"/>
          <w:right w:val="nil"/>
          <w:between w:val="nil"/>
        </w:pBdr>
        <w:spacing w:after="160" w:line="480" w:lineRule="auto"/>
        <w:rPr>
          <w:rFonts w:ascii="Calibri" w:eastAsia="Calibri" w:hAnsi="Calibri" w:cs="Calibri"/>
        </w:rPr>
      </w:pPr>
    </w:p>
    <w:p w14:paraId="00000020"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Additionally, there is the matter of provocation, which had many issues. However, it was abolished in the Coroners Justice Act (2009) once the government rev</w:t>
      </w:r>
      <w:r w:rsidRPr="00992A49">
        <w:rPr>
          <w:rFonts w:ascii="Calibri" w:eastAsia="Calibri" w:hAnsi="Calibri" w:cs="Calibri"/>
        </w:rPr>
        <w:t xml:space="preserve">iewed the report by the Law Commission (2004) which highlights significant issues with provocation, such as it being very loose, with the judge of the case possibly allowing the jury to decide on the matter should the defendant’s </w:t>
      </w:r>
      <w:proofErr w:type="spellStart"/>
      <w:r w:rsidRPr="00992A49">
        <w:rPr>
          <w:rFonts w:ascii="Calibri" w:eastAsia="Calibri" w:hAnsi="Calibri" w:cs="Calibri"/>
        </w:rPr>
        <w:t>behaviour</w:t>
      </w:r>
      <w:proofErr w:type="spellEnd"/>
      <w:r w:rsidRPr="00992A49">
        <w:rPr>
          <w:rFonts w:ascii="Calibri" w:eastAsia="Calibri" w:hAnsi="Calibri" w:cs="Calibri"/>
        </w:rPr>
        <w:t xml:space="preserve"> or words be unim</w:t>
      </w:r>
      <w:r w:rsidRPr="00992A49">
        <w:rPr>
          <w:rFonts w:ascii="Calibri" w:eastAsia="Calibri" w:hAnsi="Calibri" w:cs="Calibri"/>
        </w:rPr>
        <w:t xml:space="preserve">portant. Also, something else </w:t>
      </w:r>
      <w:r w:rsidRPr="00992A49">
        <w:rPr>
          <w:rFonts w:ascii="Calibri" w:eastAsia="Calibri" w:hAnsi="Calibri" w:cs="Calibri"/>
        </w:rPr>
        <w:lastRenderedPageBreak/>
        <w:t>that would need to be considered, is if an ordinary person would behave the same way as the defendant did due to provocation. Provocation was abolished as a common law, and loss of control was introduced in its place in the Co</w:t>
      </w:r>
      <w:r w:rsidRPr="00992A49">
        <w:rPr>
          <w:rFonts w:ascii="Calibri" w:eastAsia="Calibri" w:hAnsi="Calibri" w:cs="Calibri"/>
        </w:rPr>
        <w:t>roners Act (2011).</w:t>
      </w:r>
    </w:p>
    <w:p w14:paraId="00000021" w14:textId="77777777" w:rsidR="00F13879" w:rsidRPr="00992A49" w:rsidRDefault="00F13879">
      <w:pPr>
        <w:pBdr>
          <w:top w:val="nil"/>
          <w:left w:val="nil"/>
          <w:bottom w:val="nil"/>
          <w:right w:val="nil"/>
          <w:between w:val="nil"/>
        </w:pBdr>
        <w:spacing w:after="160" w:line="480" w:lineRule="auto"/>
        <w:rPr>
          <w:rFonts w:ascii="Calibri" w:eastAsia="Calibri" w:hAnsi="Calibri" w:cs="Calibri"/>
          <w:sz w:val="22"/>
          <w:szCs w:val="22"/>
        </w:rPr>
      </w:pPr>
    </w:p>
    <w:p w14:paraId="00000022"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 xml:space="preserve">Furthermore, for the intent requirement for murder there must be the </w:t>
      </w:r>
      <w:proofErr w:type="spellStart"/>
      <w:r w:rsidRPr="00992A49">
        <w:rPr>
          <w:rFonts w:ascii="Calibri" w:eastAsia="Calibri" w:hAnsi="Calibri" w:cs="Calibri"/>
        </w:rPr>
        <w:t>mens</w:t>
      </w:r>
      <w:proofErr w:type="spellEnd"/>
      <w:r w:rsidRPr="00992A49">
        <w:rPr>
          <w:rFonts w:ascii="Calibri" w:eastAsia="Calibri" w:hAnsi="Calibri" w:cs="Calibri"/>
        </w:rPr>
        <w:t xml:space="preserve"> rea element of ‘malice aforethought’, which means there was a want to kill or cause grievous bodily harm to a victim. However, if ‘malice aforethought’ was absent</w:t>
      </w:r>
      <w:r w:rsidRPr="00992A49">
        <w:rPr>
          <w:rFonts w:ascii="Calibri" w:eastAsia="Calibri" w:hAnsi="Calibri" w:cs="Calibri"/>
        </w:rPr>
        <w:t xml:space="preserve"> then the homicide would be deemed as manslaughter as per Allen (2011).</w:t>
      </w:r>
      <w:r w:rsidRPr="00992A49">
        <w:rPr>
          <w:rFonts w:ascii="Calibri" w:eastAsia="Calibri" w:hAnsi="Calibri" w:cs="Calibri"/>
        </w:rPr>
        <w:t xml:space="preserve"> </w:t>
      </w:r>
      <w:r w:rsidRPr="00992A49">
        <w:rPr>
          <w:rFonts w:ascii="Calibri" w:eastAsia="Calibri" w:hAnsi="Calibri" w:cs="Calibri"/>
        </w:rPr>
        <w:t>This intent requirement however does have issues for example, in the case of R V Cunningham (1957) the defendant did not intend to commit murder as his intention was to take the homeow</w:t>
      </w:r>
      <w:r w:rsidRPr="00992A49">
        <w:rPr>
          <w:rFonts w:ascii="Calibri" w:eastAsia="Calibri" w:hAnsi="Calibri" w:cs="Calibri"/>
        </w:rPr>
        <w:t xml:space="preserve">ner’s money, however, to do so they took out the gas meter. In doing so, the defendant caused a gas leak which resulted in the victim to be poisoned in her sleep. Now in this case the defendant did not intend to kill but </w:t>
      </w:r>
      <w:proofErr w:type="gramStart"/>
      <w:r w:rsidRPr="00992A49">
        <w:rPr>
          <w:rFonts w:ascii="Calibri" w:eastAsia="Calibri" w:hAnsi="Calibri" w:cs="Calibri"/>
        </w:rPr>
        <w:t>as a result of</w:t>
      </w:r>
      <w:proofErr w:type="gramEnd"/>
      <w:r w:rsidRPr="00992A49">
        <w:rPr>
          <w:rFonts w:ascii="Calibri" w:eastAsia="Calibri" w:hAnsi="Calibri" w:cs="Calibri"/>
        </w:rPr>
        <w:t xml:space="preserve"> his actions he could</w:t>
      </w:r>
      <w:r w:rsidRPr="00992A49">
        <w:rPr>
          <w:rFonts w:ascii="Calibri" w:eastAsia="Calibri" w:hAnsi="Calibri" w:cs="Calibri"/>
        </w:rPr>
        <w:t xml:space="preserve"> have been the factual cause to ending another person’s life and legally, as the defendant was aware his actions could possibly harm another person, he could have been liable for manslaughter had the victim died. Which begs the question, if a defendant is </w:t>
      </w:r>
      <w:r w:rsidRPr="00992A49">
        <w:rPr>
          <w:rFonts w:ascii="Calibri" w:eastAsia="Calibri" w:hAnsi="Calibri" w:cs="Calibri"/>
        </w:rPr>
        <w:t>aware that their actions could result in killing another person why should they be given a lesser punishment than a defendant whose sole purpose was to kill and succeeded? As they knew the possible consequences of their actions.</w:t>
      </w:r>
    </w:p>
    <w:p w14:paraId="00000023" w14:textId="77777777" w:rsidR="00F13879" w:rsidRPr="00992A49" w:rsidRDefault="00F13879">
      <w:pPr>
        <w:pBdr>
          <w:top w:val="nil"/>
          <w:left w:val="nil"/>
          <w:bottom w:val="nil"/>
          <w:right w:val="nil"/>
          <w:between w:val="nil"/>
        </w:pBdr>
        <w:spacing w:after="160" w:line="480" w:lineRule="auto"/>
        <w:rPr>
          <w:rFonts w:ascii="Calibri" w:eastAsia="Calibri" w:hAnsi="Calibri" w:cs="Calibri"/>
        </w:rPr>
      </w:pPr>
    </w:p>
    <w:p w14:paraId="00000024"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Additionally, the Law Comm</w:t>
      </w:r>
      <w:r w:rsidRPr="00992A49">
        <w:rPr>
          <w:rFonts w:ascii="Calibri" w:eastAsia="Calibri" w:hAnsi="Calibri" w:cs="Calibri"/>
        </w:rPr>
        <w:t>ission (2005) states that the view of the current breadth for homicide isn’t very transparent on “serious harm” and deem it unjust as murder carries a sentence for life imprisonment. For example, should a defendant shoot a victim and</w:t>
      </w:r>
      <w:r w:rsidRPr="00992A49">
        <w:rPr>
          <w:rFonts w:ascii="Calibri" w:eastAsia="Calibri" w:hAnsi="Calibri" w:cs="Calibri"/>
        </w:rPr>
        <w:t xml:space="preserve"> </w:t>
      </w:r>
      <w:r w:rsidRPr="00992A49">
        <w:rPr>
          <w:rFonts w:ascii="Calibri" w:eastAsia="Calibri" w:hAnsi="Calibri" w:cs="Calibri"/>
        </w:rPr>
        <w:t>be tried for murder th</w:t>
      </w:r>
      <w:r w:rsidRPr="00992A49">
        <w:rPr>
          <w:rFonts w:ascii="Calibri" w:eastAsia="Calibri" w:hAnsi="Calibri" w:cs="Calibri"/>
        </w:rPr>
        <w:t xml:space="preserve">en as it stands then the defendant would receive a minimum sentence of 30 </w:t>
      </w:r>
      <w:r w:rsidRPr="00992A49">
        <w:rPr>
          <w:rFonts w:ascii="Calibri" w:eastAsia="Calibri" w:hAnsi="Calibri" w:cs="Calibri"/>
        </w:rPr>
        <w:lastRenderedPageBreak/>
        <w:t>years. Then we must consider, if the defendant did not mean to end the victim’s life by the act and instead to do harm then this could be considered as a” mitigating factor” which ma</w:t>
      </w:r>
      <w:r w:rsidRPr="00992A49">
        <w:rPr>
          <w:rFonts w:ascii="Calibri" w:eastAsia="Calibri" w:hAnsi="Calibri" w:cs="Calibri"/>
        </w:rPr>
        <w:t>y lead to the defendant being guilty of manslaughter being given a significantly lower sentence of roughly 5 years. Purely on the basis on the defendant not aiming to kill, which seems inappropriate considering the seriousness of the crime.</w:t>
      </w:r>
      <w:r w:rsidRPr="00992A49">
        <w:rPr>
          <w:rFonts w:ascii="Calibri" w:eastAsia="Calibri" w:hAnsi="Calibri" w:cs="Calibri"/>
        </w:rPr>
        <w:t xml:space="preserve"> </w:t>
      </w:r>
      <w:r w:rsidRPr="00992A49">
        <w:rPr>
          <w:rFonts w:ascii="Calibri" w:eastAsia="Calibri" w:hAnsi="Calibri" w:cs="Calibri"/>
        </w:rPr>
        <w:t>Many would argue that given the result of the act is the same, the punishment should also be the same. At the end of the day a person has had their life taken in both cases.</w:t>
      </w:r>
    </w:p>
    <w:p w14:paraId="00000025" w14:textId="77777777" w:rsidR="00F13879" w:rsidRPr="00992A49" w:rsidRDefault="00F13879">
      <w:pPr>
        <w:pBdr>
          <w:top w:val="nil"/>
          <w:left w:val="nil"/>
          <w:bottom w:val="nil"/>
          <w:right w:val="nil"/>
          <w:between w:val="nil"/>
        </w:pBdr>
        <w:spacing w:after="160" w:line="480" w:lineRule="auto"/>
        <w:rPr>
          <w:rFonts w:ascii="Calibri" w:eastAsia="Calibri" w:hAnsi="Calibri" w:cs="Calibri"/>
        </w:rPr>
      </w:pPr>
    </w:p>
    <w:p w14:paraId="00000026"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Moreover, the Ministry of Justice (2011) states how it has reviewed the recommend</w:t>
      </w:r>
      <w:r w:rsidRPr="00992A49">
        <w:rPr>
          <w:rFonts w:ascii="Calibri" w:eastAsia="Calibri" w:hAnsi="Calibri" w:cs="Calibri"/>
        </w:rPr>
        <w:t xml:space="preserve">ations regarding the law of homicide, and the conclusion they came to was that it was the right moment to make significant reform to this </w:t>
      </w:r>
      <w:proofErr w:type="gramStart"/>
      <w:r w:rsidRPr="00992A49">
        <w:rPr>
          <w:rFonts w:ascii="Calibri" w:eastAsia="Calibri" w:hAnsi="Calibri" w:cs="Calibri"/>
        </w:rPr>
        <w:t>particular area</w:t>
      </w:r>
      <w:proofErr w:type="gramEnd"/>
      <w:r w:rsidRPr="00992A49">
        <w:rPr>
          <w:rFonts w:ascii="Calibri" w:eastAsia="Calibri" w:hAnsi="Calibri" w:cs="Calibri"/>
        </w:rPr>
        <w:t xml:space="preserve"> of the law. According to Beard (2016) the government has indeed discussed the possibility of reforming</w:t>
      </w:r>
      <w:r w:rsidRPr="00992A49">
        <w:rPr>
          <w:rFonts w:ascii="Calibri" w:eastAsia="Calibri" w:hAnsi="Calibri" w:cs="Calibri"/>
        </w:rPr>
        <w:t xml:space="preserve"> the homicide law. The government discusses the proposed 3 tier system that The Law Commission (2006) recommends in their report which in itself recommends a </w:t>
      </w:r>
      <w:proofErr w:type="gramStart"/>
      <w:r w:rsidRPr="00992A49">
        <w:rPr>
          <w:rFonts w:ascii="Calibri" w:eastAsia="Calibri" w:hAnsi="Calibri" w:cs="Calibri"/>
        </w:rPr>
        <w:t>3 tier</w:t>
      </w:r>
      <w:proofErr w:type="gramEnd"/>
      <w:r w:rsidRPr="00992A49">
        <w:rPr>
          <w:rFonts w:ascii="Calibri" w:eastAsia="Calibri" w:hAnsi="Calibri" w:cs="Calibri"/>
        </w:rPr>
        <w:t xml:space="preserve"> system introducing “first and second degree murder and manslaughter”. For first degree murd</w:t>
      </w:r>
      <w:r w:rsidRPr="00992A49">
        <w:rPr>
          <w:rFonts w:ascii="Calibri" w:eastAsia="Calibri" w:hAnsi="Calibri" w:cs="Calibri"/>
        </w:rPr>
        <w:t xml:space="preserve">er the defendant would aim to kill and/or the want to severely harm alongside knowing the possibility of ending a person’s life due to their actions., Second degree murder, is where first degree murder has taken place, but a partial </w:t>
      </w:r>
      <w:proofErr w:type="spellStart"/>
      <w:r w:rsidRPr="00992A49">
        <w:rPr>
          <w:rFonts w:ascii="Calibri" w:eastAsia="Calibri" w:hAnsi="Calibri" w:cs="Calibri"/>
        </w:rPr>
        <w:t>defence</w:t>
      </w:r>
      <w:proofErr w:type="spellEnd"/>
      <w:r w:rsidRPr="00992A49">
        <w:rPr>
          <w:rFonts w:ascii="Calibri" w:eastAsia="Calibri" w:hAnsi="Calibri" w:cs="Calibri"/>
        </w:rPr>
        <w:t xml:space="preserve"> has been succes</w:t>
      </w:r>
      <w:r w:rsidRPr="00992A49">
        <w:rPr>
          <w:rFonts w:ascii="Calibri" w:eastAsia="Calibri" w:hAnsi="Calibri" w:cs="Calibri"/>
        </w:rPr>
        <w:t>sfully plead or a defendant aims to injure or make the victim believe the chance of being injured. In terms of Manslaughter a defendant may act with gross negligence causing them to kill by knowing the possibility of causing death as a result, to kill in a</w:t>
      </w:r>
      <w:r w:rsidRPr="00992A49">
        <w:rPr>
          <w:rFonts w:ascii="Calibri" w:eastAsia="Calibri" w:hAnsi="Calibri" w:cs="Calibri"/>
        </w:rPr>
        <w:t xml:space="preserve"> criminal act by aiming to injure or have the knowledge that there is a severe chance of harm due to their actions. Due to this it would see some partial </w:t>
      </w:r>
      <w:proofErr w:type="spellStart"/>
      <w:r w:rsidRPr="00992A49">
        <w:rPr>
          <w:rFonts w:ascii="Calibri" w:eastAsia="Calibri" w:hAnsi="Calibri" w:cs="Calibri"/>
        </w:rPr>
        <w:t>defences</w:t>
      </w:r>
      <w:proofErr w:type="spellEnd"/>
      <w:r w:rsidRPr="00992A49">
        <w:rPr>
          <w:rFonts w:ascii="Calibri" w:eastAsia="Calibri" w:hAnsi="Calibri" w:cs="Calibri"/>
        </w:rPr>
        <w:t xml:space="preserve"> being lowered to a second-degree offence. However, the </w:t>
      </w:r>
      <w:r w:rsidRPr="00992A49">
        <w:rPr>
          <w:rFonts w:ascii="Calibri" w:eastAsia="Calibri" w:hAnsi="Calibri" w:cs="Calibri"/>
        </w:rPr>
        <w:lastRenderedPageBreak/>
        <w:t>government believes that when the Coro</w:t>
      </w:r>
      <w:r w:rsidRPr="00992A49">
        <w:rPr>
          <w:rFonts w:ascii="Calibri" w:eastAsia="Calibri" w:hAnsi="Calibri" w:cs="Calibri"/>
        </w:rPr>
        <w:t xml:space="preserve">ners Justice Act (2009) was introduced there they accounted for innovative ways of dealing with mental health in regards partial </w:t>
      </w:r>
      <w:proofErr w:type="spellStart"/>
      <w:r w:rsidRPr="00992A49">
        <w:rPr>
          <w:rFonts w:ascii="Calibri" w:eastAsia="Calibri" w:hAnsi="Calibri" w:cs="Calibri"/>
        </w:rPr>
        <w:t>defence</w:t>
      </w:r>
      <w:proofErr w:type="spellEnd"/>
      <w:r w:rsidRPr="00992A49">
        <w:rPr>
          <w:rFonts w:ascii="Calibri" w:eastAsia="Calibri" w:hAnsi="Calibri" w:cs="Calibri"/>
        </w:rPr>
        <w:t xml:space="preserve"> when discussing the matter of diminished responsibility as this can affect a person’s awareness of their </w:t>
      </w:r>
      <w:proofErr w:type="spellStart"/>
      <w:r w:rsidRPr="00992A49">
        <w:rPr>
          <w:rFonts w:ascii="Calibri" w:eastAsia="Calibri" w:hAnsi="Calibri" w:cs="Calibri"/>
        </w:rPr>
        <w:t>behaviour</w:t>
      </w:r>
      <w:proofErr w:type="spellEnd"/>
      <w:r w:rsidRPr="00992A49">
        <w:rPr>
          <w:rFonts w:ascii="Calibri" w:eastAsia="Calibri" w:hAnsi="Calibri" w:cs="Calibri"/>
        </w:rPr>
        <w:t xml:space="preserve">. As </w:t>
      </w:r>
      <w:r w:rsidRPr="00992A49">
        <w:rPr>
          <w:rFonts w:ascii="Calibri" w:eastAsia="Calibri" w:hAnsi="Calibri" w:cs="Calibri"/>
        </w:rPr>
        <w:t xml:space="preserve">such the Government of the time took on board the Law Commission’s ideas by reviewing them publicly, but after due course the government decided not to review this law any further according to Parliament (2013). Therefore the </w:t>
      </w:r>
      <w:proofErr w:type="gramStart"/>
      <w:r w:rsidRPr="00992A49">
        <w:rPr>
          <w:rFonts w:ascii="Calibri" w:eastAsia="Calibri" w:hAnsi="Calibri" w:cs="Calibri"/>
        </w:rPr>
        <w:t>3 tier</w:t>
      </w:r>
      <w:proofErr w:type="gramEnd"/>
      <w:r w:rsidRPr="00992A49">
        <w:rPr>
          <w:rFonts w:ascii="Calibri" w:eastAsia="Calibri" w:hAnsi="Calibri" w:cs="Calibri"/>
        </w:rPr>
        <w:t xml:space="preserve"> system was not implemen</w:t>
      </w:r>
      <w:r w:rsidRPr="00992A49">
        <w:rPr>
          <w:rFonts w:ascii="Calibri" w:eastAsia="Calibri" w:hAnsi="Calibri" w:cs="Calibri"/>
        </w:rPr>
        <w:t>ted</w:t>
      </w:r>
      <w:r w:rsidRPr="00992A49">
        <w:rPr>
          <w:rFonts w:ascii="Calibri" w:eastAsia="Calibri" w:hAnsi="Calibri" w:cs="Calibri"/>
        </w:rPr>
        <w:t xml:space="preserve">. </w:t>
      </w:r>
    </w:p>
    <w:p w14:paraId="00000027"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rPr>
        <w:t>The Guardian (2016) states that the government would not reform the law regarding homicide as they believe it would reduce a lot of homicide offences down to a second-tier offence in the proposed 3 tier system by the Law Commission</w:t>
      </w:r>
      <w:r w:rsidRPr="00992A49">
        <w:rPr>
          <w:rFonts w:ascii="Calibri" w:eastAsia="Calibri" w:hAnsi="Calibri" w:cs="Calibri"/>
        </w:rPr>
        <w:t>,</w:t>
      </w:r>
      <w:r w:rsidRPr="00992A49">
        <w:rPr>
          <w:rFonts w:ascii="Calibri" w:eastAsia="Calibri" w:hAnsi="Calibri" w:cs="Calibri"/>
        </w:rPr>
        <w:t xml:space="preserve"> which would annoy</w:t>
      </w:r>
      <w:r w:rsidRPr="00992A49">
        <w:rPr>
          <w:rFonts w:ascii="Calibri" w:eastAsia="Calibri" w:hAnsi="Calibri" w:cs="Calibri"/>
        </w:rPr>
        <w:t xml:space="preserve"> the public. It could result in defendants demanding for retrial, and as a result this would put added strain on the courts, and not forgetting the families of the victims who’ve managed to move on or are still struggling to recover from losing a loved one</w:t>
      </w:r>
      <w:r w:rsidRPr="00992A49">
        <w:rPr>
          <w:rFonts w:ascii="Calibri" w:eastAsia="Calibri" w:hAnsi="Calibri" w:cs="Calibri"/>
        </w:rPr>
        <w:t xml:space="preserve"> having to go</w:t>
      </w:r>
      <w:r w:rsidRPr="00992A49">
        <w:rPr>
          <w:rFonts w:ascii="Calibri" w:eastAsia="Calibri" w:hAnsi="Calibri" w:cs="Calibri"/>
        </w:rPr>
        <w:t xml:space="preserve"> </w:t>
      </w:r>
      <w:r w:rsidRPr="00992A49">
        <w:rPr>
          <w:rFonts w:ascii="Calibri" w:eastAsia="Calibri" w:hAnsi="Calibri" w:cs="Calibri"/>
        </w:rPr>
        <w:t>through the ordeal of seeing the defendant possibly given a lesser sentence despite already having already been given one.</w:t>
      </w:r>
    </w:p>
    <w:p w14:paraId="00000028" w14:textId="77777777" w:rsidR="00F13879" w:rsidRPr="00992A49" w:rsidRDefault="00F13879">
      <w:pPr>
        <w:pBdr>
          <w:top w:val="nil"/>
          <w:left w:val="nil"/>
          <w:bottom w:val="nil"/>
          <w:right w:val="nil"/>
          <w:between w:val="nil"/>
        </w:pBdr>
        <w:spacing w:after="160" w:line="480" w:lineRule="auto"/>
        <w:rPr>
          <w:rFonts w:ascii="Calibri" w:eastAsia="Calibri" w:hAnsi="Calibri" w:cs="Calibri"/>
        </w:rPr>
      </w:pPr>
    </w:p>
    <w:p w14:paraId="00000029" w14:textId="77777777" w:rsidR="00F13879" w:rsidRPr="00992A49" w:rsidRDefault="000F7A72">
      <w:pPr>
        <w:pBdr>
          <w:top w:val="nil"/>
          <w:left w:val="nil"/>
          <w:bottom w:val="nil"/>
          <w:right w:val="nil"/>
          <w:between w:val="nil"/>
        </w:pBdr>
        <w:spacing w:after="160" w:line="480" w:lineRule="auto"/>
        <w:rPr>
          <w:rFonts w:ascii="Calibri" w:eastAsia="Calibri" w:hAnsi="Calibri" w:cs="Calibri"/>
        </w:rPr>
      </w:pPr>
      <w:r w:rsidRPr="00992A49">
        <w:rPr>
          <w:rFonts w:ascii="Calibri" w:eastAsia="Calibri" w:hAnsi="Calibri" w:cs="Calibri"/>
          <w:sz w:val="22"/>
          <w:szCs w:val="22"/>
        </w:rPr>
        <w:t xml:space="preserve">In conclusion, </w:t>
      </w:r>
      <w:r w:rsidRPr="00992A49">
        <w:rPr>
          <w:rFonts w:ascii="Calibri" w:eastAsia="Calibri" w:hAnsi="Calibri" w:cs="Calibri"/>
        </w:rPr>
        <w:t xml:space="preserve">given all the arguments that have been addressed, </w:t>
      </w:r>
      <w:proofErr w:type="gramStart"/>
      <w:r w:rsidRPr="00992A49">
        <w:rPr>
          <w:rFonts w:ascii="Calibri" w:eastAsia="Calibri" w:hAnsi="Calibri" w:cs="Calibri"/>
        </w:rPr>
        <w:t>it is clear that despite</w:t>
      </w:r>
      <w:proofErr w:type="gramEnd"/>
      <w:r w:rsidRPr="00992A49">
        <w:rPr>
          <w:rFonts w:ascii="Calibri" w:eastAsia="Calibri" w:hAnsi="Calibri" w:cs="Calibri"/>
        </w:rPr>
        <w:t xml:space="preserve"> the issues discussed, the law surrounding homicide in England and Wales is not in need of reform. As previously stated, the three-tier system recommended by the Law Commission, appe</w:t>
      </w:r>
      <w:r w:rsidRPr="00992A49">
        <w:rPr>
          <w:rFonts w:ascii="Calibri" w:eastAsia="Calibri" w:hAnsi="Calibri" w:cs="Calibri"/>
        </w:rPr>
        <w:t>ars to be more structured at a first glance. However, current defendants may be eligible for lesser sentences by merely claiming that they intended to harm not to kill. The government have made reasonable changes to the homicide laws in recent times as wel</w:t>
      </w:r>
      <w:r w:rsidRPr="00992A49">
        <w:rPr>
          <w:rFonts w:ascii="Calibri" w:eastAsia="Calibri" w:hAnsi="Calibri" w:cs="Calibri"/>
        </w:rPr>
        <w:t xml:space="preserve">l as </w:t>
      </w:r>
      <w:r w:rsidRPr="00992A49">
        <w:rPr>
          <w:rFonts w:ascii="Calibri" w:eastAsia="Calibri" w:hAnsi="Calibri" w:cs="Calibri"/>
        </w:rPr>
        <w:lastRenderedPageBreak/>
        <w:t>reviewing all the proposals made by the Law Commission, meaning the current law is strong and homicide law is not in need of reform.</w:t>
      </w:r>
    </w:p>
    <w:p w14:paraId="0000002A" w14:textId="77777777" w:rsidR="00F13879" w:rsidRPr="00992A49" w:rsidRDefault="00F13879">
      <w:pPr>
        <w:pBdr>
          <w:top w:val="nil"/>
          <w:left w:val="nil"/>
          <w:bottom w:val="nil"/>
          <w:right w:val="nil"/>
          <w:between w:val="nil"/>
        </w:pBdr>
        <w:spacing w:after="160" w:line="480" w:lineRule="auto"/>
        <w:rPr>
          <w:rFonts w:ascii="Calibri" w:eastAsia="Calibri" w:hAnsi="Calibri" w:cs="Calibri"/>
        </w:rPr>
      </w:pPr>
    </w:p>
    <w:p w14:paraId="0000002B"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2C"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2D"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2E"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2F"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0"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1"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2"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3"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4"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5"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6"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7"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8"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9"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A"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B" w14:textId="77777777" w:rsidR="00F13879" w:rsidRPr="00992A49" w:rsidRDefault="00F13879">
      <w:pPr>
        <w:pBdr>
          <w:top w:val="nil"/>
          <w:left w:val="nil"/>
          <w:bottom w:val="nil"/>
          <w:right w:val="nil"/>
          <w:between w:val="nil"/>
        </w:pBdr>
        <w:spacing w:after="160" w:line="259" w:lineRule="auto"/>
        <w:rPr>
          <w:rFonts w:ascii="Calibri" w:eastAsia="Calibri" w:hAnsi="Calibri" w:cs="Calibri"/>
        </w:rPr>
      </w:pPr>
    </w:p>
    <w:p w14:paraId="0000003C"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3D"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3E"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3F"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40"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41"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42"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43"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44" w14:textId="77777777" w:rsidR="00F13879" w:rsidRDefault="000F7A72">
      <w:pPr>
        <w:pBdr>
          <w:top w:val="nil"/>
          <w:left w:val="nil"/>
          <w:bottom w:val="nil"/>
          <w:right w:val="nil"/>
          <w:between w:val="nil"/>
        </w:pBdr>
        <w:spacing w:after="160" w:line="259" w:lineRule="auto"/>
        <w:rPr>
          <w:rFonts w:ascii="Calibri" w:eastAsia="Calibri" w:hAnsi="Calibri" w:cs="Calibri"/>
          <w:color w:val="000000"/>
          <w:u w:val="single"/>
        </w:rPr>
      </w:pPr>
      <w:r>
        <w:rPr>
          <w:rFonts w:ascii="Calibri" w:eastAsia="Calibri" w:hAnsi="Calibri" w:cs="Calibri"/>
          <w:color w:val="000000"/>
          <w:u w:val="single"/>
        </w:rPr>
        <w:lastRenderedPageBreak/>
        <w:t>Case List:</w:t>
      </w:r>
    </w:p>
    <w:p w14:paraId="00000045" w14:textId="77777777" w:rsidR="00F13879" w:rsidRDefault="000F7A72">
      <w:pPr>
        <w:numPr>
          <w:ilvl w:val="0"/>
          <w:numId w:val="1"/>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R v Cunningham [1957]</w:t>
      </w:r>
    </w:p>
    <w:p w14:paraId="00000046" w14:textId="77777777" w:rsidR="00F13879" w:rsidRDefault="00F13879">
      <w:pPr>
        <w:pBdr>
          <w:top w:val="nil"/>
          <w:left w:val="nil"/>
          <w:bottom w:val="nil"/>
          <w:right w:val="nil"/>
          <w:between w:val="nil"/>
        </w:pBdr>
        <w:spacing w:after="160" w:line="259" w:lineRule="auto"/>
        <w:rPr>
          <w:rFonts w:ascii="Calibri" w:eastAsia="Calibri" w:hAnsi="Calibri" w:cs="Calibri"/>
          <w:color w:val="000000"/>
        </w:rPr>
      </w:pPr>
    </w:p>
    <w:p w14:paraId="00000047" w14:textId="77777777" w:rsidR="00F13879" w:rsidRDefault="000F7A72">
      <w:pPr>
        <w:pBdr>
          <w:top w:val="nil"/>
          <w:left w:val="nil"/>
          <w:bottom w:val="nil"/>
          <w:right w:val="nil"/>
          <w:between w:val="nil"/>
        </w:pBdr>
        <w:spacing w:after="160" w:line="259" w:lineRule="auto"/>
        <w:rPr>
          <w:rFonts w:ascii="Calibri" w:eastAsia="Calibri" w:hAnsi="Calibri" w:cs="Calibri"/>
          <w:color w:val="000000"/>
          <w:u w:val="single"/>
        </w:rPr>
      </w:pPr>
      <w:r>
        <w:rPr>
          <w:rFonts w:ascii="Calibri" w:eastAsia="Calibri" w:hAnsi="Calibri" w:cs="Calibri"/>
          <w:color w:val="000000"/>
          <w:u w:val="single"/>
        </w:rPr>
        <w:t>Reference List:</w:t>
      </w:r>
    </w:p>
    <w:p w14:paraId="00000048" w14:textId="77777777" w:rsidR="00F13879" w:rsidRDefault="000F7A72">
      <w:pPr>
        <w:numPr>
          <w:ilvl w:val="0"/>
          <w:numId w:val="2"/>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Criminal Law: Text, Cases, and materials, Jonathan Herring, published 2020, published by Oxford University Press. Page 14 paragraph 3</w:t>
      </w:r>
    </w:p>
    <w:p w14:paraId="00000049" w14:textId="77777777" w:rsidR="00F13879" w:rsidRDefault="000F7A72">
      <w:pPr>
        <w:numPr>
          <w:ilvl w:val="0"/>
          <w:numId w:val="2"/>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 xml:space="preserve">Criminal Law: A Comparative </w:t>
      </w:r>
      <w:proofErr w:type="gramStart"/>
      <w:r>
        <w:rPr>
          <w:rFonts w:ascii="Calibri" w:eastAsia="Calibri" w:hAnsi="Calibri" w:cs="Calibri"/>
          <w:color w:val="000000"/>
        </w:rPr>
        <w:t>Approach ,Tatjana</w:t>
      </w:r>
      <w:proofErr w:type="gramEnd"/>
      <w:r>
        <w:rPr>
          <w:rFonts w:ascii="Calibri" w:eastAsia="Calibri" w:hAnsi="Calibri" w:cs="Calibri"/>
          <w:color w:val="000000"/>
        </w:rPr>
        <w:t xml:space="preserve"> Hörnle and Markus Dirk Dubber, published 2014; Oxford : Oxford University P</w:t>
      </w:r>
      <w:r>
        <w:rPr>
          <w:rFonts w:ascii="Calibri" w:eastAsia="Calibri" w:hAnsi="Calibri" w:cs="Calibri"/>
          <w:color w:val="000000"/>
        </w:rPr>
        <w:t>ress – page 525 under Criminal Homicide.</w:t>
      </w:r>
    </w:p>
    <w:p w14:paraId="0000004A" w14:textId="77777777" w:rsidR="00F13879" w:rsidRDefault="000F7A72">
      <w:pPr>
        <w:numPr>
          <w:ilvl w:val="0"/>
          <w:numId w:val="2"/>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 xml:space="preserve">Crown Prosecution Service, Homicide: Murder and Manslaughter ,18/03/2019|Legal Guidance, Violent crime </w:t>
      </w:r>
      <w:hyperlink r:id="rId8">
        <w:r>
          <w:rPr>
            <w:rFonts w:ascii="Calibri" w:eastAsia="Calibri" w:hAnsi="Calibri" w:cs="Calibri"/>
            <w:color w:val="0000FF"/>
            <w:u w:val="single"/>
          </w:rPr>
          <w:t>https://www.cps.gov.uk</w:t>
        </w:r>
        <w:r>
          <w:rPr>
            <w:rFonts w:ascii="Calibri" w:eastAsia="Calibri" w:hAnsi="Calibri" w:cs="Calibri"/>
            <w:color w:val="0000FF"/>
            <w:u w:val="single"/>
          </w:rPr>
          <w:t>/legal-guidance/homicide-murder-and-manslaughter</w:t>
        </w:r>
      </w:hyperlink>
    </w:p>
    <w:p w14:paraId="0000004B" w14:textId="77777777" w:rsidR="00F13879" w:rsidRDefault="000F7A72">
      <w:pPr>
        <w:numPr>
          <w:ilvl w:val="0"/>
          <w:numId w:val="3"/>
        </w:numPr>
        <w:pBdr>
          <w:top w:val="nil"/>
          <w:left w:val="nil"/>
          <w:bottom w:val="nil"/>
          <w:right w:val="nil"/>
          <w:between w:val="nil"/>
        </w:pBdr>
        <w:spacing w:after="160" w:line="259" w:lineRule="auto"/>
        <w:rPr>
          <w:rFonts w:ascii="Calibri" w:eastAsia="Calibri" w:hAnsi="Calibri" w:cs="Calibri"/>
          <w:color w:val="000000"/>
          <w:sz w:val="22"/>
          <w:szCs w:val="22"/>
        </w:rPr>
      </w:pPr>
      <w:r>
        <w:rPr>
          <w:rFonts w:ascii="Calibri" w:eastAsia="Calibri" w:hAnsi="Calibri" w:cs="Calibri"/>
          <w:color w:val="000000"/>
          <w:sz w:val="22"/>
          <w:szCs w:val="22"/>
        </w:rPr>
        <w:t>Textbook on Criminal Law – •</w:t>
      </w:r>
      <w:r>
        <w:rPr>
          <w:rFonts w:ascii="Calibri" w:eastAsia="Calibri" w:hAnsi="Calibri" w:cs="Calibri"/>
          <w:color w:val="000000"/>
          <w:sz w:val="22"/>
          <w:szCs w:val="22"/>
        </w:rPr>
        <w:tab/>
      </w:r>
      <w:r>
        <w:rPr>
          <w:rFonts w:ascii="Calibri" w:eastAsia="Calibri" w:hAnsi="Calibri" w:cs="Calibri"/>
          <w:color w:val="000000"/>
          <w:sz w:val="22"/>
          <w:szCs w:val="22"/>
        </w:rPr>
        <w:t>M J Allen (Michael John) T law 1956-2011 Oxford, UK: Oxford University Press; 11th ed. Publisher 2011 P321 p2</w:t>
      </w:r>
    </w:p>
    <w:p w14:paraId="0000004C" w14:textId="77777777" w:rsidR="00F13879" w:rsidRDefault="000F7A72">
      <w:pPr>
        <w:numPr>
          <w:ilvl w:val="0"/>
          <w:numId w:val="3"/>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The Guardian, Alan Travis, 2016 -</w:t>
      </w:r>
      <w:hyperlink r:id="rId9">
        <w:r>
          <w:rPr>
            <w:rFonts w:ascii="Calibri" w:eastAsia="Calibri" w:hAnsi="Calibri" w:cs="Calibri"/>
            <w:color w:val="0000FF"/>
            <w:u w:val="single"/>
          </w:rPr>
          <w:t>https://www.theguardian.com/law/2016/sep/14/law-will-not-be-reformed-justice-minister-tells-mps</w:t>
        </w:r>
      </w:hyperlink>
    </w:p>
    <w:p w14:paraId="0000004D" w14:textId="77777777" w:rsidR="00F13879" w:rsidRDefault="000F7A72">
      <w:pPr>
        <w:numPr>
          <w:ilvl w:val="0"/>
          <w:numId w:val="3"/>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 xml:space="preserve">The Law Commission, Consultation Paper No </w:t>
      </w:r>
      <w:proofErr w:type="gramStart"/>
      <w:r>
        <w:rPr>
          <w:rFonts w:ascii="Calibri" w:eastAsia="Calibri" w:hAnsi="Calibri" w:cs="Calibri"/>
          <w:color w:val="000000"/>
        </w:rPr>
        <w:t>177,A</w:t>
      </w:r>
      <w:proofErr w:type="gramEnd"/>
      <w:r>
        <w:rPr>
          <w:rFonts w:ascii="Calibri" w:eastAsia="Calibri" w:hAnsi="Calibri" w:cs="Calibri"/>
          <w:color w:val="000000"/>
        </w:rPr>
        <w:t xml:space="preserve"> NEW HOMICIDE ACT FOR ENGLAND AND WALES? 2005 p51 p5 – p52 p1</w:t>
      </w:r>
    </w:p>
    <w:p w14:paraId="0000004E" w14:textId="77777777" w:rsidR="00F13879" w:rsidRDefault="000F7A72">
      <w:pPr>
        <w:numPr>
          <w:ilvl w:val="0"/>
          <w:numId w:val="3"/>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 xml:space="preserve">The Law Commission, Partial </w:t>
      </w:r>
      <w:proofErr w:type="spellStart"/>
      <w:r>
        <w:rPr>
          <w:rFonts w:ascii="Calibri" w:eastAsia="Calibri" w:hAnsi="Calibri" w:cs="Calibri"/>
          <w:color w:val="000000"/>
        </w:rPr>
        <w:t>Defences</w:t>
      </w:r>
      <w:proofErr w:type="spellEnd"/>
      <w:r>
        <w:rPr>
          <w:rFonts w:ascii="Calibri" w:eastAsia="Calibri" w:hAnsi="Calibri" w:cs="Calibri"/>
          <w:color w:val="000000"/>
        </w:rPr>
        <w:t xml:space="preserve"> to Murder, Consultation Paper No 173, 31</w:t>
      </w:r>
      <w:r>
        <w:rPr>
          <w:rFonts w:ascii="Calibri" w:eastAsia="Calibri" w:hAnsi="Calibri" w:cs="Calibri"/>
          <w:color w:val="000000"/>
          <w:vertAlign w:val="superscript"/>
        </w:rPr>
        <w:t>st</w:t>
      </w:r>
      <w:r>
        <w:rPr>
          <w:rFonts w:ascii="Calibri" w:eastAsia="Calibri" w:hAnsi="Calibri" w:cs="Calibri"/>
          <w:color w:val="000000"/>
        </w:rPr>
        <w:t xml:space="preserve"> October 2003. Page 14 paragraph 5.</w:t>
      </w:r>
    </w:p>
    <w:p w14:paraId="0000004F" w14:textId="77777777" w:rsidR="00F13879" w:rsidRDefault="000F7A72">
      <w:pPr>
        <w:numPr>
          <w:ilvl w:val="0"/>
          <w:numId w:val="3"/>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The Law Commission, MURDER, MANSLAUGHTER AND INFANTICIDE, Project 6 of the Nint</w:t>
      </w:r>
      <w:r>
        <w:rPr>
          <w:rFonts w:ascii="Calibri" w:eastAsia="Calibri" w:hAnsi="Calibri" w:cs="Calibri"/>
          <w:color w:val="000000"/>
        </w:rPr>
        <w:t xml:space="preserve">h </w:t>
      </w:r>
      <w:proofErr w:type="spellStart"/>
      <w:r>
        <w:rPr>
          <w:rFonts w:ascii="Calibri" w:eastAsia="Calibri" w:hAnsi="Calibri" w:cs="Calibri"/>
          <w:color w:val="000000"/>
        </w:rPr>
        <w:t>Programme</w:t>
      </w:r>
      <w:proofErr w:type="spellEnd"/>
      <w:r>
        <w:rPr>
          <w:rFonts w:ascii="Calibri" w:eastAsia="Calibri" w:hAnsi="Calibri" w:cs="Calibri"/>
          <w:color w:val="000000"/>
        </w:rPr>
        <w:t xml:space="preserve"> of Law Reform: Homicide 28</w:t>
      </w:r>
      <w:r>
        <w:rPr>
          <w:rFonts w:ascii="Calibri" w:eastAsia="Calibri" w:hAnsi="Calibri" w:cs="Calibri"/>
          <w:color w:val="000000"/>
          <w:vertAlign w:val="superscript"/>
        </w:rPr>
        <w:t>th</w:t>
      </w:r>
      <w:r>
        <w:rPr>
          <w:rFonts w:ascii="Calibri" w:eastAsia="Calibri" w:hAnsi="Calibri" w:cs="Calibri"/>
          <w:color w:val="000000"/>
        </w:rPr>
        <w:t xml:space="preserve"> November 2006. Pages 3-4 and pages 172-173</w:t>
      </w:r>
    </w:p>
    <w:p w14:paraId="00000050" w14:textId="77777777" w:rsidR="00F13879" w:rsidRDefault="000F7A72">
      <w:pPr>
        <w:numPr>
          <w:ilvl w:val="0"/>
          <w:numId w:val="3"/>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 xml:space="preserve">The Law Commission Partial </w:t>
      </w:r>
      <w:proofErr w:type="spellStart"/>
      <w:r>
        <w:rPr>
          <w:rFonts w:ascii="Calibri" w:eastAsia="Calibri" w:hAnsi="Calibri" w:cs="Calibri"/>
          <w:color w:val="000000"/>
        </w:rPr>
        <w:t>Defences</w:t>
      </w:r>
      <w:proofErr w:type="spellEnd"/>
      <w:r>
        <w:rPr>
          <w:rFonts w:ascii="Calibri" w:eastAsia="Calibri" w:hAnsi="Calibri" w:cs="Calibri"/>
          <w:color w:val="000000"/>
        </w:rPr>
        <w:t xml:space="preserve"> to Murder, 6 August 2004, Page 33</w:t>
      </w:r>
    </w:p>
    <w:p w14:paraId="00000051" w14:textId="77777777" w:rsidR="00F13879" w:rsidRDefault="000F7A72">
      <w:pPr>
        <w:numPr>
          <w:ilvl w:val="0"/>
          <w:numId w:val="3"/>
        </w:numPr>
        <w:pBdr>
          <w:top w:val="nil"/>
          <w:left w:val="nil"/>
          <w:bottom w:val="nil"/>
          <w:right w:val="nil"/>
          <w:between w:val="nil"/>
        </w:pBdr>
        <w:spacing w:after="160" w:line="259" w:lineRule="auto"/>
        <w:rPr>
          <w:rFonts w:ascii="Calibri" w:eastAsia="Calibri" w:hAnsi="Calibri" w:cs="Calibri"/>
          <w:color w:val="000000"/>
        </w:rPr>
      </w:pPr>
      <w:r>
        <w:rPr>
          <w:rFonts w:ascii="Calibri" w:eastAsia="Calibri" w:hAnsi="Calibri" w:cs="Calibri"/>
          <w:color w:val="000000"/>
        </w:rPr>
        <w:t>Ministry of Justice: Report on the implementation of Law Commission proposals 2011. P14 p4.</w:t>
      </w:r>
    </w:p>
    <w:p w14:paraId="00000052" w14:textId="77777777" w:rsidR="00F13879" w:rsidRDefault="000F7A72">
      <w:pPr>
        <w:numPr>
          <w:ilvl w:val="0"/>
          <w:numId w:val="3"/>
        </w:numPr>
        <w:pBdr>
          <w:top w:val="nil"/>
          <w:left w:val="nil"/>
          <w:bottom w:val="nil"/>
          <w:right w:val="nil"/>
          <w:between w:val="nil"/>
        </w:pBdr>
        <w:spacing w:after="160" w:line="259" w:lineRule="auto"/>
        <w:rPr>
          <w:rFonts w:ascii="Calibri" w:eastAsia="Calibri" w:hAnsi="Calibri" w:cs="Calibri"/>
          <w:color w:val="000000"/>
        </w:rPr>
      </w:pPr>
      <w:hyperlink r:id="rId10">
        <w:r>
          <w:rPr>
            <w:rFonts w:ascii="Calibri" w:eastAsia="Calibri" w:hAnsi="Calibri" w:cs="Calibri"/>
            <w:color w:val="0563C1"/>
            <w:u w:val="single"/>
          </w:rPr>
          <w:t>https://researchbriefings.files.parliament.uk/documents/CDP-2016-0094/CDP-2016-0094.pdf</w:t>
        </w:r>
      </w:hyperlink>
      <w:r>
        <w:rPr>
          <w:rFonts w:ascii="Calibri" w:eastAsia="Calibri" w:hAnsi="Calibri" w:cs="Calibri"/>
          <w:color w:val="0563C1"/>
          <w:u w:val="single"/>
        </w:rPr>
        <w:t xml:space="preserve">  </w:t>
      </w:r>
      <w:r>
        <w:rPr>
          <w:rFonts w:ascii="Calibri" w:eastAsia="Calibri" w:hAnsi="Calibri" w:cs="Calibri"/>
          <w:color w:val="000000"/>
        </w:rPr>
        <w:t xml:space="preserve">- House of </w:t>
      </w:r>
      <w:proofErr w:type="gramStart"/>
      <w:r>
        <w:rPr>
          <w:rFonts w:ascii="Calibri" w:eastAsia="Calibri" w:hAnsi="Calibri" w:cs="Calibri"/>
          <w:color w:val="000000"/>
        </w:rPr>
        <w:t>Commons ,</w:t>
      </w:r>
      <w:proofErr w:type="gramEnd"/>
      <w:r>
        <w:rPr>
          <w:rFonts w:ascii="Calibri" w:eastAsia="Calibri" w:hAnsi="Calibri" w:cs="Calibri"/>
          <w:color w:val="000000"/>
        </w:rPr>
        <w:t xml:space="preserve"> Reforming the Law on Homicide, 2016, Jaqueline Be</w:t>
      </w:r>
      <w:r>
        <w:rPr>
          <w:rFonts w:ascii="Calibri" w:eastAsia="Calibri" w:hAnsi="Calibri" w:cs="Calibri"/>
          <w:color w:val="000000"/>
        </w:rPr>
        <w:t xml:space="preserve">ard and Benjamin </w:t>
      </w:r>
      <w:proofErr w:type="spellStart"/>
      <w:r>
        <w:rPr>
          <w:rFonts w:ascii="Calibri" w:eastAsia="Calibri" w:hAnsi="Calibri" w:cs="Calibri"/>
          <w:color w:val="000000"/>
        </w:rPr>
        <w:t>Plitowski</w:t>
      </w:r>
      <w:proofErr w:type="spellEnd"/>
    </w:p>
    <w:sectPr w:rsidR="00F13879">
      <w:headerReference w:type="default" r:id="rId11"/>
      <w:footerReference w:type="default" r:id="rId12"/>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0CF20" w14:textId="77777777" w:rsidR="000F7A72" w:rsidRDefault="000F7A72">
      <w:r>
        <w:separator/>
      </w:r>
    </w:p>
  </w:endnote>
  <w:endnote w:type="continuationSeparator" w:id="0">
    <w:p w14:paraId="08CA9820" w14:textId="77777777" w:rsidR="000F7A72" w:rsidRDefault="000F7A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Arimo">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default"/>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4" w14:textId="77777777" w:rsidR="00F13879" w:rsidRDefault="00F13879">
    <w:pPr>
      <w:pBdr>
        <w:top w:val="nil"/>
        <w:left w:val="nil"/>
        <w:bottom w:val="nil"/>
        <w:right w:val="nil"/>
        <w:between w:val="nil"/>
      </w:pBdr>
      <w:tabs>
        <w:tab w:val="right" w:pos="9020"/>
      </w:tabs>
      <w:rPr>
        <w:rFonts w:ascii="Helvetica Neue" w:eastAsia="Helvetica Neue" w:hAnsi="Helvetica Neue" w:cs="Helvetica Neue"/>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AE064" w14:textId="77777777" w:rsidR="000F7A72" w:rsidRDefault="000F7A72">
      <w:r>
        <w:separator/>
      </w:r>
    </w:p>
  </w:footnote>
  <w:footnote w:type="continuationSeparator" w:id="0">
    <w:p w14:paraId="7D4644D6" w14:textId="77777777" w:rsidR="000F7A72" w:rsidRDefault="000F7A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3" w14:textId="77777777" w:rsidR="00F13879" w:rsidRDefault="00F13879">
    <w:pPr>
      <w:pBdr>
        <w:top w:val="nil"/>
        <w:left w:val="nil"/>
        <w:bottom w:val="nil"/>
        <w:right w:val="nil"/>
        <w:between w:val="nil"/>
      </w:pBdr>
      <w:tabs>
        <w:tab w:val="right" w:pos="9020"/>
      </w:tabs>
      <w:rPr>
        <w:rFonts w:ascii="Helvetica Neue" w:eastAsia="Helvetica Neue" w:hAnsi="Helvetica Neue" w:cs="Helvetica Neue"/>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14592"/>
    <w:multiLevelType w:val="multilevel"/>
    <w:tmpl w:val="7FB26122"/>
    <w:lvl w:ilvl="0">
      <w:start w:val="1"/>
      <w:numFmt w:val="bullet"/>
      <w:lvlText w:val="●"/>
      <w:lvlJc w:val="left"/>
      <w:pPr>
        <w:ind w:left="720" w:hanging="360"/>
      </w:pPr>
      <w:rPr>
        <w:rFonts w:ascii="Noto Sans Symbols" w:eastAsia="Noto Sans Symbols" w:hAnsi="Noto Sans Symbols" w:cs="Noto Sans Symbols"/>
        <w:b w:val="0"/>
        <w:i w:val="0"/>
        <w:smallCaps w:val="0"/>
        <w:strike w:val="0"/>
        <w:shd w:val="clear" w:color="auto" w:fill="auto"/>
        <w:vertAlign w:val="baseline"/>
      </w:rPr>
    </w:lvl>
    <w:lvl w:ilvl="1">
      <w:start w:val="1"/>
      <w:numFmt w:val="bullet"/>
      <w:lvlText w:val="o"/>
      <w:lvlJc w:val="left"/>
      <w:pPr>
        <w:ind w:left="1440" w:hanging="360"/>
      </w:pPr>
      <w:rPr>
        <w:rFonts w:ascii="Arimo" w:eastAsia="Arimo" w:hAnsi="Arimo" w:cs="Arimo"/>
        <w:b w:val="0"/>
        <w:i w:val="0"/>
        <w:smallCaps w:val="0"/>
        <w:strike w:val="0"/>
        <w:shd w:val="clear" w:color="auto" w:fill="auto"/>
        <w:vertAlign w:val="baseline"/>
      </w:rPr>
    </w:lvl>
    <w:lvl w:ilvl="2">
      <w:start w:val="1"/>
      <w:numFmt w:val="bullet"/>
      <w:lvlText w:val="▪"/>
      <w:lvlJc w:val="left"/>
      <w:pPr>
        <w:ind w:left="2160" w:hanging="360"/>
      </w:pPr>
      <w:rPr>
        <w:rFonts w:ascii="Arimo" w:eastAsia="Arimo" w:hAnsi="Arimo" w:cs="Arimo"/>
        <w:b w:val="0"/>
        <w:i w:val="0"/>
        <w:smallCaps w:val="0"/>
        <w:strike w:val="0"/>
        <w:shd w:val="clear" w:color="auto" w:fill="auto"/>
        <w:vertAlign w:val="baseline"/>
      </w:rPr>
    </w:lvl>
    <w:lvl w:ilvl="3">
      <w:start w:val="1"/>
      <w:numFmt w:val="bullet"/>
      <w:lvlText w:val="●"/>
      <w:lvlJc w:val="left"/>
      <w:pPr>
        <w:ind w:left="2880" w:hanging="360"/>
      </w:pPr>
      <w:rPr>
        <w:rFonts w:ascii="Noto Sans Symbols" w:eastAsia="Noto Sans Symbols" w:hAnsi="Noto Sans Symbols" w:cs="Noto Sans Symbols"/>
        <w:b w:val="0"/>
        <w:i w:val="0"/>
        <w:smallCaps w:val="0"/>
        <w:strike w:val="0"/>
        <w:shd w:val="clear" w:color="auto" w:fill="auto"/>
        <w:vertAlign w:val="baseline"/>
      </w:rPr>
    </w:lvl>
    <w:lvl w:ilvl="4">
      <w:start w:val="1"/>
      <w:numFmt w:val="bullet"/>
      <w:lvlText w:val="o"/>
      <w:lvlJc w:val="left"/>
      <w:pPr>
        <w:ind w:left="3600" w:hanging="360"/>
      </w:pPr>
      <w:rPr>
        <w:rFonts w:ascii="Arimo" w:eastAsia="Arimo" w:hAnsi="Arimo" w:cs="Arimo"/>
        <w:b w:val="0"/>
        <w:i w:val="0"/>
        <w:smallCaps w:val="0"/>
        <w:strike w:val="0"/>
        <w:shd w:val="clear" w:color="auto" w:fill="auto"/>
        <w:vertAlign w:val="baseline"/>
      </w:rPr>
    </w:lvl>
    <w:lvl w:ilvl="5">
      <w:start w:val="1"/>
      <w:numFmt w:val="bullet"/>
      <w:lvlText w:val="▪"/>
      <w:lvlJc w:val="left"/>
      <w:pPr>
        <w:ind w:left="4320" w:hanging="360"/>
      </w:pPr>
      <w:rPr>
        <w:rFonts w:ascii="Arimo" w:eastAsia="Arimo" w:hAnsi="Arimo" w:cs="Arimo"/>
        <w:b w:val="0"/>
        <w:i w:val="0"/>
        <w:smallCaps w:val="0"/>
        <w:strike w:val="0"/>
        <w:shd w:val="clear" w:color="auto" w:fill="auto"/>
        <w:vertAlign w:val="baseline"/>
      </w:rPr>
    </w:lvl>
    <w:lvl w:ilvl="6">
      <w:start w:val="1"/>
      <w:numFmt w:val="bullet"/>
      <w:lvlText w:val="●"/>
      <w:lvlJc w:val="left"/>
      <w:pPr>
        <w:ind w:left="5040" w:hanging="360"/>
      </w:pPr>
      <w:rPr>
        <w:rFonts w:ascii="Noto Sans Symbols" w:eastAsia="Noto Sans Symbols" w:hAnsi="Noto Sans Symbols" w:cs="Noto Sans Symbols"/>
        <w:b w:val="0"/>
        <w:i w:val="0"/>
        <w:smallCaps w:val="0"/>
        <w:strike w:val="0"/>
        <w:shd w:val="clear" w:color="auto" w:fill="auto"/>
        <w:vertAlign w:val="baseline"/>
      </w:rPr>
    </w:lvl>
    <w:lvl w:ilvl="7">
      <w:start w:val="1"/>
      <w:numFmt w:val="bullet"/>
      <w:lvlText w:val="o"/>
      <w:lvlJc w:val="left"/>
      <w:pPr>
        <w:ind w:left="5760" w:hanging="360"/>
      </w:pPr>
      <w:rPr>
        <w:rFonts w:ascii="Arimo" w:eastAsia="Arimo" w:hAnsi="Arimo" w:cs="Arimo"/>
        <w:b w:val="0"/>
        <w:i w:val="0"/>
        <w:smallCaps w:val="0"/>
        <w:strike w:val="0"/>
        <w:shd w:val="clear" w:color="auto" w:fill="auto"/>
        <w:vertAlign w:val="baseline"/>
      </w:rPr>
    </w:lvl>
    <w:lvl w:ilvl="8">
      <w:start w:val="1"/>
      <w:numFmt w:val="bullet"/>
      <w:lvlText w:val="▪"/>
      <w:lvlJc w:val="left"/>
      <w:pPr>
        <w:ind w:left="6480" w:hanging="360"/>
      </w:pPr>
      <w:rPr>
        <w:rFonts w:ascii="Arimo" w:eastAsia="Arimo" w:hAnsi="Arimo" w:cs="Arimo"/>
        <w:b w:val="0"/>
        <w:i w:val="0"/>
        <w:smallCaps w:val="0"/>
        <w:strike w:val="0"/>
        <w:shd w:val="clear" w:color="auto" w:fill="auto"/>
        <w:vertAlign w:val="baseline"/>
      </w:rPr>
    </w:lvl>
  </w:abstractNum>
  <w:abstractNum w:abstractNumId="1" w15:restartNumberingAfterBreak="0">
    <w:nsid w:val="1744468A"/>
    <w:multiLevelType w:val="multilevel"/>
    <w:tmpl w:val="9DCE573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9080296"/>
    <w:multiLevelType w:val="multilevel"/>
    <w:tmpl w:val="A692B67C"/>
    <w:lvl w:ilvl="0">
      <w:start w:val="1"/>
      <w:numFmt w:val="bullet"/>
      <w:lvlText w:val="●"/>
      <w:lvlJc w:val="left"/>
      <w:pPr>
        <w:ind w:left="720" w:hanging="360"/>
      </w:pPr>
      <w:rPr>
        <w:rFonts w:ascii="Noto Sans Symbols" w:eastAsia="Noto Sans Symbols" w:hAnsi="Noto Sans Symbols" w:cs="Noto Sans Symbols"/>
        <w:b w:val="0"/>
        <w:i w:val="0"/>
        <w:smallCaps w:val="0"/>
        <w:strike w:val="0"/>
        <w:sz w:val="24"/>
        <w:szCs w:val="24"/>
        <w:shd w:val="clear" w:color="auto" w:fill="auto"/>
        <w:vertAlign w:val="baseline"/>
      </w:rPr>
    </w:lvl>
    <w:lvl w:ilvl="1">
      <w:start w:val="1"/>
      <w:numFmt w:val="bullet"/>
      <w:lvlText w:val="o"/>
      <w:lvlJc w:val="left"/>
      <w:pPr>
        <w:ind w:left="1440" w:hanging="360"/>
      </w:pPr>
      <w:rPr>
        <w:rFonts w:ascii="Arimo" w:eastAsia="Arimo" w:hAnsi="Arimo" w:cs="Arimo"/>
        <w:b w:val="0"/>
        <w:i w:val="0"/>
        <w:smallCaps w:val="0"/>
        <w:strike w:val="0"/>
        <w:sz w:val="24"/>
        <w:szCs w:val="24"/>
        <w:shd w:val="clear" w:color="auto" w:fill="auto"/>
        <w:vertAlign w:val="baseline"/>
      </w:rPr>
    </w:lvl>
    <w:lvl w:ilvl="2">
      <w:start w:val="1"/>
      <w:numFmt w:val="bullet"/>
      <w:lvlText w:val="▪"/>
      <w:lvlJc w:val="left"/>
      <w:pPr>
        <w:ind w:left="2160" w:hanging="360"/>
      </w:pPr>
      <w:rPr>
        <w:rFonts w:ascii="Arimo" w:eastAsia="Arimo" w:hAnsi="Arimo" w:cs="Arimo"/>
        <w:b w:val="0"/>
        <w:i w:val="0"/>
        <w:smallCaps w:val="0"/>
        <w:strike w:val="0"/>
        <w:sz w:val="24"/>
        <w:szCs w:val="24"/>
        <w:shd w:val="clear" w:color="auto" w:fill="auto"/>
        <w:vertAlign w:val="baseline"/>
      </w:rPr>
    </w:lvl>
    <w:lvl w:ilvl="3">
      <w:start w:val="1"/>
      <w:numFmt w:val="bullet"/>
      <w:lvlText w:val="●"/>
      <w:lvlJc w:val="left"/>
      <w:pPr>
        <w:ind w:left="2880" w:hanging="360"/>
      </w:pPr>
      <w:rPr>
        <w:rFonts w:ascii="Noto Sans Symbols" w:eastAsia="Noto Sans Symbols" w:hAnsi="Noto Sans Symbols" w:cs="Noto Sans Symbols"/>
        <w:b w:val="0"/>
        <w:i w:val="0"/>
        <w:smallCaps w:val="0"/>
        <w:strike w:val="0"/>
        <w:sz w:val="24"/>
        <w:szCs w:val="24"/>
        <w:shd w:val="clear" w:color="auto" w:fill="auto"/>
        <w:vertAlign w:val="baseline"/>
      </w:rPr>
    </w:lvl>
    <w:lvl w:ilvl="4">
      <w:start w:val="1"/>
      <w:numFmt w:val="bullet"/>
      <w:lvlText w:val="o"/>
      <w:lvlJc w:val="left"/>
      <w:pPr>
        <w:ind w:left="3600" w:hanging="360"/>
      </w:pPr>
      <w:rPr>
        <w:rFonts w:ascii="Arimo" w:eastAsia="Arimo" w:hAnsi="Arimo" w:cs="Arimo"/>
        <w:b w:val="0"/>
        <w:i w:val="0"/>
        <w:smallCaps w:val="0"/>
        <w:strike w:val="0"/>
        <w:sz w:val="24"/>
        <w:szCs w:val="24"/>
        <w:shd w:val="clear" w:color="auto" w:fill="auto"/>
        <w:vertAlign w:val="baseline"/>
      </w:rPr>
    </w:lvl>
    <w:lvl w:ilvl="5">
      <w:start w:val="1"/>
      <w:numFmt w:val="bullet"/>
      <w:lvlText w:val="▪"/>
      <w:lvlJc w:val="left"/>
      <w:pPr>
        <w:ind w:left="4320" w:hanging="360"/>
      </w:pPr>
      <w:rPr>
        <w:rFonts w:ascii="Arimo" w:eastAsia="Arimo" w:hAnsi="Arimo" w:cs="Arimo"/>
        <w:b w:val="0"/>
        <w:i w:val="0"/>
        <w:smallCaps w:val="0"/>
        <w:strike w:val="0"/>
        <w:sz w:val="24"/>
        <w:szCs w:val="24"/>
        <w:shd w:val="clear" w:color="auto" w:fill="auto"/>
        <w:vertAlign w:val="baseline"/>
      </w:rPr>
    </w:lvl>
    <w:lvl w:ilvl="6">
      <w:start w:val="1"/>
      <w:numFmt w:val="bullet"/>
      <w:lvlText w:val="●"/>
      <w:lvlJc w:val="left"/>
      <w:pPr>
        <w:ind w:left="5040" w:hanging="360"/>
      </w:pPr>
      <w:rPr>
        <w:rFonts w:ascii="Noto Sans Symbols" w:eastAsia="Noto Sans Symbols" w:hAnsi="Noto Sans Symbols" w:cs="Noto Sans Symbols"/>
        <w:b w:val="0"/>
        <w:i w:val="0"/>
        <w:smallCaps w:val="0"/>
        <w:strike w:val="0"/>
        <w:sz w:val="24"/>
        <w:szCs w:val="24"/>
        <w:shd w:val="clear" w:color="auto" w:fill="auto"/>
        <w:vertAlign w:val="baseline"/>
      </w:rPr>
    </w:lvl>
    <w:lvl w:ilvl="7">
      <w:start w:val="1"/>
      <w:numFmt w:val="bullet"/>
      <w:lvlText w:val="o"/>
      <w:lvlJc w:val="left"/>
      <w:pPr>
        <w:ind w:left="5760" w:hanging="360"/>
      </w:pPr>
      <w:rPr>
        <w:rFonts w:ascii="Arimo" w:eastAsia="Arimo" w:hAnsi="Arimo" w:cs="Arimo"/>
        <w:b w:val="0"/>
        <w:i w:val="0"/>
        <w:smallCaps w:val="0"/>
        <w:strike w:val="0"/>
        <w:sz w:val="24"/>
        <w:szCs w:val="24"/>
        <w:shd w:val="clear" w:color="auto" w:fill="auto"/>
        <w:vertAlign w:val="baseline"/>
      </w:rPr>
    </w:lvl>
    <w:lvl w:ilvl="8">
      <w:start w:val="1"/>
      <w:numFmt w:val="bullet"/>
      <w:lvlText w:val="▪"/>
      <w:lvlJc w:val="left"/>
      <w:pPr>
        <w:ind w:left="6480" w:hanging="360"/>
      </w:pPr>
      <w:rPr>
        <w:rFonts w:ascii="Arimo" w:eastAsia="Arimo" w:hAnsi="Arimo" w:cs="Arimo"/>
        <w:b w:val="0"/>
        <w:i w:val="0"/>
        <w:smallCaps w:val="0"/>
        <w:strike w:val="0"/>
        <w:sz w:val="24"/>
        <w:szCs w:val="24"/>
        <w:shd w:val="clear" w:color="auto" w:fill="auto"/>
        <w:vertAlign w:val="baseline"/>
      </w:rPr>
    </w:lvl>
  </w:abstractNum>
  <w:abstractNum w:abstractNumId="3" w15:restartNumberingAfterBreak="0">
    <w:nsid w:val="5CB712BA"/>
    <w:multiLevelType w:val="multilevel"/>
    <w:tmpl w:val="5DC6CAAE"/>
    <w:lvl w:ilvl="0">
      <w:start w:val="1"/>
      <w:numFmt w:val="bullet"/>
      <w:lvlText w:val="●"/>
      <w:lvlJc w:val="left"/>
      <w:pPr>
        <w:ind w:left="720" w:hanging="360"/>
      </w:pPr>
      <w:rPr>
        <w:rFonts w:ascii="Noto Sans Symbols" w:eastAsia="Noto Sans Symbols" w:hAnsi="Noto Sans Symbols" w:cs="Noto Sans Symbols"/>
        <w:b w:val="0"/>
        <w:i w:val="0"/>
        <w:smallCaps w:val="0"/>
        <w:strike w:val="0"/>
        <w:shd w:val="clear" w:color="auto" w:fill="auto"/>
        <w:vertAlign w:val="baseline"/>
      </w:rPr>
    </w:lvl>
    <w:lvl w:ilvl="1">
      <w:start w:val="1"/>
      <w:numFmt w:val="bullet"/>
      <w:lvlText w:val="o"/>
      <w:lvlJc w:val="left"/>
      <w:pPr>
        <w:ind w:left="1440" w:hanging="360"/>
      </w:pPr>
      <w:rPr>
        <w:rFonts w:ascii="Arimo" w:eastAsia="Arimo" w:hAnsi="Arimo" w:cs="Arimo"/>
        <w:b w:val="0"/>
        <w:i w:val="0"/>
        <w:smallCaps w:val="0"/>
        <w:strike w:val="0"/>
        <w:shd w:val="clear" w:color="auto" w:fill="auto"/>
        <w:vertAlign w:val="baseline"/>
      </w:rPr>
    </w:lvl>
    <w:lvl w:ilvl="2">
      <w:start w:val="1"/>
      <w:numFmt w:val="bullet"/>
      <w:lvlText w:val="▪"/>
      <w:lvlJc w:val="left"/>
      <w:pPr>
        <w:ind w:left="2160" w:hanging="360"/>
      </w:pPr>
      <w:rPr>
        <w:rFonts w:ascii="Arimo" w:eastAsia="Arimo" w:hAnsi="Arimo" w:cs="Arimo"/>
        <w:b w:val="0"/>
        <w:i w:val="0"/>
        <w:smallCaps w:val="0"/>
        <w:strike w:val="0"/>
        <w:shd w:val="clear" w:color="auto" w:fill="auto"/>
        <w:vertAlign w:val="baseline"/>
      </w:rPr>
    </w:lvl>
    <w:lvl w:ilvl="3">
      <w:start w:val="1"/>
      <w:numFmt w:val="bullet"/>
      <w:lvlText w:val="●"/>
      <w:lvlJc w:val="left"/>
      <w:pPr>
        <w:ind w:left="2880" w:hanging="360"/>
      </w:pPr>
      <w:rPr>
        <w:rFonts w:ascii="Noto Sans Symbols" w:eastAsia="Noto Sans Symbols" w:hAnsi="Noto Sans Symbols" w:cs="Noto Sans Symbols"/>
        <w:b w:val="0"/>
        <w:i w:val="0"/>
        <w:smallCaps w:val="0"/>
        <w:strike w:val="0"/>
        <w:shd w:val="clear" w:color="auto" w:fill="auto"/>
        <w:vertAlign w:val="baseline"/>
      </w:rPr>
    </w:lvl>
    <w:lvl w:ilvl="4">
      <w:start w:val="1"/>
      <w:numFmt w:val="bullet"/>
      <w:lvlText w:val="o"/>
      <w:lvlJc w:val="left"/>
      <w:pPr>
        <w:ind w:left="3600" w:hanging="360"/>
      </w:pPr>
      <w:rPr>
        <w:rFonts w:ascii="Arimo" w:eastAsia="Arimo" w:hAnsi="Arimo" w:cs="Arimo"/>
        <w:b w:val="0"/>
        <w:i w:val="0"/>
        <w:smallCaps w:val="0"/>
        <w:strike w:val="0"/>
        <w:shd w:val="clear" w:color="auto" w:fill="auto"/>
        <w:vertAlign w:val="baseline"/>
      </w:rPr>
    </w:lvl>
    <w:lvl w:ilvl="5">
      <w:start w:val="1"/>
      <w:numFmt w:val="bullet"/>
      <w:lvlText w:val="▪"/>
      <w:lvlJc w:val="left"/>
      <w:pPr>
        <w:ind w:left="4320" w:hanging="360"/>
      </w:pPr>
      <w:rPr>
        <w:rFonts w:ascii="Arimo" w:eastAsia="Arimo" w:hAnsi="Arimo" w:cs="Arimo"/>
        <w:b w:val="0"/>
        <w:i w:val="0"/>
        <w:smallCaps w:val="0"/>
        <w:strike w:val="0"/>
        <w:shd w:val="clear" w:color="auto" w:fill="auto"/>
        <w:vertAlign w:val="baseline"/>
      </w:rPr>
    </w:lvl>
    <w:lvl w:ilvl="6">
      <w:start w:val="1"/>
      <w:numFmt w:val="bullet"/>
      <w:lvlText w:val="●"/>
      <w:lvlJc w:val="left"/>
      <w:pPr>
        <w:ind w:left="5040" w:hanging="360"/>
      </w:pPr>
      <w:rPr>
        <w:rFonts w:ascii="Noto Sans Symbols" w:eastAsia="Noto Sans Symbols" w:hAnsi="Noto Sans Symbols" w:cs="Noto Sans Symbols"/>
        <w:b w:val="0"/>
        <w:i w:val="0"/>
        <w:smallCaps w:val="0"/>
        <w:strike w:val="0"/>
        <w:shd w:val="clear" w:color="auto" w:fill="auto"/>
        <w:vertAlign w:val="baseline"/>
      </w:rPr>
    </w:lvl>
    <w:lvl w:ilvl="7">
      <w:start w:val="1"/>
      <w:numFmt w:val="bullet"/>
      <w:lvlText w:val="o"/>
      <w:lvlJc w:val="left"/>
      <w:pPr>
        <w:ind w:left="5760" w:hanging="360"/>
      </w:pPr>
      <w:rPr>
        <w:rFonts w:ascii="Arimo" w:eastAsia="Arimo" w:hAnsi="Arimo" w:cs="Arimo"/>
        <w:b w:val="0"/>
        <w:i w:val="0"/>
        <w:smallCaps w:val="0"/>
        <w:strike w:val="0"/>
        <w:shd w:val="clear" w:color="auto" w:fill="auto"/>
        <w:vertAlign w:val="baseline"/>
      </w:rPr>
    </w:lvl>
    <w:lvl w:ilvl="8">
      <w:start w:val="1"/>
      <w:numFmt w:val="bullet"/>
      <w:lvlText w:val="▪"/>
      <w:lvlJc w:val="left"/>
      <w:pPr>
        <w:ind w:left="6480" w:hanging="360"/>
      </w:pPr>
      <w:rPr>
        <w:rFonts w:ascii="Arimo" w:eastAsia="Arimo" w:hAnsi="Arimo" w:cs="Arimo"/>
        <w:b w:val="0"/>
        <w:i w:val="0"/>
        <w:smallCaps w:val="0"/>
        <w:strike w:val="0"/>
        <w:shd w:val="clear" w:color="auto" w:fill="auto"/>
        <w:vertAlign w:val="baseli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879"/>
    <w:rsid w:val="000F7A72"/>
    <w:rsid w:val="00410F69"/>
    <w:rsid w:val="00992A49"/>
    <w:rsid w:val="00F13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6CAF3A5-B090-49BC-9009-184EC9957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Bullets">
    <w:name w:val="Bullets"/>
  </w:style>
  <w:style w:type="paragraph" w:customStyle="1" w:styleId="Body">
    <w:name w:val="Body"/>
    <w:rPr>
      <w:color w:val="000000"/>
      <w:u w:color="000000"/>
      <w14:textOutline w14:w="0" w14:cap="flat" w14:cmpd="sng" w14:algn="ctr">
        <w14:noFill/>
        <w14:prstDash w14:val="solid"/>
        <w14:bevel/>
      </w14:textOutline>
    </w:rPr>
  </w:style>
  <w:style w:type="numbering" w:customStyle="1" w:styleId="ImportedStyle1">
    <w:name w:val="Imported Style 1"/>
  </w:style>
  <w:style w:type="numbering" w:customStyle="1" w:styleId="ImportedStyle2">
    <w:name w:val="Imported Style 2"/>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character" w:customStyle="1" w:styleId="None">
    <w:name w:val="None"/>
  </w:style>
  <w:style w:type="character" w:customStyle="1" w:styleId="Hyperlink1">
    <w:name w:val="Hyperlink.1"/>
    <w:basedOn w:val="None"/>
    <w:rPr>
      <w:outline w:val="0"/>
      <w:color w:val="0563C1"/>
      <w:u w:val="single" w:color="0563C1"/>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ps.gov.uk/legal-guidance/homicide-murder-and-manslaughte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researchbriefings.files.parliament.uk/documents/CDP-2016-0094/CDP-2016-0094.pdf" TargetMode="External"/><Relationship Id="rId4" Type="http://schemas.openxmlformats.org/officeDocument/2006/relationships/settings" Target="settings.xml"/><Relationship Id="rId9" Type="http://schemas.openxmlformats.org/officeDocument/2006/relationships/hyperlink" Target="https://www.theguardian.com/law/2016/sep/14/law-will-not-be-reformed-justice-minister-tells-mp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83djusBccwqQsaOpJmBZFYd9nQ==">AMUW2mWMwJEUgC2oshJILVEyDFwOiDaAWumLhCu5xh1k2rAClC0yvX+/VyfVS6QIkV6B35NqULAI6hfP8QHlK2HJWH5qSD73TOjGb3V9aQw6lqAlh1laRMc=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1638</Words>
  <Characters>9343</Characters>
  <Application>Microsoft Office Word</Application>
  <DocSecurity>0</DocSecurity>
  <Lines>77</Lines>
  <Paragraphs>21</Paragraphs>
  <ScaleCrop>false</ScaleCrop>
  <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Emma Bright</cp:lastModifiedBy>
  <cp:revision>2</cp:revision>
  <dcterms:created xsi:type="dcterms:W3CDTF">2021-11-05T14:31:00Z</dcterms:created>
  <dcterms:modified xsi:type="dcterms:W3CDTF">2021-11-05T14:31:00Z</dcterms:modified>
</cp:coreProperties>
</file>