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898225" w14:textId="3967FA67" w:rsidR="00E80BBC" w:rsidRPr="00903B5D" w:rsidRDefault="00E80BBC" w:rsidP="00903B5D">
      <w:pPr>
        <w:pStyle w:val="Subtitle"/>
        <w:jc w:val="center"/>
        <w:rPr>
          <w:rFonts w:eastAsia="Times New Roman"/>
          <w:b/>
          <w:bCs/>
          <w:color w:val="000000" w:themeColor="text1"/>
          <w:sz w:val="40"/>
          <w:szCs w:val="40"/>
          <w:lang w:eastAsia="en-GB"/>
        </w:rPr>
      </w:pPr>
      <w:r w:rsidRPr="00903B5D">
        <w:rPr>
          <w:rFonts w:eastAsia="Times New Roman"/>
          <w:b/>
          <w:bCs/>
          <w:color w:val="000000" w:themeColor="text1"/>
          <w:sz w:val="40"/>
          <w:szCs w:val="40"/>
          <w:lang w:eastAsia="en-GB"/>
        </w:rPr>
        <w:t>Student Name:</w:t>
      </w:r>
      <w:r w:rsidR="00903B5D" w:rsidRPr="00903B5D">
        <w:rPr>
          <w:rFonts w:eastAsia="Times New Roman"/>
          <w:b/>
          <w:bCs/>
          <w:color w:val="000000" w:themeColor="text1"/>
          <w:sz w:val="40"/>
          <w:szCs w:val="40"/>
          <w:lang w:eastAsia="en-GB"/>
        </w:rPr>
        <w:t xml:space="preserve"> Kwadwo Adjei Brempong</w:t>
      </w:r>
      <w:r w:rsidRPr="00903B5D">
        <w:rPr>
          <w:rFonts w:eastAsia="Times New Roman"/>
          <w:b/>
          <w:bCs/>
          <w:color w:val="000000" w:themeColor="text1"/>
          <w:sz w:val="40"/>
          <w:szCs w:val="40"/>
          <w:lang w:eastAsia="en-GB"/>
        </w:rPr>
        <w:br/>
        <w:t>Student Number:</w:t>
      </w:r>
      <w:r w:rsidR="00903B5D" w:rsidRPr="00903B5D">
        <w:rPr>
          <w:rFonts w:eastAsia="Times New Roman"/>
          <w:b/>
          <w:bCs/>
          <w:color w:val="000000" w:themeColor="text1"/>
          <w:sz w:val="40"/>
          <w:szCs w:val="40"/>
          <w:lang w:eastAsia="en-GB"/>
        </w:rPr>
        <w:t xml:space="preserve"> 2334944</w:t>
      </w:r>
      <w:r w:rsidRPr="00903B5D">
        <w:rPr>
          <w:rFonts w:eastAsia="Times New Roman"/>
          <w:b/>
          <w:bCs/>
          <w:color w:val="000000" w:themeColor="text1"/>
          <w:sz w:val="40"/>
          <w:szCs w:val="40"/>
          <w:lang w:eastAsia="en-GB"/>
        </w:rPr>
        <w:br/>
        <w:t>Module Name:</w:t>
      </w:r>
      <w:r w:rsidR="00903B5D" w:rsidRPr="00903B5D">
        <w:rPr>
          <w:rFonts w:eastAsia="Times New Roman"/>
          <w:b/>
          <w:bCs/>
          <w:color w:val="000000" w:themeColor="text1"/>
          <w:sz w:val="40"/>
          <w:szCs w:val="40"/>
          <w:lang w:eastAsia="en-GB"/>
        </w:rPr>
        <w:t xml:space="preserve"> </w:t>
      </w:r>
      <w:r w:rsidR="00903B5D" w:rsidRPr="00903B5D">
        <w:rPr>
          <w:rFonts w:eastAsia="Times New Roman"/>
          <w:b/>
          <w:bCs/>
          <w:color w:val="000000" w:themeColor="text1"/>
          <w:sz w:val="40"/>
          <w:szCs w:val="40"/>
          <w:lang w:eastAsia="en-GB"/>
        </w:rPr>
        <w:t>Protecting and Supporting Families in Health and Care</w:t>
      </w:r>
      <w:r w:rsidRPr="00903B5D">
        <w:rPr>
          <w:rFonts w:eastAsia="Times New Roman"/>
          <w:b/>
          <w:bCs/>
          <w:color w:val="000000" w:themeColor="text1"/>
          <w:sz w:val="40"/>
          <w:szCs w:val="40"/>
          <w:lang w:eastAsia="en-GB"/>
        </w:rPr>
        <w:br/>
        <w:t>Module Code:</w:t>
      </w:r>
      <w:r w:rsidR="00903B5D" w:rsidRPr="00903B5D">
        <w:rPr>
          <w:rFonts w:eastAsia="Times New Roman"/>
          <w:b/>
          <w:bCs/>
          <w:color w:val="000000" w:themeColor="text1"/>
          <w:sz w:val="40"/>
          <w:szCs w:val="40"/>
          <w:lang w:eastAsia="en-GB"/>
        </w:rPr>
        <w:t xml:space="preserve"> </w:t>
      </w:r>
      <w:r w:rsidR="00903B5D" w:rsidRPr="00903B5D">
        <w:rPr>
          <w:rFonts w:eastAsia="Times New Roman"/>
          <w:b/>
          <w:bCs/>
          <w:color w:val="000000" w:themeColor="text1"/>
          <w:sz w:val="40"/>
          <w:szCs w:val="40"/>
          <w:lang w:eastAsia="en-GB"/>
        </w:rPr>
        <w:t>BMHP5021</w:t>
      </w:r>
      <w:r w:rsidR="00903B5D">
        <w:rPr>
          <w:rFonts w:eastAsia="Times New Roman"/>
          <w:b/>
          <w:bCs/>
          <w:color w:val="000000" w:themeColor="text1"/>
          <w:sz w:val="40"/>
          <w:szCs w:val="40"/>
          <w:lang w:eastAsia="en-GB"/>
        </w:rPr>
        <w:t xml:space="preserve"> - Component 1</w:t>
      </w:r>
    </w:p>
    <w:p w14:paraId="3628A83D" w14:textId="77777777" w:rsidR="00E80BBC" w:rsidRPr="00903B5D" w:rsidRDefault="00E80BBC" w:rsidP="00E80BBC">
      <w:pPr>
        <w:spacing w:before="100" w:beforeAutospacing="1" w:after="100" w:afterAutospacing="1" w:line="240" w:lineRule="auto"/>
        <w:outlineLvl w:val="0"/>
        <w:rPr>
          <w:rFonts w:ascii="Arial" w:eastAsia="Times New Roman" w:hAnsi="Arial" w:cs="Arial"/>
          <w:b/>
          <w:bCs/>
          <w:color w:val="000000"/>
          <w:kern w:val="36"/>
          <w:sz w:val="48"/>
          <w:szCs w:val="48"/>
          <w:lang w:eastAsia="en-GB"/>
          <w14:ligatures w14:val="none"/>
        </w:rPr>
      </w:pPr>
    </w:p>
    <w:sdt>
      <w:sdtPr>
        <w:id w:val="204186216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9C9200B" w14:textId="1BF90FAA" w:rsidR="00903B5D" w:rsidRDefault="00903B5D">
          <w:pPr>
            <w:pStyle w:val="TOCHeading"/>
          </w:pPr>
          <w:r>
            <w:t>Table of Contents</w:t>
          </w:r>
        </w:p>
        <w:p w14:paraId="27F6C567" w14:textId="7D46CF1E" w:rsidR="00903B5D" w:rsidRDefault="00903B5D">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42715786" w:history="1">
            <w:r w:rsidRPr="002133D6">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_Toc242715786 \h </w:instrText>
            </w:r>
            <w:r>
              <w:rPr>
                <w:noProof/>
                <w:webHidden/>
              </w:rPr>
            </w:r>
            <w:r>
              <w:rPr>
                <w:noProof/>
                <w:webHidden/>
              </w:rPr>
              <w:fldChar w:fldCharType="separate"/>
            </w:r>
            <w:r>
              <w:rPr>
                <w:noProof/>
                <w:webHidden/>
              </w:rPr>
              <w:t>2</w:t>
            </w:r>
            <w:r>
              <w:rPr>
                <w:noProof/>
                <w:webHidden/>
              </w:rPr>
              <w:fldChar w:fldCharType="end"/>
            </w:r>
          </w:hyperlink>
        </w:p>
        <w:p w14:paraId="40FFBAB6" w14:textId="1DC58037" w:rsidR="00903B5D" w:rsidRDefault="00903B5D">
          <w:pPr>
            <w:pStyle w:val="TOC1"/>
            <w:tabs>
              <w:tab w:val="right" w:leader="dot" w:pos="9016"/>
            </w:tabs>
            <w:rPr>
              <w:rFonts w:eastAsiaTheme="minorEastAsia"/>
              <w:b w:val="0"/>
              <w:bCs w:val="0"/>
              <w:i w:val="0"/>
              <w:iCs w:val="0"/>
              <w:noProof/>
              <w:lang w:eastAsia="en-GB"/>
            </w:rPr>
          </w:pPr>
          <w:hyperlink w:anchor="_Toc242715787" w:history="1">
            <w:r w:rsidRPr="002133D6">
              <w:rPr>
                <w:rStyle w:val="Hyperlink"/>
                <w:rFonts w:eastAsia="Times New Roman"/>
                <w:noProof/>
                <w:lang w:eastAsia="en-GB"/>
              </w:rPr>
              <w:t>2. Case Background and Safeguarding Concerns</w:t>
            </w:r>
            <w:r>
              <w:rPr>
                <w:noProof/>
                <w:webHidden/>
              </w:rPr>
              <w:tab/>
            </w:r>
            <w:r>
              <w:rPr>
                <w:noProof/>
                <w:webHidden/>
              </w:rPr>
              <w:fldChar w:fldCharType="begin"/>
            </w:r>
            <w:r>
              <w:rPr>
                <w:noProof/>
                <w:webHidden/>
              </w:rPr>
              <w:instrText xml:space="preserve"> PAGEREF _Toc242715787 \h </w:instrText>
            </w:r>
            <w:r>
              <w:rPr>
                <w:noProof/>
                <w:webHidden/>
              </w:rPr>
            </w:r>
            <w:r>
              <w:rPr>
                <w:noProof/>
                <w:webHidden/>
              </w:rPr>
              <w:fldChar w:fldCharType="separate"/>
            </w:r>
            <w:r>
              <w:rPr>
                <w:noProof/>
                <w:webHidden/>
              </w:rPr>
              <w:t>2</w:t>
            </w:r>
            <w:r>
              <w:rPr>
                <w:noProof/>
                <w:webHidden/>
              </w:rPr>
              <w:fldChar w:fldCharType="end"/>
            </w:r>
          </w:hyperlink>
        </w:p>
        <w:p w14:paraId="2DAABE19" w14:textId="3E6D3787" w:rsidR="00903B5D" w:rsidRDefault="00903B5D">
          <w:pPr>
            <w:pStyle w:val="TOC1"/>
            <w:tabs>
              <w:tab w:val="right" w:leader="dot" w:pos="9016"/>
            </w:tabs>
            <w:rPr>
              <w:rFonts w:eastAsiaTheme="minorEastAsia"/>
              <w:b w:val="0"/>
              <w:bCs w:val="0"/>
              <w:i w:val="0"/>
              <w:iCs w:val="0"/>
              <w:noProof/>
              <w:lang w:eastAsia="en-GB"/>
            </w:rPr>
          </w:pPr>
          <w:hyperlink w:anchor="_Toc242715788" w:history="1">
            <w:r w:rsidRPr="002133D6">
              <w:rPr>
                <w:rStyle w:val="Hyperlink"/>
                <w:rFonts w:eastAsia="Times New Roman"/>
                <w:noProof/>
                <w:lang w:eastAsia="en-GB"/>
              </w:rPr>
              <w:t>3. Adverse Childhood Experiences and Professional Responses</w:t>
            </w:r>
            <w:r>
              <w:rPr>
                <w:noProof/>
                <w:webHidden/>
              </w:rPr>
              <w:tab/>
            </w:r>
            <w:r>
              <w:rPr>
                <w:noProof/>
                <w:webHidden/>
              </w:rPr>
              <w:fldChar w:fldCharType="begin"/>
            </w:r>
            <w:r>
              <w:rPr>
                <w:noProof/>
                <w:webHidden/>
              </w:rPr>
              <w:instrText xml:space="preserve"> PAGEREF _Toc242715788 \h </w:instrText>
            </w:r>
            <w:r>
              <w:rPr>
                <w:noProof/>
                <w:webHidden/>
              </w:rPr>
            </w:r>
            <w:r>
              <w:rPr>
                <w:noProof/>
                <w:webHidden/>
              </w:rPr>
              <w:fldChar w:fldCharType="separate"/>
            </w:r>
            <w:r>
              <w:rPr>
                <w:noProof/>
                <w:webHidden/>
              </w:rPr>
              <w:t>3</w:t>
            </w:r>
            <w:r>
              <w:rPr>
                <w:noProof/>
                <w:webHidden/>
              </w:rPr>
              <w:fldChar w:fldCharType="end"/>
            </w:r>
          </w:hyperlink>
        </w:p>
        <w:p w14:paraId="0A4B80BB" w14:textId="0D77C36C" w:rsidR="00903B5D" w:rsidRDefault="00903B5D">
          <w:pPr>
            <w:pStyle w:val="TOC1"/>
            <w:tabs>
              <w:tab w:val="right" w:leader="dot" w:pos="9016"/>
            </w:tabs>
            <w:rPr>
              <w:rFonts w:eastAsiaTheme="minorEastAsia"/>
              <w:b w:val="0"/>
              <w:bCs w:val="0"/>
              <w:i w:val="0"/>
              <w:iCs w:val="0"/>
              <w:noProof/>
              <w:lang w:eastAsia="en-GB"/>
            </w:rPr>
          </w:pPr>
          <w:hyperlink w:anchor="_Toc242715789" w:history="1">
            <w:r w:rsidRPr="002133D6">
              <w:rPr>
                <w:rStyle w:val="Hyperlink"/>
                <w:rFonts w:eastAsia="Times New Roman"/>
                <w:noProof/>
                <w:lang w:eastAsia="en-GB"/>
              </w:rPr>
              <w:t>4. Legislation, Policy and Multi-Agency Working</w:t>
            </w:r>
            <w:r>
              <w:rPr>
                <w:noProof/>
                <w:webHidden/>
              </w:rPr>
              <w:tab/>
            </w:r>
            <w:r>
              <w:rPr>
                <w:noProof/>
                <w:webHidden/>
              </w:rPr>
              <w:fldChar w:fldCharType="begin"/>
            </w:r>
            <w:r>
              <w:rPr>
                <w:noProof/>
                <w:webHidden/>
              </w:rPr>
              <w:instrText xml:space="preserve"> PAGEREF _Toc242715789 \h </w:instrText>
            </w:r>
            <w:r>
              <w:rPr>
                <w:noProof/>
                <w:webHidden/>
              </w:rPr>
            </w:r>
            <w:r>
              <w:rPr>
                <w:noProof/>
                <w:webHidden/>
              </w:rPr>
              <w:fldChar w:fldCharType="separate"/>
            </w:r>
            <w:r>
              <w:rPr>
                <w:noProof/>
                <w:webHidden/>
              </w:rPr>
              <w:t>4</w:t>
            </w:r>
            <w:r>
              <w:rPr>
                <w:noProof/>
                <w:webHidden/>
              </w:rPr>
              <w:fldChar w:fldCharType="end"/>
            </w:r>
          </w:hyperlink>
        </w:p>
        <w:p w14:paraId="0D962987" w14:textId="3C3969DF" w:rsidR="00903B5D" w:rsidRDefault="00903B5D">
          <w:pPr>
            <w:pStyle w:val="TOC1"/>
            <w:tabs>
              <w:tab w:val="right" w:leader="dot" w:pos="9016"/>
            </w:tabs>
            <w:rPr>
              <w:rFonts w:eastAsiaTheme="minorEastAsia"/>
              <w:b w:val="0"/>
              <w:bCs w:val="0"/>
              <w:i w:val="0"/>
              <w:iCs w:val="0"/>
              <w:noProof/>
              <w:lang w:eastAsia="en-GB"/>
            </w:rPr>
          </w:pPr>
          <w:hyperlink w:anchor="_Toc242715790" w:history="1">
            <w:r w:rsidRPr="002133D6">
              <w:rPr>
                <w:rStyle w:val="Hyperlink"/>
                <w:rFonts w:eastAsia="Times New Roman"/>
                <w:noProof/>
                <w:lang w:eastAsia="en-GB"/>
              </w:rPr>
              <w:t>5. Proposed Care, Support and Action Plan</w:t>
            </w:r>
            <w:r>
              <w:rPr>
                <w:noProof/>
                <w:webHidden/>
              </w:rPr>
              <w:tab/>
            </w:r>
            <w:r>
              <w:rPr>
                <w:noProof/>
                <w:webHidden/>
              </w:rPr>
              <w:fldChar w:fldCharType="begin"/>
            </w:r>
            <w:r>
              <w:rPr>
                <w:noProof/>
                <w:webHidden/>
              </w:rPr>
              <w:instrText xml:space="preserve"> PAGEREF _Toc242715790 \h </w:instrText>
            </w:r>
            <w:r>
              <w:rPr>
                <w:noProof/>
                <w:webHidden/>
              </w:rPr>
            </w:r>
            <w:r>
              <w:rPr>
                <w:noProof/>
                <w:webHidden/>
              </w:rPr>
              <w:fldChar w:fldCharType="separate"/>
            </w:r>
            <w:r>
              <w:rPr>
                <w:noProof/>
                <w:webHidden/>
              </w:rPr>
              <w:t>6</w:t>
            </w:r>
            <w:r>
              <w:rPr>
                <w:noProof/>
                <w:webHidden/>
              </w:rPr>
              <w:fldChar w:fldCharType="end"/>
            </w:r>
          </w:hyperlink>
        </w:p>
        <w:p w14:paraId="54C3DE3C" w14:textId="5B95A2E7" w:rsidR="00903B5D" w:rsidRDefault="00903B5D">
          <w:pPr>
            <w:pStyle w:val="TOC1"/>
            <w:tabs>
              <w:tab w:val="right" w:leader="dot" w:pos="9016"/>
            </w:tabs>
            <w:rPr>
              <w:rFonts w:eastAsiaTheme="minorEastAsia"/>
              <w:b w:val="0"/>
              <w:bCs w:val="0"/>
              <w:i w:val="0"/>
              <w:iCs w:val="0"/>
              <w:noProof/>
              <w:lang w:eastAsia="en-GB"/>
            </w:rPr>
          </w:pPr>
          <w:hyperlink w:anchor="_Toc242715791" w:history="1">
            <w:r w:rsidRPr="002133D6">
              <w:rPr>
                <w:rStyle w:val="Hyperlink"/>
                <w:rFonts w:eastAsia="Times New Roman"/>
                <w:noProof/>
                <w:lang w:eastAsia="en-GB"/>
              </w:rPr>
              <w:t>6. Conclusion</w:t>
            </w:r>
            <w:r>
              <w:rPr>
                <w:noProof/>
                <w:webHidden/>
              </w:rPr>
              <w:tab/>
            </w:r>
            <w:r>
              <w:rPr>
                <w:noProof/>
                <w:webHidden/>
              </w:rPr>
              <w:fldChar w:fldCharType="begin"/>
            </w:r>
            <w:r>
              <w:rPr>
                <w:noProof/>
                <w:webHidden/>
              </w:rPr>
              <w:instrText xml:space="preserve"> PAGEREF _Toc242715791 \h </w:instrText>
            </w:r>
            <w:r>
              <w:rPr>
                <w:noProof/>
                <w:webHidden/>
              </w:rPr>
            </w:r>
            <w:r>
              <w:rPr>
                <w:noProof/>
                <w:webHidden/>
              </w:rPr>
              <w:fldChar w:fldCharType="separate"/>
            </w:r>
            <w:r>
              <w:rPr>
                <w:noProof/>
                <w:webHidden/>
              </w:rPr>
              <w:t>8</w:t>
            </w:r>
            <w:r>
              <w:rPr>
                <w:noProof/>
                <w:webHidden/>
              </w:rPr>
              <w:fldChar w:fldCharType="end"/>
            </w:r>
          </w:hyperlink>
        </w:p>
        <w:p w14:paraId="7931747E" w14:textId="454826B3" w:rsidR="00903B5D" w:rsidRDefault="00903B5D">
          <w:pPr>
            <w:pStyle w:val="TOC2"/>
            <w:tabs>
              <w:tab w:val="right" w:leader="dot" w:pos="9016"/>
            </w:tabs>
            <w:rPr>
              <w:rFonts w:eastAsiaTheme="minorEastAsia"/>
              <w:b w:val="0"/>
              <w:bCs w:val="0"/>
              <w:noProof/>
              <w:sz w:val="24"/>
              <w:szCs w:val="24"/>
              <w:lang w:eastAsia="en-GB"/>
            </w:rPr>
          </w:pPr>
          <w:hyperlink w:anchor="_Toc242715792" w:history="1">
            <w:r w:rsidRPr="002133D6">
              <w:rPr>
                <w:rStyle w:val="Hyperlink"/>
                <w:rFonts w:ascii="Arial" w:eastAsia="Times New Roman" w:hAnsi="Arial" w:cs="Arial"/>
                <w:noProof/>
                <w:kern w:val="0"/>
                <w:lang w:eastAsia="en-GB"/>
                <w14:ligatures w14:val="none"/>
              </w:rPr>
              <w:t>Reference List</w:t>
            </w:r>
            <w:r>
              <w:rPr>
                <w:noProof/>
                <w:webHidden/>
              </w:rPr>
              <w:tab/>
            </w:r>
            <w:r>
              <w:rPr>
                <w:noProof/>
                <w:webHidden/>
              </w:rPr>
              <w:fldChar w:fldCharType="begin"/>
            </w:r>
            <w:r>
              <w:rPr>
                <w:noProof/>
                <w:webHidden/>
              </w:rPr>
              <w:instrText xml:space="preserve"> PAGEREF _Toc242715792 \h </w:instrText>
            </w:r>
            <w:r>
              <w:rPr>
                <w:noProof/>
                <w:webHidden/>
              </w:rPr>
            </w:r>
            <w:r>
              <w:rPr>
                <w:noProof/>
                <w:webHidden/>
              </w:rPr>
              <w:fldChar w:fldCharType="separate"/>
            </w:r>
            <w:r>
              <w:rPr>
                <w:noProof/>
                <w:webHidden/>
              </w:rPr>
              <w:t>9</w:t>
            </w:r>
            <w:r>
              <w:rPr>
                <w:noProof/>
                <w:webHidden/>
              </w:rPr>
              <w:fldChar w:fldCharType="end"/>
            </w:r>
          </w:hyperlink>
        </w:p>
        <w:p w14:paraId="53DF120C" w14:textId="794EF7A9" w:rsidR="00903B5D" w:rsidRDefault="00903B5D">
          <w:r>
            <w:rPr>
              <w:b/>
              <w:bCs/>
              <w:noProof/>
            </w:rPr>
            <w:fldChar w:fldCharType="end"/>
          </w:r>
        </w:p>
      </w:sdtContent>
    </w:sdt>
    <w:p w14:paraId="149B833D" w14:textId="77777777" w:rsidR="00E80BBC" w:rsidRPr="00903B5D" w:rsidRDefault="00E80BBC" w:rsidP="00E80BBC">
      <w:pPr>
        <w:spacing w:before="100" w:beforeAutospacing="1" w:after="100" w:afterAutospacing="1" w:line="240" w:lineRule="auto"/>
        <w:outlineLvl w:val="0"/>
        <w:rPr>
          <w:rFonts w:ascii="Arial" w:eastAsia="Times New Roman" w:hAnsi="Arial" w:cs="Arial"/>
          <w:b/>
          <w:bCs/>
          <w:color w:val="000000"/>
          <w:kern w:val="36"/>
          <w:sz w:val="48"/>
          <w:szCs w:val="48"/>
          <w:lang w:eastAsia="en-GB"/>
          <w14:ligatures w14:val="none"/>
        </w:rPr>
      </w:pPr>
    </w:p>
    <w:p w14:paraId="6DDA31D6" w14:textId="77777777" w:rsidR="00E80BBC" w:rsidRPr="00903B5D" w:rsidRDefault="00E80BBC" w:rsidP="00E80BBC">
      <w:pPr>
        <w:spacing w:before="100" w:beforeAutospacing="1" w:after="100" w:afterAutospacing="1" w:line="240" w:lineRule="auto"/>
        <w:outlineLvl w:val="0"/>
        <w:rPr>
          <w:rFonts w:ascii="Arial" w:eastAsia="Times New Roman" w:hAnsi="Arial" w:cs="Arial"/>
          <w:b/>
          <w:bCs/>
          <w:color w:val="000000"/>
          <w:kern w:val="36"/>
          <w:sz w:val="48"/>
          <w:szCs w:val="48"/>
          <w:lang w:eastAsia="en-GB"/>
          <w14:ligatures w14:val="none"/>
        </w:rPr>
      </w:pPr>
    </w:p>
    <w:p w14:paraId="23D19B02" w14:textId="77777777" w:rsidR="00E80BBC" w:rsidRPr="00903B5D" w:rsidRDefault="00E80BBC" w:rsidP="00E80BBC">
      <w:pPr>
        <w:spacing w:before="100" w:beforeAutospacing="1" w:after="100" w:afterAutospacing="1" w:line="240" w:lineRule="auto"/>
        <w:outlineLvl w:val="0"/>
        <w:rPr>
          <w:rFonts w:ascii="Arial" w:eastAsia="Times New Roman" w:hAnsi="Arial" w:cs="Arial"/>
          <w:b/>
          <w:bCs/>
          <w:color w:val="000000"/>
          <w:kern w:val="36"/>
          <w:sz w:val="48"/>
          <w:szCs w:val="48"/>
          <w:lang w:eastAsia="en-GB"/>
          <w14:ligatures w14:val="none"/>
        </w:rPr>
      </w:pPr>
    </w:p>
    <w:p w14:paraId="6228400B" w14:textId="0FDEA3BD" w:rsidR="00E80BBC" w:rsidRPr="00903B5D" w:rsidRDefault="00E80BBC" w:rsidP="00E80BBC">
      <w:pPr>
        <w:spacing w:before="100" w:beforeAutospacing="1" w:after="100" w:afterAutospacing="1" w:line="240" w:lineRule="auto"/>
        <w:outlineLvl w:val="0"/>
        <w:rPr>
          <w:rFonts w:ascii="Arial" w:eastAsia="Times New Roman" w:hAnsi="Arial" w:cs="Arial"/>
          <w:b/>
          <w:bCs/>
          <w:color w:val="000000"/>
          <w:kern w:val="36"/>
          <w:sz w:val="48"/>
          <w:szCs w:val="48"/>
          <w:lang w:eastAsia="en-GB"/>
          <w14:ligatures w14:val="none"/>
        </w:rPr>
      </w:pPr>
    </w:p>
    <w:p w14:paraId="7F9AE98D" w14:textId="77777777" w:rsidR="00E80BBC" w:rsidRPr="00903B5D" w:rsidRDefault="00E80BBC" w:rsidP="00E80BBC">
      <w:pPr>
        <w:spacing w:before="100" w:beforeAutospacing="1" w:after="100" w:afterAutospacing="1" w:line="240" w:lineRule="auto"/>
        <w:outlineLvl w:val="0"/>
        <w:rPr>
          <w:rFonts w:ascii="Arial" w:eastAsia="Times New Roman" w:hAnsi="Arial" w:cs="Arial"/>
          <w:b/>
          <w:bCs/>
          <w:color w:val="000000"/>
          <w:kern w:val="36"/>
          <w:sz w:val="48"/>
          <w:szCs w:val="48"/>
          <w:lang w:eastAsia="en-GB"/>
          <w14:ligatures w14:val="none"/>
        </w:rPr>
      </w:pPr>
    </w:p>
    <w:p w14:paraId="69B67BE2" w14:textId="77777777" w:rsidR="00E80BBC" w:rsidRPr="00903B5D" w:rsidRDefault="00E80BBC" w:rsidP="00E80BBC">
      <w:pPr>
        <w:spacing w:before="100" w:beforeAutospacing="1" w:after="100" w:afterAutospacing="1" w:line="240" w:lineRule="auto"/>
        <w:outlineLvl w:val="0"/>
        <w:rPr>
          <w:rFonts w:ascii="Arial" w:eastAsia="Times New Roman" w:hAnsi="Arial" w:cs="Arial"/>
          <w:b/>
          <w:bCs/>
          <w:color w:val="000000"/>
          <w:kern w:val="36"/>
          <w:sz w:val="48"/>
          <w:szCs w:val="48"/>
          <w:lang w:eastAsia="en-GB"/>
          <w14:ligatures w14:val="none"/>
        </w:rPr>
      </w:pPr>
    </w:p>
    <w:p w14:paraId="77B2E314" w14:textId="77777777" w:rsidR="00E80BBC" w:rsidRPr="00903B5D" w:rsidRDefault="00E80BBC" w:rsidP="00E80BBC">
      <w:pPr>
        <w:spacing w:before="100" w:beforeAutospacing="1" w:after="100" w:afterAutospacing="1" w:line="240" w:lineRule="auto"/>
        <w:outlineLvl w:val="0"/>
        <w:rPr>
          <w:rFonts w:ascii="Arial" w:eastAsia="Times New Roman" w:hAnsi="Arial" w:cs="Arial"/>
          <w:b/>
          <w:bCs/>
          <w:color w:val="000000"/>
          <w:kern w:val="36"/>
          <w:sz w:val="48"/>
          <w:szCs w:val="48"/>
          <w:lang w:eastAsia="en-GB"/>
          <w14:ligatures w14:val="none"/>
        </w:rPr>
      </w:pPr>
    </w:p>
    <w:p w14:paraId="10DDB728" w14:textId="3B345832" w:rsidR="00E80BBC" w:rsidRPr="00903B5D" w:rsidRDefault="00E80BBC" w:rsidP="00E80BBC">
      <w:pPr>
        <w:pStyle w:val="Title"/>
        <w:rPr>
          <w:rFonts w:ascii="Arial" w:eastAsia="Times New Roman" w:hAnsi="Arial" w:cs="Arial"/>
          <w:lang w:eastAsia="en-GB"/>
        </w:rPr>
      </w:pPr>
      <w:r w:rsidRPr="00903B5D">
        <w:rPr>
          <w:rFonts w:ascii="Arial" w:eastAsia="Times New Roman" w:hAnsi="Arial" w:cs="Arial"/>
          <w:lang w:eastAsia="en-GB"/>
        </w:rPr>
        <w:lastRenderedPageBreak/>
        <w:t>Adult A and Child A: Multi-Agency Safeguarding Panel Discussion</w:t>
      </w:r>
    </w:p>
    <w:p w14:paraId="24C83FE4" w14:textId="77777777" w:rsidR="00E80BBC" w:rsidRPr="00903B5D" w:rsidRDefault="00E80BBC" w:rsidP="00903B5D">
      <w:pPr>
        <w:pStyle w:val="Heading1"/>
        <w:rPr>
          <w:rFonts w:eastAsia="Times New Roman"/>
          <w:lang w:eastAsia="en-GB"/>
        </w:rPr>
      </w:pPr>
      <w:bookmarkStart w:id="0" w:name="_Toc242715786"/>
      <w:r w:rsidRPr="00903B5D">
        <w:rPr>
          <w:rFonts w:eastAsia="Times New Roman"/>
          <w:lang w:eastAsia="en-GB"/>
        </w:rPr>
        <w:t>1. Introduction</w:t>
      </w:r>
      <w:bookmarkEnd w:id="0"/>
    </w:p>
    <w:p w14:paraId="3147D6CF" w14:textId="7BA2BA30"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The Child Safeguarding Practice Review addressing Adult A and Child A, released by the Birmingham Safeguarding Children Partnership in 2023, is examined in this panel discussion. The case demonstrates the intricate connection between safeguarding hazards, adverse childhood experiences (ACEs), childhood trauma, and the obligations of social workers and health care providers. It also highlights how crucial it is to recognize children's needs early on and offer the right kind of assistance.</w:t>
      </w:r>
    </w:p>
    <w:p w14:paraId="2C0899E5" w14:textId="72ED4DFD"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 xml:space="preserve">The conversation </w:t>
      </w:r>
      <w:r w:rsidR="00903B5D" w:rsidRPr="00903B5D">
        <w:rPr>
          <w:rFonts w:ascii="Arial" w:eastAsia="Times New Roman" w:hAnsi="Arial" w:cs="Arial"/>
          <w:color w:val="000000"/>
          <w:kern w:val="0"/>
          <w:sz w:val="27"/>
          <w:szCs w:val="27"/>
          <w:lang w:eastAsia="en-GB"/>
          <w14:ligatures w14:val="none"/>
        </w:rPr>
        <w:t>considers</w:t>
      </w:r>
      <w:r w:rsidRPr="00903B5D">
        <w:rPr>
          <w:rFonts w:ascii="Arial" w:eastAsia="Times New Roman" w:hAnsi="Arial" w:cs="Arial"/>
          <w:color w:val="000000"/>
          <w:kern w:val="0"/>
          <w:sz w:val="27"/>
          <w:szCs w:val="27"/>
          <w:lang w:eastAsia="en-GB"/>
          <w14:ligatures w14:val="none"/>
        </w:rPr>
        <w:t xml:space="preserve"> four professional viewpoints: education, health services, police, and children's social care. Even though there are just two students presenting, we will represent these viewpoints </w:t>
      </w:r>
      <w:proofErr w:type="gramStart"/>
      <w:r w:rsidRPr="00903B5D">
        <w:rPr>
          <w:rFonts w:ascii="Arial" w:eastAsia="Times New Roman" w:hAnsi="Arial" w:cs="Arial"/>
          <w:color w:val="000000"/>
          <w:kern w:val="0"/>
          <w:sz w:val="27"/>
          <w:szCs w:val="27"/>
          <w:lang w:eastAsia="en-GB"/>
          <w14:ligatures w14:val="none"/>
        </w:rPr>
        <w:t>in order to</w:t>
      </w:r>
      <w:proofErr w:type="gramEnd"/>
      <w:r w:rsidRPr="00903B5D">
        <w:rPr>
          <w:rFonts w:ascii="Arial" w:eastAsia="Times New Roman" w:hAnsi="Arial" w:cs="Arial"/>
          <w:color w:val="000000"/>
          <w:kern w:val="0"/>
          <w:sz w:val="27"/>
          <w:szCs w:val="27"/>
          <w:lang w:eastAsia="en-GB"/>
          <w14:ligatures w14:val="none"/>
        </w:rPr>
        <w:t xml:space="preserve"> </w:t>
      </w:r>
      <w:r w:rsidR="00903B5D" w:rsidRPr="00903B5D">
        <w:rPr>
          <w:rFonts w:ascii="Arial" w:eastAsia="Times New Roman" w:hAnsi="Arial" w:cs="Arial"/>
          <w:color w:val="000000"/>
          <w:kern w:val="0"/>
          <w:sz w:val="27"/>
          <w:szCs w:val="27"/>
          <w:lang w:eastAsia="en-GB"/>
          <w14:ligatures w14:val="none"/>
        </w:rPr>
        <w:t>analyse</w:t>
      </w:r>
      <w:r w:rsidRPr="00903B5D">
        <w:rPr>
          <w:rFonts w:ascii="Arial" w:eastAsia="Times New Roman" w:hAnsi="Arial" w:cs="Arial"/>
          <w:color w:val="000000"/>
          <w:kern w:val="0"/>
          <w:sz w:val="27"/>
          <w:szCs w:val="27"/>
          <w:lang w:eastAsia="en-GB"/>
          <w14:ligatures w14:val="none"/>
        </w:rPr>
        <w:t xml:space="preserve"> the situation, assess expert replies, and suggest changes. Our views will be supported by pertinent UK legislation, statutory guidelines, and research. The goal is to create a trauma-informed, child-</w:t>
      </w:r>
      <w:r w:rsidR="00903B5D" w:rsidRPr="00903B5D">
        <w:rPr>
          <w:rFonts w:ascii="Arial" w:eastAsia="Times New Roman" w:hAnsi="Arial" w:cs="Arial"/>
          <w:color w:val="000000"/>
          <w:kern w:val="0"/>
          <w:sz w:val="27"/>
          <w:szCs w:val="27"/>
          <w:lang w:eastAsia="en-GB"/>
          <w14:ligatures w14:val="none"/>
        </w:rPr>
        <w:t>centred</w:t>
      </w:r>
      <w:r w:rsidRPr="00903B5D">
        <w:rPr>
          <w:rFonts w:ascii="Arial" w:eastAsia="Times New Roman" w:hAnsi="Arial" w:cs="Arial"/>
          <w:color w:val="000000"/>
          <w:kern w:val="0"/>
          <w:sz w:val="27"/>
          <w:szCs w:val="27"/>
          <w:lang w:eastAsia="en-GB"/>
          <w14:ligatures w14:val="none"/>
        </w:rPr>
        <w:t xml:space="preserve"> action plan that protects family members and others from danger while taking Child A's vulnerabilities into account.</w:t>
      </w:r>
    </w:p>
    <w:p w14:paraId="61049FBC" w14:textId="77777777" w:rsidR="00E80BBC" w:rsidRPr="00903B5D" w:rsidRDefault="00E80BBC" w:rsidP="00903B5D">
      <w:pPr>
        <w:pStyle w:val="Heading1"/>
        <w:rPr>
          <w:rFonts w:eastAsia="Times New Roman"/>
          <w:lang w:eastAsia="en-GB"/>
        </w:rPr>
      </w:pPr>
      <w:bookmarkStart w:id="1" w:name="_Toc242715787"/>
      <w:r w:rsidRPr="00903B5D">
        <w:rPr>
          <w:rFonts w:eastAsia="Times New Roman"/>
          <w:lang w:eastAsia="en-GB"/>
        </w:rPr>
        <w:t>2. Case Background and Safeguarding Concerns</w:t>
      </w:r>
      <w:bookmarkEnd w:id="1"/>
    </w:p>
    <w:p w14:paraId="0970DC52" w14:textId="6CA77F02"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Children's Social Worker:</w:t>
      </w:r>
      <w:r w:rsidRPr="00903B5D">
        <w:rPr>
          <w:rFonts w:ascii="Arial" w:eastAsia="Times New Roman" w:hAnsi="Arial" w:cs="Arial"/>
          <w:color w:val="000000"/>
          <w:kern w:val="0"/>
          <w:sz w:val="27"/>
          <w:szCs w:val="27"/>
          <w:lang w:eastAsia="en-GB"/>
          <w14:ligatures w14:val="none"/>
        </w:rPr>
        <w:t xml:space="preserve"> Instead of concentrating only on the grave crime that Child A did, we must </w:t>
      </w:r>
      <w:proofErr w:type="gramStart"/>
      <w:r w:rsidRPr="00903B5D">
        <w:rPr>
          <w:rFonts w:ascii="Arial" w:eastAsia="Times New Roman" w:hAnsi="Arial" w:cs="Arial"/>
          <w:color w:val="000000"/>
          <w:kern w:val="0"/>
          <w:sz w:val="27"/>
          <w:szCs w:val="27"/>
          <w:lang w:eastAsia="en-GB"/>
          <w14:ligatures w14:val="none"/>
        </w:rPr>
        <w:t>take into account</w:t>
      </w:r>
      <w:proofErr w:type="gramEnd"/>
      <w:r w:rsidRPr="00903B5D">
        <w:rPr>
          <w:rFonts w:ascii="Arial" w:eastAsia="Times New Roman" w:hAnsi="Arial" w:cs="Arial"/>
          <w:color w:val="000000"/>
          <w:kern w:val="0"/>
          <w:sz w:val="27"/>
          <w:szCs w:val="27"/>
          <w:lang w:eastAsia="en-GB"/>
          <w14:ligatures w14:val="none"/>
        </w:rPr>
        <w:t xml:space="preserve"> her experiences </w:t>
      </w:r>
      <w:r w:rsidR="00903B5D" w:rsidRPr="00903B5D">
        <w:rPr>
          <w:rFonts w:ascii="Arial" w:eastAsia="Times New Roman" w:hAnsi="Arial" w:cs="Arial"/>
          <w:color w:val="000000"/>
          <w:kern w:val="0"/>
          <w:sz w:val="27"/>
          <w:szCs w:val="27"/>
          <w:lang w:eastAsia="en-GB"/>
          <w14:ligatures w14:val="none"/>
        </w:rPr>
        <w:t>to</w:t>
      </w:r>
      <w:r w:rsidRPr="00903B5D">
        <w:rPr>
          <w:rFonts w:ascii="Arial" w:eastAsia="Times New Roman" w:hAnsi="Arial" w:cs="Arial"/>
          <w:color w:val="000000"/>
          <w:kern w:val="0"/>
          <w:sz w:val="27"/>
          <w:szCs w:val="27"/>
          <w:lang w:eastAsia="en-GB"/>
          <w14:ligatures w14:val="none"/>
        </w:rPr>
        <w:t xml:space="preserve"> comprehend this situation. The review details a childhood marked by severe trauma and ongoing service participation. At the age of 14, Child A fatally stabbed Adult A in October 2020. Instead of just assigning blame, the safeguarding review aimed to improve child protection and find lessons for professional practice (Birmingham Safeguarding Children Partnership, 2023).</w:t>
      </w:r>
    </w:p>
    <w:p w14:paraId="49C0F447" w14:textId="1CC1A69E"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Police and Child Protection Officer:</w:t>
      </w:r>
      <w:r w:rsidRPr="00903B5D">
        <w:rPr>
          <w:rFonts w:ascii="Arial" w:eastAsia="Times New Roman" w:hAnsi="Arial" w:cs="Arial"/>
          <w:color w:val="000000"/>
          <w:kern w:val="0"/>
          <w:sz w:val="27"/>
          <w:szCs w:val="27"/>
          <w:lang w:eastAsia="en-GB"/>
          <w14:ligatures w14:val="none"/>
        </w:rPr>
        <w:t xml:space="preserve"> I concur, but safeguarding needs to protect vulnerable children as well as anyone who might be in danger from them. Professionals had to </w:t>
      </w:r>
      <w:r w:rsidR="00903B5D" w:rsidRPr="00903B5D">
        <w:rPr>
          <w:rFonts w:ascii="Arial" w:eastAsia="Times New Roman" w:hAnsi="Arial" w:cs="Arial"/>
          <w:color w:val="000000"/>
          <w:kern w:val="0"/>
          <w:sz w:val="27"/>
          <w:szCs w:val="27"/>
          <w:lang w:eastAsia="en-GB"/>
          <w14:ligatures w14:val="none"/>
        </w:rPr>
        <w:t>consider</w:t>
      </w:r>
      <w:r w:rsidRPr="00903B5D">
        <w:rPr>
          <w:rFonts w:ascii="Arial" w:eastAsia="Times New Roman" w:hAnsi="Arial" w:cs="Arial"/>
          <w:color w:val="000000"/>
          <w:kern w:val="0"/>
          <w:sz w:val="27"/>
          <w:szCs w:val="27"/>
          <w:lang w:eastAsia="en-GB"/>
          <w14:ligatures w14:val="none"/>
        </w:rPr>
        <w:t xml:space="preserve"> Child A's past as well as any indications of abuse, exploitation, or unhealthy connections. Her experiences ought to have influenced the evaluation, but they shouldn't have stopped experts from considering other people's safety seriously. A well-rounded approach would acknowledge her vulnerability while putting in place the necessary safety precautions.</w:t>
      </w:r>
    </w:p>
    <w:p w14:paraId="0A68345E" w14:textId="43ABD422"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lastRenderedPageBreak/>
        <w:t>ME – Children's Social Worker:</w:t>
      </w:r>
      <w:r w:rsidRPr="00903B5D">
        <w:rPr>
          <w:rFonts w:ascii="Arial" w:eastAsia="Times New Roman" w:hAnsi="Arial" w:cs="Arial"/>
          <w:color w:val="000000"/>
          <w:kern w:val="0"/>
          <w:sz w:val="27"/>
          <w:szCs w:val="27"/>
          <w:lang w:eastAsia="en-GB"/>
          <w14:ligatures w14:val="none"/>
        </w:rPr>
        <w:t xml:space="preserve"> Relationships within the family and events outside the house were also significant. Evaluations should look at the child's living situation, relationships with peers and adults, and the impact of important individuals in their lives. Ignoring hazards elsewhere could result from concentrating solely on the immediate household. The assessment highlights the significance of comprehending the child's lived experience and </w:t>
      </w:r>
      <w:r w:rsidR="00903B5D" w:rsidRPr="00903B5D">
        <w:rPr>
          <w:rFonts w:ascii="Arial" w:eastAsia="Times New Roman" w:hAnsi="Arial" w:cs="Arial"/>
          <w:color w:val="000000"/>
          <w:kern w:val="0"/>
          <w:sz w:val="27"/>
          <w:szCs w:val="27"/>
          <w:lang w:eastAsia="en-GB"/>
          <w14:ligatures w14:val="none"/>
        </w:rPr>
        <w:t>considering</w:t>
      </w:r>
      <w:r w:rsidRPr="00903B5D">
        <w:rPr>
          <w:rFonts w:ascii="Arial" w:eastAsia="Times New Roman" w:hAnsi="Arial" w:cs="Arial"/>
          <w:color w:val="000000"/>
          <w:kern w:val="0"/>
          <w:sz w:val="27"/>
          <w:szCs w:val="27"/>
          <w:lang w:eastAsia="en-GB"/>
          <w14:ligatures w14:val="none"/>
        </w:rPr>
        <w:t xml:space="preserve"> the interplay of many variables.</w:t>
      </w:r>
    </w:p>
    <w:p w14:paraId="5AADB531" w14:textId="417E699D"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Police and Child Protection Officer:</w:t>
      </w:r>
      <w:r w:rsidRPr="00903B5D">
        <w:rPr>
          <w:rFonts w:ascii="Arial" w:eastAsia="Times New Roman" w:hAnsi="Arial" w:cs="Arial"/>
          <w:color w:val="000000"/>
          <w:kern w:val="0"/>
          <w:sz w:val="27"/>
          <w:szCs w:val="27"/>
          <w:lang w:eastAsia="en-GB"/>
          <w14:ligatures w14:val="none"/>
        </w:rPr>
        <w:t> Concerns over assistance continuity are also raised by the family's 2020 relocation from Birmingham to West Sussex. When children migrate between local authorities, it is imperative that pertinent information be immediately provided and that the responsibility for continued safeguarding be made apparent. But we shouldn't presume that the result was foreseeable or unavoidable. Rather, we want to critically assess whether experts recognized hazards, communicated clearly, and reacted suitably to the facts at hand.</w:t>
      </w:r>
    </w:p>
    <w:p w14:paraId="550CF7BC" w14:textId="77777777" w:rsidR="00E80BBC" w:rsidRPr="00903B5D" w:rsidRDefault="00E80BBC" w:rsidP="00903B5D">
      <w:pPr>
        <w:pStyle w:val="Heading1"/>
        <w:rPr>
          <w:rFonts w:eastAsia="Times New Roman"/>
          <w:lang w:eastAsia="en-GB"/>
        </w:rPr>
      </w:pPr>
      <w:bookmarkStart w:id="2" w:name="_Toc242715788"/>
      <w:r w:rsidRPr="00903B5D">
        <w:rPr>
          <w:rFonts w:eastAsia="Times New Roman"/>
          <w:lang w:eastAsia="en-GB"/>
        </w:rPr>
        <w:t>3. Adverse Childhood Experiences and Professional Responses</w:t>
      </w:r>
      <w:bookmarkEnd w:id="2"/>
    </w:p>
    <w:p w14:paraId="6E282DCC" w14:textId="77777777"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Health Professional:</w:t>
      </w:r>
      <w:r w:rsidRPr="00903B5D">
        <w:rPr>
          <w:rFonts w:ascii="Arial" w:eastAsia="Times New Roman" w:hAnsi="Arial" w:cs="Arial"/>
          <w:color w:val="000000"/>
          <w:kern w:val="0"/>
          <w:sz w:val="27"/>
          <w:szCs w:val="27"/>
          <w:lang w:eastAsia="en-GB"/>
          <w14:ligatures w14:val="none"/>
        </w:rPr>
        <w:t xml:space="preserve"> Abuse, neglect, domestic violence, and severe family problems are examples of adverse childhood experiences, or ACEs. Adversity throughout childhood has been linked to higher chances of health and social problems in later life, according to </w:t>
      </w:r>
      <w:proofErr w:type="spellStart"/>
      <w:r w:rsidRPr="00903B5D">
        <w:rPr>
          <w:rFonts w:ascii="Arial" w:eastAsia="Times New Roman" w:hAnsi="Arial" w:cs="Arial"/>
          <w:color w:val="000000"/>
          <w:kern w:val="0"/>
          <w:sz w:val="27"/>
          <w:szCs w:val="27"/>
          <w:lang w:eastAsia="en-GB"/>
          <w14:ligatures w14:val="none"/>
        </w:rPr>
        <w:t>Felitti</w:t>
      </w:r>
      <w:proofErr w:type="spellEnd"/>
      <w:r w:rsidRPr="00903B5D">
        <w:rPr>
          <w:rFonts w:ascii="Arial" w:eastAsia="Times New Roman" w:hAnsi="Arial" w:cs="Arial"/>
          <w:color w:val="000000"/>
          <w:kern w:val="0"/>
          <w:sz w:val="27"/>
          <w:szCs w:val="27"/>
          <w:lang w:eastAsia="en-GB"/>
          <w14:ligatures w14:val="none"/>
        </w:rPr>
        <w:t xml:space="preserve"> et al. (1998). This study explains why when evaluating a child's needs, professionals should take the potential long-term impacts of trauma into account.</w:t>
      </w:r>
    </w:p>
    <w:p w14:paraId="1671E565" w14:textId="1D102B99"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 xml:space="preserve">ACEs shouldn't, however, be used to automatically anticipate someone's </w:t>
      </w:r>
      <w:r w:rsidR="00903B5D" w:rsidRPr="00903B5D">
        <w:rPr>
          <w:rFonts w:ascii="Arial" w:eastAsia="Times New Roman" w:hAnsi="Arial" w:cs="Arial"/>
          <w:color w:val="000000"/>
          <w:kern w:val="0"/>
          <w:sz w:val="27"/>
          <w:szCs w:val="27"/>
          <w:lang w:eastAsia="en-GB"/>
          <w14:ligatures w14:val="none"/>
        </w:rPr>
        <w:t>behaviour</w:t>
      </w:r>
      <w:r w:rsidRPr="00903B5D">
        <w:rPr>
          <w:rFonts w:ascii="Arial" w:eastAsia="Times New Roman" w:hAnsi="Arial" w:cs="Arial"/>
          <w:color w:val="000000"/>
          <w:kern w:val="0"/>
          <w:sz w:val="27"/>
          <w:szCs w:val="27"/>
          <w:lang w:eastAsia="en-GB"/>
          <w14:ligatures w14:val="none"/>
        </w:rPr>
        <w:t>. Adversity affects children differently, and results can be enhanced by suitable interventions and supportive connections. Professionals had to evaluate Child A's unique circumstances and decide if she needed specialized care, psychiatric testing, or emotional support.</w:t>
      </w:r>
    </w:p>
    <w:p w14:paraId="33324435" w14:textId="2A7A17F4"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2A4A59D4" w14:textId="5614BAD1"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Education Safeguarding Lead:</w:t>
      </w:r>
      <w:r w:rsidRPr="00903B5D">
        <w:rPr>
          <w:rFonts w:ascii="Arial" w:eastAsia="Times New Roman" w:hAnsi="Arial" w:cs="Arial"/>
          <w:color w:val="000000"/>
          <w:kern w:val="0"/>
          <w:sz w:val="27"/>
          <w:szCs w:val="27"/>
          <w:lang w:eastAsia="en-GB"/>
          <w14:ligatures w14:val="none"/>
        </w:rPr>
        <w:t xml:space="preserve"> Education experts can help by spotting shifts in </w:t>
      </w:r>
      <w:r w:rsidR="00903B5D" w:rsidRPr="00903B5D">
        <w:rPr>
          <w:rFonts w:ascii="Arial" w:eastAsia="Times New Roman" w:hAnsi="Arial" w:cs="Arial"/>
          <w:color w:val="000000"/>
          <w:kern w:val="0"/>
          <w:sz w:val="27"/>
          <w:szCs w:val="27"/>
          <w:lang w:eastAsia="en-GB"/>
          <w14:ligatures w14:val="none"/>
        </w:rPr>
        <w:t>behaviour</w:t>
      </w:r>
      <w:r w:rsidRPr="00903B5D">
        <w:rPr>
          <w:rFonts w:ascii="Arial" w:eastAsia="Times New Roman" w:hAnsi="Arial" w:cs="Arial"/>
          <w:color w:val="000000"/>
          <w:kern w:val="0"/>
          <w:sz w:val="27"/>
          <w:szCs w:val="27"/>
          <w:lang w:eastAsia="en-GB"/>
          <w14:ligatures w14:val="none"/>
        </w:rPr>
        <w:t xml:space="preserve">, relationships, attendance, or learning interest. These alterations might be a sign that a child needs assistance, but they shouldn't be taken alone as evidence of abuse. Schools should make sure that </w:t>
      </w:r>
      <w:r w:rsidR="00903B5D" w:rsidRPr="00903B5D">
        <w:rPr>
          <w:rFonts w:ascii="Arial" w:eastAsia="Times New Roman" w:hAnsi="Arial" w:cs="Arial"/>
          <w:color w:val="000000"/>
          <w:kern w:val="0"/>
          <w:sz w:val="27"/>
          <w:szCs w:val="27"/>
          <w:lang w:eastAsia="en-GB"/>
          <w14:ligatures w14:val="none"/>
        </w:rPr>
        <w:t>behavioural</w:t>
      </w:r>
      <w:r w:rsidRPr="00903B5D">
        <w:rPr>
          <w:rFonts w:ascii="Arial" w:eastAsia="Times New Roman" w:hAnsi="Arial" w:cs="Arial"/>
          <w:color w:val="000000"/>
          <w:kern w:val="0"/>
          <w:sz w:val="27"/>
          <w:szCs w:val="27"/>
          <w:lang w:eastAsia="en-GB"/>
          <w14:ligatures w14:val="none"/>
        </w:rPr>
        <w:t xml:space="preserve"> issues are </w:t>
      </w:r>
      <w:proofErr w:type="gramStart"/>
      <w:r w:rsidRPr="00903B5D">
        <w:rPr>
          <w:rFonts w:ascii="Arial" w:eastAsia="Times New Roman" w:hAnsi="Arial" w:cs="Arial"/>
          <w:color w:val="000000"/>
          <w:kern w:val="0"/>
          <w:sz w:val="27"/>
          <w:szCs w:val="27"/>
          <w:lang w:eastAsia="en-GB"/>
          <w14:ligatures w14:val="none"/>
        </w:rPr>
        <w:t>taken into account</w:t>
      </w:r>
      <w:proofErr w:type="gramEnd"/>
      <w:r w:rsidRPr="00903B5D">
        <w:rPr>
          <w:rFonts w:ascii="Arial" w:eastAsia="Times New Roman" w:hAnsi="Arial" w:cs="Arial"/>
          <w:color w:val="000000"/>
          <w:kern w:val="0"/>
          <w:sz w:val="27"/>
          <w:szCs w:val="27"/>
          <w:lang w:eastAsia="en-GB"/>
          <w14:ligatures w14:val="none"/>
        </w:rPr>
        <w:t xml:space="preserve"> in addition to the child's broader circumstances and communicate pertinent concerns to safeguarding partners.</w:t>
      </w:r>
    </w:p>
    <w:p w14:paraId="0164DFC7" w14:textId="77777777"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lastRenderedPageBreak/>
        <w:t>Multiple ACE exposure is linked to worse health outcomes, according to Hughes et al. (2017). This demonstrates the significance of looking at the cumulative impacts of adversity as opposed to addressing each issue independently. However, the study does not prove that ACEs always result in criminal activity or violence. Professionals should refrain from making assumptions about children based on their backgrounds.</w:t>
      </w:r>
    </w:p>
    <w:p w14:paraId="0EC2778E" w14:textId="15E98CE5"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5571365C" w14:textId="2D39ED3D"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Health Professional:</w:t>
      </w:r>
      <w:r w:rsidRPr="00903B5D">
        <w:rPr>
          <w:rFonts w:ascii="Arial" w:hAnsi="Arial" w:cs="Arial"/>
        </w:rPr>
        <w:t xml:space="preserve"> </w:t>
      </w:r>
      <w:r w:rsidRPr="00903B5D">
        <w:rPr>
          <w:rFonts w:ascii="Arial" w:eastAsia="Times New Roman" w:hAnsi="Arial" w:cs="Arial"/>
          <w:color w:val="000000"/>
          <w:kern w:val="0"/>
          <w:sz w:val="27"/>
          <w:szCs w:val="27"/>
          <w:lang w:eastAsia="en-GB"/>
          <w14:ligatures w14:val="none"/>
        </w:rPr>
        <w:t>I would suggest a trauma-informed strategy that acknowledges the potential consequences of trauma, fosters connections based on trust, and offers steady support. A licensed mental health practitioner could evaluate emotional wellness and decide if therapeutic intervention is necessary. Instead of relying on presumptions about Child A's condition, the support should be customized for her.</w:t>
      </w:r>
    </w:p>
    <w:p w14:paraId="733F54F7" w14:textId="395BABB6"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Education Safeguarding Lead:</w:t>
      </w:r>
      <w:r w:rsidRPr="00903B5D">
        <w:rPr>
          <w:rFonts w:ascii="Arial" w:eastAsia="Times New Roman" w:hAnsi="Arial" w:cs="Arial"/>
          <w:color w:val="000000"/>
          <w:kern w:val="0"/>
          <w:sz w:val="27"/>
          <w:szCs w:val="27"/>
          <w:lang w:eastAsia="en-GB"/>
          <w14:ligatures w14:val="none"/>
        </w:rPr>
        <w:t xml:space="preserve"> We also need to </w:t>
      </w:r>
      <w:r w:rsidR="00903B5D" w:rsidRPr="00903B5D">
        <w:rPr>
          <w:rFonts w:ascii="Arial" w:eastAsia="Times New Roman" w:hAnsi="Arial" w:cs="Arial"/>
          <w:color w:val="000000"/>
          <w:kern w:val="0"/>
          <w:sz w:val="27"/>
          <w:szCs w:val="27"/>
          <w:lang w:eastAsia="en-GB"/>
          <w14:ligatures w14:val="none"/>
        </w:rPr>
        <w:t>consider</w:t>
      </w:r>
      <w:r w:rsidRPr="00903B5D">
        <w:rPr>
          <w:rFonts w:ascii="Arial" w:eastAsia="Times New Roman" w:hAnsi="Arial" w:cs="Arial"/>
          <w:color w:val="000000"/>
          <w:kern w:val="0"/>
          <w:sz w:val="27"/>
          <w:szCs w:val="27"/>
          <w:lang w:eastAsia="en-GB"/>
          <w14:ligatures w14:val="none"/>
        </w:rPr>
        <w:t xml:space="preserve"> the potential for adultification, in which a child is given less protection because they are thought to be older or more responsible than their actual age. This may cause professionals to ignore vulnerability in </w:t>
      </w:r>
      <w:r w:rsidR="00903B5D">
        <w:rPr>
          <w:rFonts w:ascii="Arial" w:eastAsia="Times New Roman" w:hAnsi="Arial" w:cs="Arial"/>
          <w:color w:val="000000"/>
          <w:kern w:val="0"/>
          <w:sz w:val="27"/>
          <w:szCs w:val="27"/>
          <w:lang w:eastAsia="en-GB"/>
          <w14:ligatures w14:val="none"/>
        </w:rPr>
        <w:t xml:space="preserve">favour </w:t>
      </w:r>
      <w:r w:rsidRPr="00903B5D">
        <w:rPr>
          <w:rFonts w:ascii="Arial" w:eastAsia="Times New Roman" w:hAnsi="Arial" w:cs="Arial"/>
          <w:color w:val="000000"/>
          <w:kern w:val="0"/>
          <w:sz w:val="27"/>
          <w:szCs w:val="27"/>
          <w:lang w:eastAsia="en-GB"/>
          <w14:ligatures w14:val="none"/>
        </w:rPr>
        <w:t xml:space="preserve">of demanding </w:t>
      </w:r>
      <w:r w:rsidR="00903B5D" w:rsidRPr="00903B5D">
        <w:rPr>
          <w:rFonts w:ascii="Arial" w:eastAsia="Times New Roman" w:hAnsi="Arial" w:cs="Arial"/>
          <w:color w:val="000000"/>
          <w:kern w:val="0"/>
          <w:sz w:val="27"/>
          <w:szCs w:val="27"/>
          <w:lang w:eastAsia="en-GB"/>
          <w14:ligatures w14:val="none"/>
        </w:rPr>
        <w:t>behaviour</w:t>
      </w:r>
      <w:r w:rsidRPr="00903B5D">
        <w:rPr>
          <w:rFonts w:ascii="Arial" w:eastAsia="Times New Roman" w:hAnsi="Arial" w:cs="Arial"/>
          <w:color w:val="000000"/>
          <w:kern w:val="0"/>
          <w:sz w:val="27"/>
          <w:szCs w:val="27"/>
          <w:lang w:eastAsia="en-GB"/>
          <w14:ligatures w14:val="none"/>
        </w:rPr>
        <w:t xml:space="preserve">. Acknowledging a child's developmental requirements does not, however, entail overlooking negative </w:t>
      </w:r>
      <w:r w:rsidR="00903B5D" w:rsidRPr="00903B5D">
        <w:rPr>
          <w:rFonts w:ascii="Arial" w:eastAsia="Times New Roman" w:hAnsi="Arial" w:cs="Arial"/>
          <w:color w:val="000000"/>
          <w:kern w:val="0"/>
          <w:sz w:val="27"/>
          <w:szCs w:val="27"/>
          <w:lang w:eastAsia="en-GB"/>
          <w14:ligatures w14:val="none"/>
        </w:rPr>
        <w:t>behaviour</w:t>
      </w:r>
      <w:r w:rsidRPr="00903B5D">
        <w:rPr>
          <w:rFonts w:ascii="Arial" w:eastAsia="Times New Roman" w:hAnsi="Arial" w:cs="Arial"/>
          <w:color w:val="000000"/>
          <w:kern w:val="0"/>
          <w:sz w:val="27"/>
          <w:szCs w:val="27"/>
          <w:lang w:eastAsia="en-GB"/>
          <w14:ligatures w14:val="none"/>
        </w:rPr>
        <w:t>. Appropriate accountability, assistance, and protection for all those engaged are necessary for effective safeguarding.</w:t>
      </w:r>
    </w:p>
    <w:p w14:paraId="5FAB76FF" w14:textId="77777777" w:rsidR="00E80BBC" w:rsidRPr="00903B5D" w:rsidRDefault="00E80BBC" w:rsidP="00903B5D">
      <w:pPr>
        <w:pStyle w:val="Heading1"/>
        <w:rPr>
          <w:rFonts w:eastAsia="Times New Roman"/>
          <w:lang w:eastAsia="en-GB"/>
        </w:rPr>
      </w:pPr>
      <w:bookmarkStart w:id="3" w:name="_Toc242715789"/>
      <w:r w:rsidRPr="00903B5D">
        <w:rPr>
          <w:rFonts w:eastAsia="Times New Roman"/>
          <w:lang w:eastAsia="en-GB"/>
        </w:rPr>
        <w:t>4. Legislation, Policy and Multi-Agency Working</w:t>
      </w:r>
      <w:bookmarkEnd w:id="3"/>
    </w:p>
    <w:p w14:paraId="4B7E3B24" w14:textId="77777777"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Children's Social Worker:</w:t>
      </w:r>
      <w:r w:rsidRPr="00903B5D">
        <w:rPr>
          <w:rFonts w:ascii="Arial" w:eastAsia="Times New Roman" w:hAnsi="Arial" w:cs="Arial"/>
          <w:color w:val="000000"/>
          <w:kern w:val="0"/>
          <w:sz w:val="27"/>
          <w:szCs w:val="27"/>
          <w:lang w:eastAsia="en-GB"/>
          <w14:ligatures w14:val="none"/>
        </w:rPr>
        <w:t> An essential legal basis is provided by the Children Act of 1989. While Section 47 mandates that local authorities conduct investigations where they have reasonable suspicion that a child is suffering or is likely to suffer serious harm, Section 17 deals with assistance for children in need (Children Act 1989). These clauses highlight how crucial it is to evaluate children's needs, look into safeguarding issues, and set up suitable interventions.</w:t>
      </w:r>
    </w:p>
    <w:p w14:paraId="44AF9EB5" w14:textId="77777777"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Legislation does not, however, ensure that protection is effective. Professionals must carry out their responsibilities with prompt evaluations, good judgment, and follow-up. If the subsequent action does not mitigate the risk, simply identifying a concern is insufficient.</w:t>
      </w:r>
    </w:p>
    <w:p w14:paraId="53081F1B" w14:textId="20685C4C"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4B4CEFD8" w14:textId="37831B18" w:rsidR="00903B5D"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Police and Child Protection Officer:</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 xml:space="preserve">Additionally, several organizations are tasked with safeguarding under the Children Act of 2004. </w:t>
      </w:r>
      <w:r w:rsidR="00903B5D" w:rsidRPr="00903B5D">
        <w:rPr>
          <w:rFonts w:ascii="Arial" w:eastAsia="Times New Roman" w:hAnsi="Arial" w:cs="Arial"/>
          <w:color w:val="000000"/>
          <w:kern w:val="0"/>
          <w:sz w:val="27"/>
          <w:szCs w:val="27"/>
          <w:lang w:eastAsia="en-GB"/>
          <w14:ligatures w14:val="none"/>
        </w:rPr>
        <w:lastRenderedPageBreak/>
        <w:t xml:space="preserve">According to the Children Act of 2004, Section 11 mandates that competent bodies establish measures to guaranty that their tasks are carried out </w:t>
      </w:r>
      <w:r w:rsidR="00903B5D" w:rsidRPr="00903B5D">
        <w:rPr>
          <w:rFonts w:ascii="Arial" w:eastAsia="Times New Roman" w:hAnsi="Arial" w:cs="Arial"/>
          <w:color w:val="000000"/>
          <w:kern w:val="0"/>
          <w:sz w:val="27"/>
          <w:szCs w:val="27"/>
          <w:lang w:eastAsia="en-GB"/>
          <w14:ligatures w14:val="none"/>
        </w:rPr>
        <w:t>about</w:t>
      </w:r>
      <w:r w:rsidR="00903B5D" w:rsidRPr="00903B5D">
        <w:rPr>
          <w:rFonts w:ascii="Arial" w:eastAsia="Times New Roman" w:hAnsi="Arial" w:cs="Arial"/>
          <w:color w:val="000000"/>
          <w:kern w:val="0"/>
          <w:sz w:val="27"/>
          <w:szCs w:val="27"/>
          <w:lang w:eastAsia="en-GB"/>
          <w14:ligatures w14:val="none"/>
        </w:rPr>
        <w:t xml:space="preserve"> safeguarding and promoting the welfare of children. This upholds the idea that everyone has a responsibility to protect children.</w:t>
      </w:r>
    </w:p>
    <w:p w14:paraId="619A12B9" w14:textId="62E1CAEB" w:rsidR="00903B5D" w:rsidRPr="00903B5D" w:rsidRDefault="00903B5D"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 xml:space="preserve">Coordinated multi-agency collaboration, information exchange, and efficient support are highlighted in the Department for Education's Working Together to Safeguard Children 2023 guidelines (Department for Education, 2023). This </w:t>
      </w:r>
      <w:r w:rsidRPr="00903B5D">
        <w:rPr>
          <w:rFonts w:ascii="Arial" w:eastAsia="Times New Roman" w:hAnsi="Arial" w:cs="Arial"/>
          <w:color w:val="000000"/>
          <w:kern w:val="0"/>
          <w:sz w:val="27"/>
          <w:szCs w:val="27"/>
          <w:lang w:eastAsia="en-GB"/>
          <w14:ligatures w14:val="none"/>
        </w:rPr>
        <w:t>advice</w:t>
      </w:r>
      <w:r w:rsidRPr="00903B5D">
        <w:rPr>
          <w:rFonts w:ascii="Arial" w:eastAsia="Times New Roman" w:hAnsi="Arial" w:cs="Arial"/>
          <w:color w:val="000000"/>
          <w:kern w:val="0"/>
          <w:sz w:val="27"/>
          <w:szCs w:val="27"/>
          <w:lang w:eastAsia="en-GB"/>
          <w14:ligatures w14:val="none"/>
        </w:rPr>
        <w:t xml:space="preserve"> offers a helpful context for talking about improvements, even if it was released after the occurrence. We must differentiate between guidelines that were relevant at the time and later advancements when assessing the initial professional answers.</w:t>
      </w:r>
    </w:p>
    <w:p w14:paraId="45BDA0A1" w14:textId="6ECD3A91" w:rsidR="00E80BBC"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60120CC0" w14:textId="2C0A12CE" w:rsidR="00903B5D"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Health Professional:</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 xml:space="preserve">Guidelines for identifying, evaluating, and handling child abuse and neglect are provided by NICE (2017). Health care providers should </w:t>
      </w:r>
      <w:r w:rsidR="00903B5D" w:rsidRPr="00903B5D">
        <w:rPr>
          <w:rFonts w:ascii="Arial" w:eastAsia="Times New Roman" w:hAnsi="Arial" w:cs="Arial"/>
          <w:color w:val="000000"/>
          <w:kern w:val="0"/>
          <w:sz w:val="27"/>
          <w:szCs w:val="27"/>
          <w:lang w:eastAsia="en-GB"/>
          <w14:ligatures w14:val="none"/>
        </w:rPr>
        <w:t>consider</w:t>
      </w:r>
      <w:r w:rsidR="00903B5D" w:rsidRPr="00903B5D">
        <w:rPr>
          <w:rFonts w:ascii="Arial" w:eastAsia="Times New Roman" w:hAnsi="Arial" w:cs="Arial"/>
          <w:color w:val="000000"/>
          <w:kern w:val="0"/>
          <w:sz w:val="27"/>
          <w:szCs w:val="27"/>
          <w:lang w:eastAsia="en-GB"/>
          <w14:ligatures w14:val="none"/>
        </w:rPr>
        <w:t xml:space="preserve"> patients' physical and mental health, appropriately document any problems, and provide safeguarding partners with pertinent information. Professionals can gain a deeper comprehension of a child's situation through a coordinated assessment.</w:t>
      </w:r>
    </w:p>
    <w:p w14:paraId="2F8003AF" w14:textId="77777777" w:rsidR="00903B5D" w:rsidRPr="00903B5D" w:rsidRDefault="00903B5D"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However, when experts possess disparate bits of information without developing a common understanding, multi-agency teamwork may fail. Clearly defined roles, professional interest, and frequent evaluations of agreed-upon actions are necessary for effective collaboration. Additionally, information exchange needs to be appropriate, pertinent, and legal.</w:t>
      </w:r>
    </w:p>
    <w:p w14:paraId="15451E96" w14:textId="5D1A138F" w:rsidR="00E80BBC"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45528BBE" w14:textId="77777777" w:rsidR="00903B5D"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Education Safeguarding Lead:</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Because safeguarding choices must protect rights, particularly respect for private and family life, while permitting appropriate and legitimate interventions where warranted, the Human Rights Act of 1998 is pertinent. Professionals must strike a balance between the need to safeguard children and others from harm and family connections and privacy.</w:t>
      </w:r>
    </w:p>
    <w:p w14:paraId="0AC7E473" w14:textId="77777777" w:rsidR="00903B5D" w:rsidRPr="00903B5D" w:rsidRDefault="00903B5D"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Brandon et al. (2011) found recurrent flaws in critical case review recommendations, such as problems with implementation and assessment. This demonstrates the necessity for organizations to question presumptions, make accountability clear, and determine whether actions are genuinely enhancing children's safety.</w:t>
      </w:r>
    </w:p>
    <w:p w14:paraId="4FC0B859" w14:textId="3193BCE3" w:rsidR="00E80BBC"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2F6CFEBB" w14:textId="77777777" w:rsidR="00E80BBC" w:rsidRPr="00903B5D" w:rsidRDefault="00E80BBC" w:rsidP="00903B5D">
      <w:pPr>
        <w:pStyle w:val="Heading1"/>
        <w:rPr>
          <w:rFonts w:eastAsia="Times New Roman"/>
          <w:lang w:eastAsia="en-GB"/>
        </w:rPr>
      </w:pPr>
      <w:bookmarkStart w:id="4" w:name="_Toc242715790"/>
      <w:r w:rsidRPr="00903B5D">
        <w:rPr>
          <w:rFonts w:eastAsia="Times New Roman"/>
          <w:lang w:eastAsia="en-GB"/>
        </w:rPr>
        <w:lastRenderedPageBreak/>
        <w:t>5. Proposed Care, Support and Action Plan</w:t>
      </w:r>
      <w:bookmarkEnd w:id="4"/>
    </w:p>
    <w:p w14:paraId="0F31FE78" w14:textId="65A519E2" w:rsidR="00903B5D"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Children's Social Worker:</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 xml:space="preserve">I suggest a coordinated care and support plan with distinct roles and quantifiable results based on our conversation. A thorough evaluation combining social services, health, education, and law enforcement should be the first step. Child A's developmental needs, family dynamics, past trauma, mental health, education, and potential exploitation should all be </w:t>
      </w:r>
      <w:r w:rsidR="00903B5D" w:rsidRPr="00903B5D">
        <w:rPr>
          <w:rFonts w:ascii="Arial" w:eastAsia="Times New Roman" w:hAnsi="Arial" w:cs="Arial"/>
          <w:color w:val="000000"/>
          <w:kern w:val="0"/>
          <w:sz w:val="27"/>
          <w:szCs w:val="27"/>
          <w:lang w:eastAsia="en-GB"/>
          <w14:ligatures w14:val="none"/>
        </w:rPr>
        <w:t>considered</w:t>
      </w:r>
      <w:r w:rsidR="00903B5D" w:rsidRPr="00903B5D">
        <w:rPr>
          <w:rFonts w:ascii="Arial" w:eastAsia="Times New Roman" w:hAnsi="Arial" w:cs="Arial"/>
          <w:color w:val="000000"/>
          <w:kern w:val="0"/>
          <w:sz w:val="27"/>
          <w:szCs w:val="27"/>
          <w:lang w:eastAsia="en-GB"/>
          <w14:ligatures w14:val="none"/>
        </w:rPr>
        <w:t>.</w:t>
      </w:r>
    </w:p>
    <w:p w14:paraId="0BFBFEF7" w14:textId="77777777" w:rsidR="00903B5D" w:rsidRPr="00903B5D" w:rsidRDefault="00903B5D"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In addition to coordinating the assessment, the social worker should create a written plan that identifies the issues, agreed-upon interventions, responsible professionals, and review dates. The proper child protection protocols must be followed when serious injury is feared. When applicable, the strategy should also take family members' needs and safety into account.</w:t>
      </w:r>
    </w:p>
    <w:p w14:paraId="3FA45533" w14:textId="5D70F423" w:rsidR="00E80BBC"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789AC4EF" w14:textId="42E54BBC" w:rsidR="00903B5D"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Police and Child Protection Officer:</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 xml:space="preserve">I concur, but there needs to be a defined risk-management strategy in the plan. The police should legally exchange information with safeguarding partners and provide pertinent information about abuse, exploitation, or dangerous situations. Any limitations or interventions ought to be commensurate with the child's situation and the available data. </w:t>
      </w:r>
      <w:r w:rsidR="00903B5D" w:rsidRPr="00903B5D">
        <w:rPr>
          <w:rFonts w:ascii="Arial" w:eastAsia="Times New Roman" w:hAnsi="Arial" w:cs="Arial"/>
          <w:color w:val="000000"/>
          <w:kern w:val="0"/>
          <w:sz w:val="27"/>
          <w:szCs w:val="27"/>
          <w:lang w:eastAsia="en-GB"/>
          <w14:ligatures w14:val="none"/>
        </w:rPr>
        <w:t>Instead,</w:t>
      </w:r>
      <w:r w:rsidR="00903B5D" w:rsidRPr="00903B5D">
        <w:rPr>
          <w:rFonts w:ascii="Arial" w:eastAsia="Times New Roman" w:hAnsi="Arial" w:cs="Arial"/>
          <w:color w:val="000000"/>
          <w:kern w:val="0"/>
          <w:sz w:val="27"/>
          <w:szCs w:val="27"/>
          <w:lang w:eastAsia="en-GB"/>
          <w14:ligatures w14:val="none"/>
        </w:rPr>
        <w:t xml:space="preserve"> </w:t>
      </w:r>
      <w:proofErr w:type="gramStart"/>
      <w:r w:rsidR="00903B5D" w:rsidRPr="00903B5D">
        <w:rPr>
          <w:rFonts w:ascii="Arial" w:eastAsia="Times New Roman" w:hAnsi="Arial" w:cs="Arial"/>
          <w:color w:val="000000"/>
          <w:kern w:val="0"/>
          <w:sz w:val="27"/>
          <w:szCs w:val="27"/>
          <w:lang w:eastAsia="en-GB"/>
          <w14:ligatures w14:val="none"/>
        </w:rPr>
        <w:t>than</w:t>
      </w:r>
      <w:proofErr w:type="gramEnd"/>
      <w:r w:rsidR="00903B5D" w:rsidRPr="00903B5D">
        <w:rPr>
          <w:rFonts w:ascii="Arial" w:eastAsia="Times New Roman" w:hAnsi="Arial" w:cs="Arial"/>
          <w:color w:val="000000"/>
          <w:kern w:val="0"/>
          <w:sz w:val="27"/>
          <w:szCs w:val="27"/>
          <w:lang w:eastAsia="en-GB"/>
          <w14:ligatures w14:val="none"/>
        </w:rPr>
        <w:t xml:space="preserve"> merely reacting to an incident, the goal should be to prevent harm.</w:t>
      </w:r>
    </w:p>
    <w:p w14:paraId="6481FA16" w14:textId="77777777" w:rsidR="00903B5D" w:rsidRPr="00903B5D" w:rsidRDefault="00903B5D"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When a kid transfers between local authorities, a clear transfer protocol should be implemented as an additional measure. While the prior authority should swiftly communicate pertinent information, the receiving authority should affirm responsibility for the assessment and follow-up. Direct communication of unresolved issues is necessary to prevent protection gaps.</w:t>
      </w:r>
    </w:p>
    <w:p w14:paraId="2EF7AE21" w14:textId="6964022B" w:rsidR="00E80BBC"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578BF7BC" w14:textId="77777777" w:rsidR="00903B5D"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Health Professional:</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Child A's emotional and psychological needs should be evaluated as part of the health component. Referrals to specialized child and adolescent mental health services should be made as necessary. Regular evaluations, emotional management techniques, and therapeutic intervention could all be forms of support. Because exposure to ACEs does not establish a diagnosis or ensure a specific outcome, the strategy must be individualized.</w:t>
      </w:r>
    </w:p>
    <w:p w14:paraId="2FABCEA0" w14:textId="77777777" w:rsidR="00903B5D" w:rsidRPr="00903B5D" w:rsidRDefault="00903B5D"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lastRenderedPageBreak/>
        <w:t>Additionally, Child A should be given the chance to voice her opinions in a secure and age-appropriate setting. Professionals can better comprehend her experiences and establish trust by paying attention to her worries. Indicators that have been agreed upon, such as attendance at appointments, involvement in assistance, and modifications to risk assessments, should be used to gage progress.</w:t>
      </w:r>
    </w:p>
    <w:p w14:paraId="1EC20115" w14:textId="6D22961B" w:rsidR="00E80BBC"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158A40B8" w14:textId="547D734A" w:rsidR="00903B5D"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Education Safeguarding Lead:</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 xml:space="preserve">Another component of the strategy should be education. </w:t>
      </w:r>
      <w:r w:rsidR="00903B5D" w:rsidRPr="00903B5D">
        <w:rPr>
          <w:rFonts w:ascii="Arial" w:eastAsia="Times New Roman" w:hAnsi="Arial" w:cs="Arial"/>
          <w:color w:val="000000"/>
          <w:kern w:val="0"/>
          <w:sz w:val="27"/>
          <w:szCs w:val="27"/>
          <w:lang w:eastAsia="en-GB"/>
          <w14:ligatures w14:val="none"/>
        </w:rPr>
        <w:t>To</w:t>
      </w:r>
      <w:r w:rsidR="00903B5D" w:rsidRPr="00903B5D">
        <w:rPr>
          <w:rFonts w:ascii="Arial" w:eastAsia="Times New Roman" w:hAnsi="Arial" w:cs="Arial"/>
          <w:color w:val="000000"/>
          <w:kern w:val="0"/>
          <w:sz w:val="27"/>
          <w:szCs w:val="27"/>
          <w:lang w:eastAsia="en-GB"/>
          <w14:ligatures w14:val="none"/>
        </w:rPr>
        <w:t xml:space="preserve"> address pertinent issues and facilitate access to appropriate education, the school safeguarding lead should collaborate with social care. Interventions could include a trusted adult, frequent pastoral meetings, individual learning assistance, and suitable educational offerings, depending on the evaluation.</w:t>
      </w:r>
    </w:p>
    <w:p w14:paraId="73E1A2A4" w14:textId="437EF342" w:rsidR="00903B5D" w:rsidRPr="00903B5D" w:rsidRDefault="00903B5D"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 xml:space="preserve">Meetings for multi-agency reviews should occur at predetermined intervals, and further reviews should be conducted if risks escalate. Every agency should report on completed tasks, unresolved issues, and obstacles to advancement. The plan needs to specify who </w:t>
      </w:r>
      <w:r w:rsidRPr="00903B5D">
        <w:rPr>
          <w:rFonts w:ascii="Arial" w:eastAsia="Times New Roman" w:hAnsi="Arial" w:cs="Arial"/>
          <w:color w:val="000000"/>
          <w:kern w:val="0"/>
          <w:sz w:val="27"/>
          <w:szCs w:val="27"/>
          <w:lang w:eastAsia="en-GB"/>
          <w14:ligatures w14:val="none"/>
        </w:rPr>
        <w:t>oversees</w:t>
      </w:r>
      <w:r w:rsidRPr="00903B5D">
        <w:rPr>
          <w:rFonts w:ascii="Arial" w:eastAsia="Times New Roman" w:hAnsi="Arial" w:cs="Arial"/>
          <w:color w:val="000000"/>
          <w:kern w:val="0"/>
          <w:sz w:val="27"/>
          <w:szCs w:val="27"/>
          <w:lang w:eastAsia="en-GB"/>
          <w14:ligatures w14:val="none"/>
        </w:rPr>
        <w:t xml:space="preserve"> each task, when it needs to be finished, and how success will be determined.</w:t>
      </w:r>
    </w:p>
    <w:p w14:paraId="6E17CD70" w14:textId="32295894" w:rsidR="00E80BBC" w:rsidRPr="00903B5D" w:rsidRDefault="00E80BBC" w:rsidP="00903B5D">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22313827" w14:textId="36203B56"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Children's Social Worker:</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Lastly, significant consideration should be given to family involvement. Although connections and stability may be enhanced by support, professionals should not presume that all family ties are secure. Evidence, the child's opinions, and their best interests should all be taken into consideration while making decisions.</w:t>
      </w:r>
    </w:p>
    <w:p w14:paraId="5543EA63" w14:textId="6A084EBD" w:rsidR="00E80BBC"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Police and Child Protection Officer:</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I agree.   Child A's requirements and other people's safety must be balanced in the plan. Its effectiveness should be evaluated based on whether defined needs are met and risks are minimized, not just whether meetings have taken place. When conditions change or interventions prove ineffective, regular reviews will enable professionals to modify them.</w:t>
      </w:r>
    </w:p>
    <w:p w14:paraId="54CD7769"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444189CD" w14:textId="77777777" w:rsidR="00903B5D" w:rsidRP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2983B6FA" w14:textId="77777777" w:rsidR="00E80BBC" w:rsidRPr="00903B5D" w:rsidRDefault="00E80BBC" w:rsidP="00903B5D">
      <w:pPr>
        <w:pStyle w:val="Heading1"/>
        <w:rPr>
          <w:rFonts w:eastAsia="Times New Roman"/>
          <w:lang w:eastAsia="en-GB"/>
        </w:rPr>
      </w:pPr>
      <w:bookmarkStart w:id="5" w:name="_Toc242715791"/>
      <w:r w:rsidRPr="00903B5D">
        <w:rPr>
          <w:rFonts w:eastAsia="Times New Roman"/>
          <w:lang w:eastAsia="en-GB"/>
        </w:rPr>
        <w:lastRenderedPageBreak/>
        <w:t>6. Conclusion</w:t>
      </w:r>
      <w:bookmarkEnd w:id="5"/>
    </w:p>
    <w:p w14:paraId="3D0F5496" w14:textId="7CF4BD95"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ME – Children's Social Worker:</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The case of Adult A and Child A illustrates how difficult it is to protect kids who have faced severe hardship. It emphasizes the value of thorough evaluations, early intervention, and comprehending how children behave in relation to their experiences.</w:t>
      </w:r>
    </w:p>
    <w:p w14:paraId="102CC813" w14:textId="27D3EBB0"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b/>
          <w:bCs/>
          <w:color w:val="000000"/>
          <w:kern w:val="0"/>
          <w:sz w:val="27"/>
          <w:szCs w:val="27"/>
          <w:lang w:eastAsia="en-GB"/>
          <w14:ligatures w14:val="none"/>
        </w:rPr>
        <w:t>Classmate – Police and Child Protection Officer:</w:t>
      </w:r>
      <w:r w:rsidRPr="00903B5D">
        <w:rPr>
          <w:rFonts w:ascii="Arial" w:eastAsia="Times New Roman" w:hAnsi="Arial" w:cs="Arial"/>
          <w:color w:val="000000"/>
          <w:kern w:val="0"/>
          <w:sz w:val="27"/>
          <w:szCs w:val="27"/>
          <w:lang w:eastAsia="en-GB"/>
          <w14:ligatures w14:val="none"/>
        </w:rPr>
        <w:t> </w:t>
      </w:r>
      <w:r w:rsidR="00903B5D" w:rsidRPr="00903B5D">
        <w:rPr>
          <w:rFonts w:ascii="Arial" w:eastAsia="Times New Roman" w:hAnsi="Arial" w:cs="Arial"/>
          <w:color w:val="000000"/>
          <w:kern w:val="0"/>
          <w:sz w:val="27"/>
          <w:szCs w:val="27"/>
          <w:lang w:eastAsia="en-GB"/>
          <w14:ligatures w14:val="none"/>
        </w:rPr>
        <w:t>The case also highlights the need for good collaboration between social services, law enforcement, health care, and education. The evaluation offers valuable insights regarding information exchange, professional accountability, and continuity of assistance, even though it cannot be presumed that the outcome could have been avoided. A more robust basis for safeguarding practice is provided by a coordinated, trauma-informed strategy that protects Child A while identifying threats to others.</w:t>
      </w:r>
    </w:p>
    <w:p w14:paraId="54F1B372" w14:textId="77777777" w:rsidR="00903B5D" w:rsidRP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16C74881" w14:textId="77777777" w:rsidR="00903B5D" w:rsidRP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71A06A5F" w14:textId="77777777" w:rsidR="00903B5D" w:rsidRP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35C936AA" w14:textId="77777777" w:rsidR="00903B5D" w:rsidRP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3A9A27FD"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236E9B83"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62AFE677"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792C49C6"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19355496"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0958BCEE"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4492AA2F"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571F70E1"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162E4BAF"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4EED1FCE" w14:textId="77777777" w:rsid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1FF032F4" w14:textId="77777777" w:rsidR="00903B5D" w:rsidRPr="00903B5D" w:rsidRDefault="00903B5D"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p>
    <w:p w14:paraId="2104429E" w14:textId="77777777" w:rsidR="00E80BBC" w:rsidRPr="00903B5D" w:rsidRDefault="00E80BBC" w:rsidP="00E80BBC">
      <w:pPr>
        <w:spacing w:before="100" w:beforeAutospacing="1" w:after="100" w:afterAutospacing="1" w:line="240" w:lineRule="auto"/>
        <w:outlineLvl w:val="1"/>
        <w:rPr>
          <w:rFonts w:ascii="Arial" w:eastAsia="Times New Roman" w:hAnsi="Arial" w:cs="Arial"/>
          <w:b/>
          <w:bCs/>
          <w:color w:val="000000"/>
          <w:kern w:val="0"/>
          <w:sz w:val="36"/>
          <w:szCs w:val="36"/>
          <w:lang w:eastAsia="en-GB"/>
          <w14:ligatures w14:val="none"/>
        </w:rPr>
      </w:pPr>
      <w:bookmarkStart w:id="6" w:name="_Toc242715792"/>
      <w:r w:rsidRPr="00903B5D">
        <w:rPr>
          <w:rFonts w:ascii="Arial" w:eastAsia="Times New Roman" w:hAnsi="Arial" w:cs="Arial"/>
          <w:b/>
          <w:bCs/>
          <w:color w:val="000000"/>
          <w:kern w:val="0"/>
          <w:sz w:val="36"/>
          <w:szCs w:val="36"/>
          <w:lang w:eastAsia="en-GB"/>
          <w14:ligatures w14:val="none"/>
        </w:rPr>
        <w:lastRenderedPageBreak/>
        <w:t>Reference List</w:t>
      </w:r>
      <w:bookmarkEnd w:id="6"/>
    </w:p>
    <w:p w14:paraId="3B7C6657" w14:textId="645D6358"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Birmingham Safeguarding Children Partnership (2023) </w:t>
      </w:r>
      <w:r w:rsidRPr="00903B5D">
        <w:rPr>
          <w:rFonts w:ascii="Arial" w:eastAsia="Times New Roman" w:hAnsi="Arial" w:cs="Arial"/>
          <w:i/>
          <w:iCs/>
          <w:color w:val="000000"/>
          <w:kern w:val="0"/>
          <w:sz w:val="27"/>
          <w:szCs w:val="27"/>
          <w:lang w:eastAsia="en-GB"/>
          <w14:ligatures w14:val="none"/>
        </w:rPr>
        <w:t>Child safeguarding practice review into the death of Adult A (BSCP 2020/21-02).</w:t>
      </w:r>
      <w:r w:rsidRPr="00903B5D">
        <w:rPr>
          <w:rFonts w:ascii="Arial" w:eastAsia="Times New Roman" w:hAnsi="Arial" w:cs="Arial"/>
          <w:color w:val="000000"/>
          <w:kern w:val="0"/>
          <w:sz w:val="27"/>
          <w:szCs w:val="27"/>
          <w:lang w:eastAsia="en-GB"/>
          <w14:ligatures w14:val="none"/>
        </w:rPr>
        <w:t> Birmingham: Birmingham Safeguarding Children Partnership. Available at: </w:t>
      </w:r>
      <w:hyperlink r:id="rId4" w:history="1">
        <w:r w:rsidRPr="00903B5D">
          <w:rPr>
            <w:rFonts w:ascii="Arial" w:eastAsia="Times New Roman" w:hAnsi="Arial" w:cs="Arial"/>
            <w:color w:val="0000FF"/>
            <w:kern w:val="0"/>
            <w:sz w:val="27"/>
            <w:szCs w:val="27"/>
            <w:u w:val="single"/>
            <w:lang w:eastAsia="en-GB"/>
            <w14:ligatures w14:val="none"/>
          </w:rPr>
          <w:t>https://lscpbirmingham.org.uk/wp-con</w:t>
        </w:r>
        <w:r w:rsidRPr="00903B5D">
          <w:rPr>
            <w:rFonts w:ascii="Arial" w:eastAsia="Times New Roman" w:hAnsi="Arial" w:cs="Arial"/>
            <w:color w:val="0000FF"/>
            <w:kern w:val="0"/>
            <w:sz w:val="27"/>
            <w:szCs w:val="27"/>
            <w:u w:val="single"/>
            <w:lang w:eastAsia="en-GB"/>
            <w14:ligatures w14:val="none"/>
          </w:rPr>
          <w:t>t</w:t>
        </w:r>
        <w:r w:rsidRPr="00903B5D">
          <w:rPr>
            <w:rFonts w:ascii="Arial" w:eastAsia="Times New Roman" w:hAnsi="Arial" w:cs="Arial"/>
            <w:color w:val="0000FF"/>
            <w:kern w:val="0"/>
            <w:sz w:val="27"/>
            <w:szCs w:val="27"/>
            <w:u w:val="single"/>
            <w:lang w:eastAsia="en-GB"/>
            <w14:ligatures w14:val="none"/>
          </w:rPr>
          <w:t>ent/uploads/2023/10/BSCP-2020-21-02-Child-A-CSPR.pdf</w:t>
        </w:r>
      </w:hyperlink>
      <w:r w:rsidRPr="00903B5D">
        <w:rPr>
          <w:rFonts w:ascii="Arial" w:eastAsia="Times New Roman" w:hAnsi="Arial" w:cs="Arial"/>
          <w:color w:val="000000"/>
          <w:kern w:val="0"/>
          <w:sz w:val="27"/>
          <w:szCs w:val="27"/>
          <w:lang w:eastAsia="en-GB"/>
          <w14:ligatures w14:val="none"/>
        </w:rPr>
        <w:t xml:space="preserve"> </w:t>
      </w:r>
    </w:p>
    <w:p w14:paraId="2E6EE143" w14:textId="1F993EDB"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 xml:space="preserve">Brandon, M., Sidebotham, P., Bailey, S. and </w:t>
      </w:r>
      <w:proofErr w:type="spellStart"/>
      <w:r w:rsidRPr="00903B5D">
        <w:rPr>
          <w:rFonts w:ascii="Arial" w:eastAsia="Times New Roman" w:hAnsi="Arial" w:cs="Arial"/>
          <w:color w:val="000000"/>
          <w:kern w:val="0"/>
          <w:sz w:val="27"/>
          <w:szCs w:val="27"/>
          <w:lang w:eastAsia="en-GB"/>
          <w14:ligatures w14:val="none"/>
        </w:rPr>
        <w:t>Belderson</w:t>
      </w:r>
      <w:proofErr w:type="spellEnd"/>
      <w:r w:rsidRPr="00903B5D">
        <w:rPr>
          <w:rFonts w:ascii="Arial" w:eastAsia="Times New Roman" w:hAnsi="Arial" w:cs="Arial"/>
          <w:color w:val="000000"/>
          <w:kern w:val="0"/>
          <w:sz w:val="27"/>
          <w:szCs w:val="27"/>
          <w:lang w:eastAsia="en-GB"/>
          <w14:ligatures w14:val="none"/>
        </w:rPr>
        <w:t>, P. (2011) </w:t>
      </w:r>
      <w:r w:rsidRPr="00903B5D">
        <w:rPr>
          <w:rFonts w:ascii="Arial" w:eastAsia="Times New Roman" w:hAnsi="Arial" w:cs="Arial"/>
          <w:i/>
          <w:iCs/>
          <w:color w:val="000000"/>
          <w:kern w:val="0"/>
          <w:sz w:val="27"/>
          <w:szCs w:val="27"/>
          <w:lang w:eastAsia="en-GB"/>
          <w14:ligatures w14:val="none"/>
        </w:rPr>
        <w:t>A study of recommendations arising from serious case reviews 2009–2010.</w:t>
      </w:r>
      <w:r w:rsidRPr="00903B5D">
        <w:rPr>
          <w:rFonts w:ascii="Arial" w:eastAsia="Times New Roman" w:hAnsi="Arial" w:cs="Arial"/>
          <w:color w:val="000000"/>
          <w:kern w:val="0"/>
          <w:sz w:val="27"/>
          <w:szCs w:val="27"/>
          <w:lang w:eastAsia="en-GB"/>
          <w14:ligatures w14:val="none"/>
        </w:rPr>
        <w:t> London: Department for Education. Available at: </w:t>
      </w:r>
      <w:hyperlink r:id="rId5" w:history="1">
        <w:r w:rsidRPr="00903B5D">
          <w:rPr>
            <w:rFonts w:ascii="Arial" w:eastAsia="Times New Roman" w:hAnsi="Arial" w:cs="Arial"/>
            <w:color w:val="0000FF"/>
            <w:kern w:val="0"/>
            <w:sz w:val="27"/>
            <w:szCs w:val="27"/>
            <w:u w:val="single"/>
            <w:lang w:eastAsia="en-GB"/>
            <w14:ligatures w14:val="none"/>
          </w:rPr>
          <w:t>https://dera.ioe.ac.</w:t>
        </w:r>
        <w:r w:rsidRPr="00903B5D">
          <w:rPr>
            <w:rFonts w:ascii="Arial" w:eastAsia="Times New Roman" w:hAnsi="Arial" w:cs="Arial"/>
            <w:color w:val="0000FF"/>
            <w:kern w:val="0"/>
            <w:sz w:val="27"/>
            <w:szCs w:val="27"/>
            <w:u w:val="single"/>
            <w:lang w:eastAsia="en-GB"/>
            <w14:ligatures w14:val="none"/>
          </w:rPr>
          <w:t>u</w:t>
        </w:r>
        <w:r w:rsidRPr="00903B5D">
          <w:rPr>
            <w:rFonts w:ascii="Arial" w:eastAsia="Times New Roman" w:hAnsi="Arial" w:cs="Arial"/>
            <w:color w:val="0000FF"/>
            <w:kern w:val="0"/>
            <w:sz w:val="27"/>
            <w:szCs w:val="27"/>
            <w:u w:val="single"/>
            <w:lang w:eastAsia="en-GB"/>
            <w14:ligatures w14:val="none"/>
          </w:rPr>
          <w:t>k/id/eprint/13684/1/DFE-RR157.pdf</w:t>
        </w:r>
      </w:hyperlink>
      <w:r w:rsidRPr="00903B5D">
        <w:rPr>
          <w:rFonts w:ascii="Arial" w:eastAsia="Times New Roman" w:hAnsi="Arial" w:cs="Arial"/>
          <w:color w:val="000000"/>
          <w:kern w:val="0"/>
          <w:sz w:val="27"/>
          <w:szCs w:val="27"/>
          <w:lang w:eastAsia="en-GB"/>
          <w14:ligatures w14:val="none"/>
        </w:rPr>
        <w:t xml:space="preserve"> </w:t>
      </w:r>
    </w:p>
    <w:p w14:paraId="6EC49005" w14:textId="28436DE3"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Children Act 1989, c. 41. Available at: </w:t>
      </w:r>
      <w:hyperlink r:id="rId6" w:history="1">
        <w:r w:rsidRPr="00903B5D">
          <w:rPr>
            <w:rFonts w:ascii="Arial" w:eastAsia="Times New Roman" w:hAnsi="Arial" w:cs="Arial"/>
            <w:color w:val="0000FF"/>
            <w:kern w:val="0"/>
            <w:sz w:val="27"/>
            <w:szCs w:val="27"/>
            <w:u w:val="single"/>
            <w:lang w:eastAsia="en-GB"/>
            <w14:ligatures w14:val="none"/>
          </w:rPr>
          <w:t>https://www.legisla</w:t>
        </w:r>
        <w:r w:rsidRPr="00903B5D">
          <w:rPr>
            <w:rFonts w:ascii="Arial" w:eastAsia="Times New Roman" w:hAnsi="Arial" w:cs="Arial"/>
            <w:color w:val="0000FF"/>
            <w:kern w:val="0"/>
            <w:sz w:val="27"/>
            <w:szCs w:val="27"/>
            <w:u w:val="single"/>
            <w:lang w:eastAsia="en-GB"/>
            <w14:ligatures w14:val="none"/>
          </w:rPr>
          <w:t>t</w:t>
        </w:r>
        <w:r w:rsidRPr="00903B5D">
          <w:rPr>
            <w:rFonts w:ascii="Arial" w:eastAsia="Times New Roman" w:hAnsi="Arial" w:cs="Arial"/>
            <w:color w:val="0000FF"/>
            <w:kern w:val="0"/>
            <w:sz w:val="27"/>
            <w:szCs w:val="27"/>
            <w:u w:val="single"/>
            <w:lang w:eastAsia="en-GB"/>
            <w14:ligatures w14:val="none"/>
          </w:rPr>
          <w:t>ion.gov.uk/ukpga/1989/41/contents</w:t>
        </w:r>
      </w:hyperlink>
      <w:r w:rsidRPr="00903B5D">
        <w:rPr>
          <w:rFonts w:ascii="Arial" w:eastAsia="Times New Roman" w:hAnsi="Arial" w:cs="Arial"/>
          <w:color w:val="000000"/>
          <w:kern w:val="0"/>
          <w:sz w:val="27"/>
          <w:szCs w:val="27"/>
          <w:lang w:eastAsia="en-GB"/>
          <w14:ligatures w14:val="none"/>
        </w:rPr>
        <w:t xml:space="preserve">  </w:t>
      </w:r>
    </w:p>
    <w:p w14:paraId="05D5F101" w14:textId="39EE0560"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Children Act 2004, c. 31. Available at: </w:t>
      </w:r>
      <w:hyperlink r:id="rId7" w:history="1">
        <w:r w:rsidRPr="00903B5D">
          <w:rPr>
            <w:rFonts w:ascii="Arial" w:eastAsia="Times New Roman" w:hAnsi="Arial" w:cs="Arial"/>
            <w:color w:val="0000FF"/>
            <w:kern w:val="0"/>
            <w:sz w:val="27"/>
            <w:szCs w:val="27"/>
            <w:u w:val="single"/>
            <w:lang w:eastAsia="en-GB"/>
            <w14:ligatures w14:val="none"/>
          </w:rPr>
          <w:t>https://www.le</w:t>
        </w:r>
        <w:r w:rsidRPr="00903B5D">
          <w:rPr>
            <w:rFonts w:ascii="Arial" w:eastAsia="Times New Roman" w:hAnsi="Arial" w:cs="Arial"/>
            <w:color w:val="0000FF"/>
            <w:kern w:val="0"/>
            <w:sz w:val="27"/>
            <w:szCs w:val="27"/>
            <w:u w:val="single"/>
            <w:lang w:eastAsia="en-GB"/>
            <w14:ligatures w14:val="none"/>
          </w:rPr>
          <w:t>g</w:t>
        </w:r>
        <w:r w:rsidRPr="00903B5D">
          <w:rPr>
            <w:rFonts w:ascii="Arial" w:eastAsia="Times New Roman" w:hAnsi="Arial" w:cs="Arial"/>
            <w:color w:val="0000FF"/>
            <w:kern w:val="0"/>
            <w:sz w:val="27"/>
            <w:szCs w:val="27"/>
            <w:u w:val="single"/>
            <w:lang w:eastAsia="en-GB"/>
            <w14:ligatures w14:val="none"/>
          </w:rPr>
          <w:t>islation.gov.uk/ukpga/2004/31/contents</w:t>
        </w:r>
      </w:hyperlink>
      <w:r w:rsidRPr="00903B5D">
        <w:rPr>
          <w:rFonts w:ascii="Arial" w:eastAsia="Times New Roman" w:hAnsi="Arial" w:cs="Arial"/>
          <w:color w:val="000000"/>
          <w:kern w:val="0"/>
          <w:sz w:val="27"/>
          <w:szCs w:val="27"/>
          <w:lang w:eastAsia="en-GB"/>
          <w14:ligatures w14:val="none"/>
        </w:rPr>
        <w:t xml:space="preserve"> </w:t>
      </w:r>
    </w:p>
    <w:p w14:paraId="7B8B571A" w14:textId="4B2FF249"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Department for Education (2023) </w:t>
      </w:r>
      <w:r w:rsidRPr="00903B5D">
        <w:rPr>
          <w:rFonts w:ascii="Arial" w:eastAsia="Times New Roman" w:hAnsi="Arial" w:cs="Arial"/>
          <w:i/>
          <w:iCs/>
          <w:color w:val="000000"/>
          <w:kern w:val="0"/>
          <w:sz w:val="27"/>
          <w:szCs w:val="27"/>
          <w:lang w:eastAsia="en-GB"/>
          <w14:ligatures w14:val="none"/>
        </w:rPr>
        <w:t>Working together to safeguard children 2023: a guide to multi-agency working to help, protect and promote the welfare of children.</w:t>
      </w:r>
      <w:r w:rsidRPr="00903B5D">
        <w:rPr>
          <w:rFonts w:ascii="Arial" w:eastAsia="Times New Roman" w:hAnsi="Arial" w:cs="Arial"/>
          <w:color w:val="000000"/>
          <w:kern w:val="0"/>
          <w:sz w:val="27"/>
          <w:szCs w:val="27"/>
          <w:lang w:eastAsia="en-GB"/>
          <w14:ligatures w14:val="none"/>
        </w:rPr>
        <w:t> London: Department for Education. Available at: </w:t>
      </w:r>
      <w:hyperlink r:id="rId8" w:history="1">
        <w:r w:rsidRPr="00903B5D">
          <w:rPr>
            <w:rFonts w:ascii="Arial" w:eastAsia="Times New Roman" w:hAnsi="Arial" w:cs="Arial"/>
            <w:color w:val="0000FF"/>
            <w:kern w:val="0"/>
            <w:sz w:val="27"/>
            <w:szCs w:val="27"/>
            <w:u w:val="single"/>
            <w:lang w:eastAsia="en-GB"/>
            <w14:ligatures w14:val="none"/>
          </w:rPr>
          <w:t>https://www.gov.uk/govern</w:t>
        </w:r>
        <w:r w:rsidRPr="00903B5D">
          <w:rPr>
            <w:rFonts w:ascii="Arial" w:eastAsia="Times New Roman" w:hAnsi="Arial" w:cs="Arial"/>
            <w:color w:val="0000FF"/>
            <w:kern w:val="0"/>
            <w:sz w:val="27"/>
            <w:szCs w:val="27"/>
            <w:u w:val="single"/>
            <w:lang w:eastAsia="en-GB"/>
            <w14:ligatures w14:val="none"/>
          </w:rPr>
          <w:t>m</w:t>
        </w:r>
        <w:r w:rsidRPr="00903B5D">
          <w:rPr>
            <w:rFonts w:ascii="Arial" w:eastAsia="Times New Roman" w:hAnsi="Arial" w:cs="Arial"/>
            <w:color w:val="0000FF"/>
            <w:kern w:val="0"/>
            <w:sz w:val="27"/>
            <w:szCs w:val="27"/>
            <w:u w:val="single"/>
            <w:lang w:eastAsia="en-GB"/>
            <w14:ligatures w14:val="none"/>
          </w:rPr>
          <w:t>ent/publications/working-together-to-safeguard-children--2</w:t>
        </w:r>
      </w:hyperlink>
      <w:r w:rsidRPr="00903B5D">
        <w:rPr>
          <w:rFonts w:ascii="Arial" w:eastAsia="Times New Roman" w:hAnsi="Arial" w:cs="Arial"/>
          <w:color w:val="000000"/>
          <w:kern w:val="0"/>
          <w:sz w:val="27"/>
          <w:szCs w:val="27"/>
          <w:lang w:eastAsia="en-GB"/>
          <w14:ligatures w14:val="none"/>
        </w:rPr>
        <w:t> </w:t>
      </w:r>
    </w:p>
    <w:p w14:paraId="2B9972F0" w14:textId="77777777"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Felitti, V.J., Anda, R.F., Nordenberg, D., Williamson, D.F., Spitz, A.M., Edwards, V., Koss, M.P. and Marks, J.S. (1998) ‘Relationship of childhood abuse and household dysfunction to many of the leading causes of death in adults: the Adverse Childhood Experiences (ACE) Study’, </w:t>
      </w:r>
      <w:r w:rsidRPr="00903B5D">
        <w:rPr>
          <w:rFonts w:ascii="Arial" w:eastAsia="Times New Roman" w:hAnsi="Arial" w:cs="Arial"/>
          <w:i/>
          <w:iCs/>
          <w:color w:val="000000"/>
          <w:kern w:val="0"/>
          <w:sz w:val="27"/>
          <w:szCs w:val="27"/>
          <w:lang w:eastAsia="en-GB"/>
          <w14:ligatures w14:val="none"/>
        </w:rPr>
        <w:t>American Journal of Preventive Medicine</w:t>
      </w:r>
      <w:r w:rsidRPr="00903B5D">
        <w:rPr>
          <w:rFonts w:ascii="Arial" w:eastAsia="Times New Roman" w:hAnsi="Arial" w:cs="Arial"/>
          <w:color w:val="000000"/>
          <w:kern w:val="0"/>
          <w:sz w:val="27"/>
          <w:szCs w:val="27"/>
          <w:lang w:eastAsia="en-GB"/>
          <w14:ligatures w14:val="none"/>
        </w:rPr>
        <w:t>, 14(4), pp. 245–258. Available at: </w:t>
      </w:r>
      <w:hyperlink r:id="rId9" w:history="1">
        <w:r w:rsidRPr="00903B5D">
          <w:rPr>
            <w:rFonts w:ascii="Arial" w:eastAsia="Times New Roman" w:hAnsi="Arial" w:cs="Arial"/>
            <w:color w:val="0000FF"/>
            <w:kern w:val="0"/>
            <w:sz w:val="27"/>
            <w:szCs w:val="27"/>
            <w:u w:val="single"/>
            <w:lang w:eastAsia="en-GB"/>
            <w14:ligatures w14:val="none"/>
          </w:rPr>
          <w:t>https:/</w:t>
        </w:r>
        <w:r w:rsidRPr="00903B5D">
          <w:rPr>
            <w:rFonts w:ascii="Arial" w:eastAsia="Times New Roman" w:hAnsi="Arial" w:cs="Arial"/>
            <w:color w:val="0000FF"/>
            <w:kern w:val="0"/>
            <w:sz w:val="27"/>
            <w:szCs w:val="27"/>
            <w:u w:val="single"/>
            <w:lang w:eastAsia="en-GB"/>
            <w14:ligatures w14:val="none"/>
          </w:rPr>
          <w:t>/</w:t>
        </w:r>
        <w:r w:rsidRPr="00903B5D">
          <w:rPr>
            <w:rFonts w:ascii="Arial" w:eastAsia="Times New Roman" w:hAnsi="Arial" w:cs="Arial"/>
            <w:color w:val="0000FF"/>
            <w:kern w:val="0"/>
            <w:sz w:val="27"/>
            <w:szCs w:val="27"/>
            <w:u w:val="single"/>
            <w:lang w:eastAsia="en-GB"/>
            <w14:ligatures w14:val="none"/>
          </w:rPr>
          <w:t>doi.org/10.1016/S0749-3797(98)00017-8</w:t>
        </w:r>
      </w:hyperlink>
      <w:r w:rsidRPr="00903B5D">
        <w:rPr>
          <w:rFonts w:ascii="Arial" w:eastAsia="Times New Roman" w:hAnsi="Arial" w:cs="Arial"/>
          <w:color w:val="000000"/>
          <w:kern w:val="0"/>
          <w:sz w:val="27"/>
          <w:szCs w:val="27"/>
          <w:lang w:eastAsia="en-GB"/>
          <w14:ligatures w14:val="none"/>
        </w:rPr>
        <w:t>.</w:t>
      </w:r>
    </w:p>
    <w:p w14:paraId="38DB29A5" w14:textId="684B8B9F"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Human Rights Act 1998, c. 42. Available at: </w:t>
      </w:r>
      <w:hyperlink r:id="rId10" w:history="1">
        <w:r w:rsidRPr="00903B5D">
          <w:rPr>
            <w:rFonts w:ascii="Arial" w:eastAsia="Times New Roman" w:hAnsi="Arial" w:cs="Arial"/>
            <w:color w:val="0000FF"/>
            <w:kern w:val="0"/>
            <w:sz w:val="27"/>
            <w:szCs w:val="27"/>
            <w:u w:val="single"/>
            <w:lang w:eastAsia="en-GB"/>
            <w14:ligatures w14:val="none"/>
          </w:rPr>
          <w:t>https://www.legislation.gov.uk</w:t>
        </w:r>
        <w:r w:rsidRPr="00903B5D">
          <w:rPr>
            <w:rFonts w:ascii="Arial" w:eastAsia="Times New Roman" w:hAnsi="Arial" w:cs="Arial"/>
            <w:color w:val="0000FF"/>
            <w:kern w:val="0"/>
            <w:sz w:val="27"/>
            <w:szCs w:val="27"/>
            <w:u w:val="single"/>
            <w:lang w:eastAsia="en-GB"/>
            <w14:ligatures w14:val="none"/>
          </w:rPr>
          <w:t>/</w:t>
        </w:r>
        <w:r w:rsidRPr="00903B5D">
          <w:rPr>
            <w:rFonts w:ascii="Arial" w:eastAsia="Times New Roman" w:hAnsi="Arial" w:cs="Arial"/>
            <w:color w:val="0000FF"/>
            <w:kern w:val="0"/>
            <w:sz w:val="27"/>
            <w:szCs w:val="27"/>
            <w:u w:val="single"/>
            <w:lang w:eastAsia="en-GB"/>
            <w14:ligatures w14:val="none"/>
          </w:rPr>
          <w:t>ukpga/1998/42/contents</w:t>
        </w:r>
      </w:hyperlink>
      <w:r w:rsidRPr="00903B5D">
        <w:rPr>
          <w:rFonts w:ascii="Arial" w:eastAsia="Times New Roman" w:hAnsi="Arial" w:cs="Arial"/>
          <w:color w:val="000000"/>
          <w:kern w:val="0"/>
          <w:sz w:val="27"/>
          <w:szCs w:val="27"/>
          <w:lang w:eastAsia="en-GB"/>
          <w14:ligatures w14:val="none"/>
        </w:rPr>
        <w:t> </w:t>
      </w:r>
    </w:p>
    <w:p w14:paraId="4AD96B38" w14:textId="77777777"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 xml:space="preserve">Hughes, K., Bellis, M.A., Hardcastle, K.A., Sethi, D., Butchart, A., </w:t>
      </w:r>
      <w:proofErr w:type="spellStart"/>
      <w:r w:rsidRPr="00903B5D">
        <w:rPr>
          <w:rFonts w:ascii="Arial" w:eastAsia="Times New Roman" w:hAnsi="Arial" w:cs="Arial"/>
          <w:color w:val="000000"/>
          <w:kern w:val="0"/>
          <w:sz w:val="27"/>
          <w:szCs w:val="27"/>
          <w:lang w:eastAsia="en-GB"/>
          <w14:ligatures w14:val="none"/>
        </w:rPr>
        <w:t>Mikton</w:t>
      </w:r>
      <w:proofErr w:type="spellEnd"/>
      <w:r w:rsidRPr="00903B5D">
        <w:rPr>
          <w:rFonts w:ascii="Arial" w:eastAsia="Times New Roman" w:hAnsi="Arial" w:cs="Arial"/>
          <w:color w:val="000000"/>
          <w:kern w:val="0"/>
          <w:sz w:val="27"/>
          <w:szCs w:val="27"/>
          <w:lang w:eastAsia="en-GB"/>
          <w14:ligatures w14:val="none"/>
        </w:rPr>
        <w:t>, C., Jones, L. and Dunne, M.P. (2017) ‘The effect of multiple adverse childhood experiences on health: a systematic review and meta-analysis’, </w:t>
      </w:r>
      <w:r w:rsidRPr="00903B5D">
        <w:rPr>
          <w:rFonts w:ascii="Arial" w:eastAsia="Times New Roman" w:hAnsi="Arial" w:cs="Arial"/>
          <w:i/>
          <w:iCs/>
          <w:color w:val="000000"/>
          <w:kern w:val="0"/>
          <w:sz w:val="27"/>
          <w:szCs w:val="27"/>
          <w:lang w:eastAsia="en-GB"/>
          <w14:ligatures w14:val="none"/>
        </w:rPr>
        <w:t>The Lancet Public Health</w:t>
      </w:r>
      <w:r w:rsidRPr="00903B5D">
        <w:rPr>
          <w:rFonts w:ascii="Arial" w:eastAsia="Times New Roman" w:hAnsi="Arial" w:cs="Arial"/>
          <w:color w:val="000000"/>
          <w:kern w:val="0"/>
          <w:sz w:val="27"/>
          <w:szCs w:val="27"/>
          <w:lang w:eastAsia="en-GB"/>
          <w14:ligatures w14:val="none"/>
        </w:rPr>
        <w:t>, 2(8), pp. e356–e366. Available at: </w:t>
      </w:r>
      <w:hyperlink r:id="rId11" w:history="1">
        <w:r w:rsidRPr="00903B5D">
          <w:rPr>
            <w:rFonts w:ascii="Arial" w:eastAsia="Times New Roman" w:hAnsi="Arial" w:cs="Arial"/>
            <w:color w:val="0000FF"/>
            <w:kern w:val="0"/>
            <w:sz w:val="27"/>
            <w:szCs w:val="27"/>
            <w:u w:val="single"/>
            <w:lang w:eastAsia="en-GB"/>
            <w14:ligatures w14:val="none"/>
          </w:rPr>
          <w:t>https://doi.or</w:t>
        </w:r>
        <w:r w:rsidRPr="00903B5D">
          <w:rPr>
            <w:rFonts w:ascii="Arial" w:eastAsia="Times New Roman" w:hAnsi="Arial" w:cs="Arial"/>
            <w:color w:val="0000FF"/>
            <w:kern w:val="0"/>
            <w:sz w:val="27"/>
            <w:szCs w:val="27"/>
            <w:u w:val="single"/>
            <w:lang w:eastAsia="en-GB"/>
            <w14:ligatures w14:val="none"/>
          </w:rPr>
          <w:t>g</w:t>
        </w:r>
        <w:r w:rsidRPr="00903B5D">
          <w:rPr>
            <w:rFonts w:ascii="Arial" w:eastAsia="Times New Roman" w:hAnsi="Arial" w:cs="Arial"/>
            <w:color w:val="0000FF"/>
            <w:kern w:val="0"/>
            <w:sz w:val="27"/>
            <w:szCs w:val="27"/>
            <w:u w:val="single"/>
            <w:lang w:eastAsia="en-GB"/>
            <w14:ligatures w14:val="none"/>
          </w:rPr>
          <w:t>/10.1016/S2468-2667(17)30118-4</w:t>
        </w:r>
      </w:hyperlink>
      <w:r w:rsidRPr="00903B5D">
        <w:rPr>
          <w:rFonts w:ascii="Arial" w:eastAsia="Times New Roman" w:hAnsi="Arial" w:cs="Arial"/>
          <w:color w:val="000000"/>
          <w:kern w:val="0"/>
          <w:sz w:val="27"/>
          <w:szCs w:val="27"/>
          <w:lang w:eastAsia="en-GB"/>
          <w14:ligatures w14:val="none"/>
        </w:rPr>
        <w:t>.</w:t>
      </w:r>
    </w:p>
    <w:p w14:paraId="11F319BD" w14:textId="681761E7" w:rsidR="00E80BBC" w:rsidRPr="00903B5D" w:rsidRDefault="00E80BBC" w:rsidP="00E80BBC">
      <w:pPr>
        <w:spacing w:before="100" w:beforeAutospacing="1" w:after="100" w:afterAutospacing="1" w:line="240" w:lineRule="auto"/>
        <w:rPr>
          <w:rFonts w:ascii="Arial" w:eastAsia="Times New Roman" w:hAnsi="Arial" w:cs="Arial"/>
          <w:color w:val="000000"/>
          <w:kern w:val="0"/>
          <w:sz w:val="27"/>
          <w:szCs w:val="27"/>
          <w:lang w:eastAsia="en-GB"/>
          <w14:ligatures w14:val="none"/>
        </w:rPr>
      </w:pPr>
      <w:r w:rsidRPr="00903B5D">
        <w:rPr>
          <w:rFonts w:ascii="Arial" w:eastAsia="Times New Roman" w:hAnsi="Arial" w:cs="Arial"/>
          <w:color w:val="000000"/>
          <w:kern w:val="0"/>
          <w:sz w:val="27"/>
          <w:szCs w:val="27"/>
          <w:lang w:eastAsia="en-GB"/>
          <w14:ligatures w14:val="none"/>
        </w:rPr>
        <w:t>National Institute for Health and Care Excellence (2017) </w:t>
      </w:r>
      <w:r w:rsidRPr="00903B5D">
        <w:rPr>
          <w:rFonts w:ascii="Arial" w:eastAsia="Times New Roman" w:hAnsi="Arial" w:cs="Arial"/>
          <w:i/>
          <w:iCs/>
          <w:color w:val="000000"/>
          <w:kern w:val="0"/>
          <w:sz w:val="27"/>
          <w:szCs w:val="27"/>
          <w:lang w:eastAsia="en-GB"/>
          <w14:ligatures w14:val="none"/>
        </w:rPr>
        <w:t>Child abuse and neglect.</w:t>
      </w:r>
      <w:r w:rsidRPr="00903B5D">
        <w:rPr>
          <w:rFonts w:ascii="Arial" w:eastAsia="Times New Roman" w:hAnsi="Arial" w:cs="Arial"/>
          <w:color w:val="000000"/>
          <w:kern w:val="0"/>
          <w:sz w:val="27"/>
          <w:szCs w:val="27"/>
          <w:lang w:eastAsia="en-GB"/>
          <w14:ligatures w14:val="none"/>
        </w:rPr>
        <w:t> NICE guideline NG76. Available at: </w:t>
      </w:r>
      <w:hyperlink r:id="rId12" w:history="1">
        <w:r w:rsidRPr="00903B5D">
          <w:rPr>
            <w:rFonts w:ascii="Arial" w:eastAsia="Times New Roman" w:hAnsi="Arial" w:cs="Arial"/>
            <w:color w:val="0000FF"/>
            <w:kern w:val="0"/>
            <w:sz w:val="27"/>
            <w:szCs w:val="27"/>
            <w:u w:val="single"/>
            <w:lang w:eastAsia="en-GB"/>
            <w14:ligatures w14:val="none"/>
          </w:rPr>
          <w:t>https://www.nice.org.uk/guid</w:t>
        </w:r>
        <w:r w:rsidRPr="00903B5D">
          <w:rPr>
            <w:rFonts w:ascii="Arial" w:eastAsia="Times New Roman" w:hAnsi="Arial" w:cs="Arial"/>
            <w:color w:val="0000FF"/>
            <w:kern w:val="0"/>
            <w:sz w:val="27"/>
            <w:szCs w:val="27"/>
            <w:u w:val="single"/>
            <w:lang w:eastAsia="en-GB"/>
            <w14:ligatures w14:val="none"/>
          </w:rPr>
          <w:t>a</w:t>
        </w:r>
        <w:r w:rsidRPr="00903B5D">
          <w:rPr>
            <w:rFonts w:ascii="Arial" w:eastAsia="Times New Roman" w:hAnsi="Arial" w:cs="Arial"/>
            <w:color w:val="0000FF"/>
            <w:kern w:val="0"/>
            <w:sz w:val="27"/>
            <w:szCs w:val="27"/>
            <w:u w:val="single"/>
            <w:lang w:eastAsia="en-GB"/>
            <w14:ligatures w14:val="none"/>
          </w:rPr>
          <w:t>nce/ng76</w:t>
        </w:r>
      </w:hyperlink>
      <w:r w:rsidRPr="00903B5D">
        <w:rPr>
          <w:rFonts w:ascii="Arial" w:eastAsia="Times New Roman" w:hAnsi="Arial" w:cs="Arial"/>
          <w:color w:val="000000"/>
          <w:kern w:val="0"/>
          <w:sz w:val="27"/>
          <w:szCs w:val="27"/>
          <w:lang w:eastAsia="en-GB"/>
          <w14:ligatures w14:val="none"/>
        </w:rPr>
        <w:t xml:space="preserve">  </w:t>
      </w:r>
    </w:p>
    <w:p w14:paraId="56DA35BA" w14:textId="77777777" w:rsidR="00E80BBC" w:rsidRDefault="00E80BBC"/>
    <w:sectPr w:rsidR="00E80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BBC"/>
    <w:rsid w:val="00006CB0"/>
    <w:rsid w:val="00072BBD"/>
    <w:rsid w:val="000D6484"/>
    <w:rsid w:val="00630EBC"/>
    <w:rsid w:val="006A5DBA"/>
    <w:rsid w:val="007E5E8A"/>
    <w:rsid w:val="00872261"/>
    <w:rsid w:val="00892B46"/>
    <w:rsid w:val="00903B5D"/>
    <w:rsid w:val="00E60B02"/>
    <w:rsid w:val="00E80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8255C9"/>
  <w15:chartTrackingRefBased/>
  <w15:docId w15:val="{AB2B60BC-983F-9E41-9024-A3AB631C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0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0B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B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B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B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B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B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B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B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0B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0B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B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B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BBC"/>
    <w:rPr>
      <w:rFonts w:eastAsiaTheme="majorEastAsia" w:cstheme="majorBidi"/>
      <w:color w:val="272727" w:themeColor="text1" w:themeTint="D8"/>
    </w:rPr>
  </w:style>
  <w:style w:type="paragraph" w:styleId="Title">
    <w:name w:val="Title"/>
    <w:basedOn w:val="Normal"/>
    <w:next w:val="Normal"/>
    <w:link w:val="TitleChar"/>
    <w:uiPriority w:val="10"/>
    <w:qFormat/>
    <w:rsid w:val="00E80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B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BBC"/>
    <w:pPr>
      <w:spacing w:before="160"/>
      <w:jc w:val="center"/>
    </w:pPr>
    <w:rPr>
      <w:i/>
      <w:iCs/>
      <w:color w:val="404040" w:themeColor="text1" w:themeTint="BF"/>
    </w:rPr>
  </w:style>
  <w:style w:type="character" w:customStyle="1" w:styleId="QuoteChar">
    <w:name w:val="Quote Char"/>
    <w:basedOn w:val="DefaultParagraphFont"/>
    <w:link w:val="Quote"/>
    <w:uiPriority w:val="29"/>
    <w:rsid w:val="00E80BBC"/>
    <w:rPr>
      <w:i/>
      <w:iCs/>
      <w:color w:val="404040" w:themeColor="text1" w:themeTint="BF"/>
    </w:rPr>
  </w:style>
  <w:style w:type="paragraph" w:styleId="ListParagraph">
    <w:name w:val="List Paragraph"/>
    <w:basedOn w:val="Normal"/>
    <w:uiPriority w:val="34"/>
    <w:qFormat/>
    <w:rsid w:val="00E80BBC"/>
    <w:pPr>
      <w:ind w:left="720"/>
      <w:contextualSpacing/>
    </w:pPr>
  </w:style>
  <w:style w:type="character" w:styleId="IntenseEmphasis">
    <w:name w:val="Intense Emphasis"/>
    <w:basedOn w:val="DefaultParagraphFont"/>
    <w:uiPriority w:val="21"/>
    <w:qFormat/>
    <w:rsid w:val="00E80BBC"/>
    <w:rPr>
      <w:i/>
      <w:iCs/>
      <w:color w:val="0F4761" w:themeColor="accent1" w:themeShade="BF"/>
    </w:rPr>
  </w:style>
  <w:style w:type="paragraph" w:styleId="IntenseQuote">
    <w:name w:val="Intense Quote"/>
    <w:basedOn w:val="Normal"/>
    <w:next w:val="Normal"/>
    <w:link w:val="IntenseQuoteChar"/>
    <w:uiPriority w:val="30"/>
    <w:qFormat/>
    <w:rsid w:val="00E80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BBC"/>
    <w:rPr>
      <w:i/>
      <w:iCs/>
      <w:color w:val="0F4761" w:themeColor="accent1" w:themeShade="BF"/>
    </w:rPr>
  </w:style>
  <w:style w:type="character" w:styleId="IntenseReference">
    <w:name w:val="Intense Reference"/>
    <w:basedOn w:val="DefaultParagraphFont"/>
    <w:uiPriority w:val="32"/>
    <w:qFormat/>
    <w:rsid w:val="00E80BBC"/>
    <w:rPr>
      <w:b/>
      <w:bCs/>
      <w:smallCaps/>
      <w:color w:val="0F4761" w:themeColor="accent1" w:themeShade="BF"/>
      <w:spacing w:val="5"/>
    </w:rPr>
  </w:style>
  <w:style w:type="paragraph" w:customStyle="1" w:styleId="msonormal0">
    <w:name w:val="msonormal"/>
    <w:basedOn w:val="Normal"/>
    <w:rsid w:val="00E80B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80BBC"/>
  </w:style>
  <w:style w:type="paragraph" w:styleId="NormalWeb">
    <w:name w:val="Normal (Web)"/>
    <w:basedOn w:val="Normal"/>
    <w:uiPriority w:val="99"/>
    <w:semiHidden/>
    <w:unhideWhenUsed/>
    <w:rsid w:val="00E80B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80BBC"/>
    <w:rPr>
      <w:color w:val="0000FF"/>
      <w:u w:val="single"/>
    </w:rPr>
  </w:style>
  <w:style w:type="character" w:styleId="FollowedHyperlink">
    <w:name w:val="FollowedHyperlink"/>
    <w:basedOn w:val="DefaultParagraphFont"/>
    <w:uiPriority w:val="99"/>
    <w:semiHidden/>
    <w:unhideWhenUsed/>
    <w:rsid w:val="00E80BBC"/>
    <w:rPr>
      <w:color w:val="800080"/>
      <w:u w:val="single"/>
    </w:rPr>
  </w:style>
  <w:style w:type="character" w:styleId="Strong">
    <w:name w:val="Strong"/>
    <w:basedOn w:val="DefaultParagraphFont"/>
    <w:uiPriority w:val="22"/>
    <w:qFormat/>
    <w:rsid w:val="00E80BBC"/>
    <w:rPr>
      <w:b/>
      <w:bCs/>
    </w:rPr>
  </w:style>
  <w:style w:type="character" w:styleId="Emphasis">
    <w:name w:val="Emphasis"/>
    <w:basedOn w:val="DefaultParagraphFont"/>
    <w:uiPriority w:val="20"/>
    <w:qFormat/>
    <w:rsid w:val="00E80BBC"/>
    <w:rPr>
      <w:i/>
      <w:iCs/>
    </w:rPr>
  </w:style>
  <w:style w:type="paragraph" w:styleId="TOCHeading">
    <w:name w:val="TOC Heading"/>
    <w:basedOn w:val="Heading1"/>
    <w:next w:val="Normal"/>
    <w:uiPriority w:val="39"/>
    <w:unhideWhenUsed/>
    <w:qFormat/>
    <w:rsid w:val="00903B5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03B5D"/>
    <w:pPr>
      <w:spacing w:before="120" w:after="0"/>
    </w:pPr>
    <w:rPr>
      <w:b/>
      <w:bCs/>
      <w:i/>
      <w:iCs/>
    </w:rPr>
  </w:style>
  <w:style w:type="paragraph" w:styleId="TOC2">
    <w:name w:val="toc 2"/>
    <w:basedOn w:val="Normal"/>
    <w:next w:val="Normal"/>
    <w:autoRedefine/>
    <w:uiPriority w:val="39"/>
    <w:unhideWhenUsed/>
    <w:rsid w:val="00903B5D"/>
    <w:pPr>
      <w:spacing w:before="120" w:after="0"/>
      <w:ind w:left="240"/>
    </w:pPr>
    <w:rPr>
      <w:b/>
      <w:bCs/>
      <w:sz w:val="22"/>
      <w:szCs w:val="22"/>
    </w:rPr>
  </w:style>
  <w:style w:type="paragraph" w:styleId="TOC3">
    <w:name w:val="toc 3"/>
    <w:basedOn w:val="Normal"/>
    <w:next w:val="Normal"/>
    <w:autoRedefine/>
    <w:uiPriority w:val="39"/>
    <w:semiHidden/>
    <w:unhideWhenUsed/>
    <w:rsid w:val="00903B5D"/>
    <w:pPr>
      <w:spacing w:after="0"/>
      <w:ind w:left="480"/>
    </w:pPr>
    <w:rPr>
      <w:sz w:val="20"/>
      <w:szCs w:val="20"/>
    </w:rPr>
  </w:style>
  <w:style w:type="paragraph" w:styleId="TOC4">
    <w:name w:val="toc 4"/>
    <w:basedOn w:val="Normal"/>
    <w:next w:val="Normal"/>
    <w:autoRedefine/>
    <w:uiPriority w:val="39"/>
    <w:semiHidden/>
    <w:unhideWhenUsed/>
    <w:rsid w:val="00903B5D"/>
    <w:pPr>
      <w:spacing w:after="0"/>
      <w:ind w:left="720"/>
    </w:pPr>
    <w:rPr>
      <w:sz w:val="20"/>
      <w:szCs w:val="20"/>
    </w:rPr>
  </w:style>
  <w:style w:type="paragraph" w:styleId="TOC5">
    <w:name w:val="toc 5"/>
    <w:basedOn w:val="Normal"/>
    <w:next w:val="Normal"/>
    <w:autoRedefine/>
    <w:uiPriority w:val="39"/>
    <w:semiHidden/>
    <w:unhideWhenUsed/>
    <w:rsid w:val="00903B5D"/>
    <w:pPr>
      <w:spacing w:after="0"/>
      <w:ind w:left="960"/>
    </w:pPr>
    <w:rPr>
      <w:sz w:val="20"/>
      <w:szCs w:val="20"/>
    </w:rPr>
  </w:style>
  <w:style w:type="paragraph" w:styleId="TOC6">
    <w:name w:val="toc 6"/>
    <w:basedOn w:val="Normal"/>
    <w:next w:val="Normal"/>
    <w:autoRedefine/>
    <w:uiPriority w:val="39"/>
    <w:semiHidden/>
    <w:unhideWhenUsed/>
    <w:rsid w:val="00903B5D"/>
    <w:pPr>
      <w:spacing w:after="0"/>
      <w:ind w:left="1200"/>
    </w:pPr>
    <w:rPr>
      <w:sz w:val="20"/>
      <w:szCs w:val="20"/>
    </w:rPr>
  </w:style>
  <w:style w:type="paragraph" w:styleId="TOC7">
    <w:name w:val="toc 7"/>
    <w:basedOn w:val="Normal"/>
    <w:next w:val="Normal"/>
    <w:autoRedefine/>
    <w:uiPriority w:val="39"/>
    <w:semiHidden/>
    <w:unhideWhenUsed/>
    <w:rsid w:val="00903B5D"/>
    <w:pPr>
      <w:spacing w:after="0"/>
      <w:ind w:left="1440"/>
    </w:pPr>
    <w:rPr>
      <w:sz w:val="20"/>
      <w:szCs w:val="20"/>
    </w:rPr>
  </w:style>
  <w:style w:type="paragraph" w:styleId="TOC8">
    <w:name w:val="toc 8"/>
    <w:basedOn w:val="Normal"/>
    <w:next w:val="Normal"/>
    <w:autoRedefine/>
    <w:uiPriority w:val="39"/>
    <w:semiHidden/>
    <w:unhideWhenUsed/>
    <w:rsid w:val="00903B5D"/>
    <w:pPr>
      <w:spacing w:after="0"/>
      <w:ind w:left="1680"/>
    </w:pPr>
    <w:rPr>
      <w:sz w:val="20"/>
      <w:szCs w:val="20"/>
    </w:rPr>
  </w:style>
  <w:style w:type="paragraph" w:styleId="TOC9">
    <w:name w:val="toc 9"/>
    <w:basedOn w:val="Normal"/>
    <w:next w:val="Normal"/>
    <w:autoRedefine/>
    <w:uiPriority w:val="39"/>
    <w:semiHidden/>
    <w:unhideWhenUsed/>
    <w:rsid w:val="00903B5D"/>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safeguard-children--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egislation.gov.uk/ukpga/2004/31/contents" TargetMode="External"/><Relationship Id="rId12" Type="http://schemas.openxmlformats.org/officeDocument/2006/relationships/hyperlink" Target="https://www.nice.org.uk/guidance/ng7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1989/41/contents" TargetMode="External"/><Relationship Id="rId11" Type="http://schemas.openxmlformats.org/officeDocument/2006/relationships/hyperlink" Target="https://doi.org/10.1016/S2468-2667(17)30118-4" TargetMode="External"/><Relationship Id="rId5" Type="http://schemas.openxmlformats.org/officeDocument/2006/relationships/hyperlink" Target="https://dera.ioe.ac.uk/id/eprint/13684/1/DFE-RR157.pdf" TargetMode="External"/><Relationship Id="rId10" Type="http://schemas.openxmlformats.org/officeDocument/2006/relationships/hyperlink" Target="https://www.legislation.gov.uk/ukpga/1998/42/contents" TargetMode="External"/><Relationship Id="rId4" Type="http://schemas.openxmlformats.org/officeDocument/2006/relationships/hyperlink" Target="https://lscpbirmingham.org.uk/wp-content/uploads/2023/10/BSCP-2020-21-02-Child-A-CSPR.pdf" TargetMode="External"/><Relationship Id="rId9" Type="http://schemas.openxmlformats.org/officeDocument/2006/relationships/hyperlink" Target="https://doi.org/10.1016/S0749-3797(98)00017-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2323</Words>
  <Characters>15315</Characters>
  <Application>Microsoft Office Word</Application>
  <DocSecurity>0</DocSecurity>
  <Lines>259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Giuliano Catania (2242264)</cp:lastModifiedBy>
  <cp:revision>1</cp:revision>
  <dcterms:created xsi:type="dcterms:W3CDTF">2026-10-12T15:24:00Z</dcterms:created>
  <dcterms:modified xsi:type="dcterms:W3CDTF">2026-10-12T15:48:00Z</dcterms:modified>
</cp:coreProperties>
</file>