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0E3327" w:rsidR="004A23D8" w:rsidP="00DC5DC6" w:rsidRDefault="000E3327" w14:paraId="3C9973A8" w14:textId="5426EBEC">
      <w:pPr>
        <w:pStyle w:val="Title"/>
        <w:spacing w:before="240" w:line="360" w:lineRule="auto"/>
        <w:jc w:val="center"/>
        <w:rPr>
          <w:rFonts w:ascii="Times New Roman" w:hAnsi="Times New Roman" w:cs="Times New Roman"/>
          <w:color w:val="5B9BD5" w:themeColor="accent1"/>
          <w:sz w:val="52"/>
          <w:szCs w:val="52"/>
          <w:u w:val="single"/>
        </w:rPr>
      </w:pPr>
      <w:r w:rsidRPr="000E3327">
        <w:rPr>
          <w:rFonts w:ascii="Times New Roman" w:hAnsi="Times New Roman" w:cs="Times New Roman"/>
          <w:color w:val="5B9BD5" w:themeColor="accent1"/>
          <w:sz w:val="52"/>
          <w:szCs w:val="52"/>
          <w:u w:val="single"/>
        </w:rPr>
        <w:t>PROJECT MANAGEMENT</w:t>
      </w:r>
    </w:p>
    <w:p w:rsidRPr="000E3327" w:rsidR="00DC5DC6" w:rsidP="00DC5DC6" w:rsidRDefault="000E3327" w14:paraId="65F6CE51" w14:textId="46D5B776">
      <w:pPr>
        <w:pStyle w:val="Title"/>
        <w:spacing w:before="240" w:line="360" w:lineRule="auto"/>
        <w:jc w:val="center"/>
        <w:rPr>
          <w:rFonts w:ascii="Times New Roman" w:hAnsi="Times New Roman" w:cs="Times New Roman"/>
          <w:color w:val="5B9BD5" w:themeColor="accent1"/>
          <w:sz w:val="52"/>
          <w:szCs w:val="52"/>
          <w:u w:val="single"/>
        </w:rPr>
      </w:pPr>
      <w:r w:rsidRPr="000E3327">
        <w:rPr>
          <w:rFonts w:ascii="Times New Roman" w:hAnsi="Times New Roman" w:cs="Times New Roman"/>
          <w:color w:val="5B9BD5" w:themeColor="accent1"/>
          <w:sz w:val="52"/>
          <w:szCs w:val="52"/>
          <w:u w:val="single"/>
        </w:rPr>
        <w:t>COMPONENT 2: COURSEWORK: ESSAY</w:t>
      </w:r>
    </w:p>
    <w:p w:rsidR="00DC5DC6" w:rsidP="00DC5DC6" w:rsidRDefault="00DC5DC6" w14:paraId="4855F4E8" w14:textId="77777777">
      <w:pPr>
        <w:spacing w:before="240" w:line="360" w:lineRule="auto"/>
        <w:jc w:val="center"/>
        <w:rPr>
          <w:rFonts w:ascii="Times New Roman" w:hAnsi="Times New Roman" w:cs="Times New Roman"/>
          <w:sz w:val="24"/>
          <w:szCs w:val="24"/>
        </w:rPr>
      </w:pPr>
    </w:p>
    <w:p w:rsidR="00DC5DC6" w:rsidP="00DC5DC6" w:rsidRDefault="00DC5DC6" w14:paraId="24A14F4F" w14:textId="77777777">
      <w:pPr>
        <w:spacing w:before="240" w:line="360" w:lineRule="auto"/>
        <w:jc w:val="center"/>
        <w:rPr>
          <w:rFonts w:ascii="Times New Roman" w:hAnsi="Times New Roman" w:cs="Times New Roman"/>
          <w:sz w:val="24"/>
          <w:szCs w:val="24"/>
        </w:rPr>
      </w:pPr>
    </w:p>
    <w:p w:rsidR="00DC5DC6" w:rsidP="00DC5DC6" w:rsidRDefault="00DC5DC6" w14:paraId="5B6C5A2C" w14:textId="77777777">
      <w:pPr>
        <w:spacing w:before="240" w:line="360" w:lineRule="auto"/>
        <w:jc w:val="center"/>
        <w:rPr>
          <w:rFonts w:ascii="Times New Roman" w:hAnsi="Times New Roman" w:cs="Times New Roman"/>
          <w:sz w:val="24"/>
          <w:szCs w:val="24"/>
        </w:rPr>
      </w:pPr>
    </w:p>
    <w:p w:rsidRPr="00DC5DC6" w:rsidR="00DC5DC6" w:rsidP="1D2B13BE" w:rsidRDefault="00F17F4D" w14:paraId="67C6AAB0" w14:textId="3268DD42">
      <w:pPr>
        <w:spacing w:before="240" w:line="360" w:lineRule="auto"/>
        <w:jc w:val="center"/>
        <w:rPr>
          <w:rFonts w:ascii="Times New Roman" w:hAnsi="Times New Roman" w:cs="Times New Roman"/>
          <w:sz w:val="24"/>
          <w:szCs w:val="24"/>
        </w:rPr>
      </w:pPr>
      <w:r w:rsidRPr="1D2B13BE" w:rsidR="00F17F4D">
        <w:rPr>
          <w:rFonts w:ascii="Times New Roman" w:hAnsi="Times New Roman" w:cs="Times New Roman"/>
          <w:sz w:val="24"/>
          <w:szCs w:val="24"/>
        </w:rPr>
        <w:t>Student Name:</w:t>
      </w:r>
      <w:r w:rsidRPr="1D2B13BE" w:rsidR="65323BE0">
        <w:rPr>
          <w:rFonts w:ascii="Times New Roman" w:hAnsi="Times New Roman" w:cs="Times New Roman"/>
          <w:sz w:val="24"/>
          <w:szCs w:val="24"/>
        </w:rPr>
        <w:t xml:space="preserve"> </w:t>
      </w:r>
      <w:r w:rsidRPr="1D2B13BE" w:rsidR="45BF5AEE">
        <w:rPr>
          <w:rFonts w:ascii="Times New Roman" w:hAnsi="Times New Roman" w:cs="Times New Roman"/>
          <w:sz w:val="24"/>
          <w:szCs w:val="24"/>
        </w:rPr>
        <w:t xml:space="preserve">Luca Gerardi </w:t>
      </w:r>
    </w:p>
    <w:p w:rsidRPr="00DC5DC6" w:rsidR="00DC5DC6" w:rsidP="00DC5DC6" w:rsidRDefault="00F17F4D" w14:paraId="40FFE1E5" w14:textId="15D727EE">
      <w:pPr>
        <w:spacing w:before="240" w:line="360" w:lineRule="auto"/>
        <w:jc w:val="center"/>
        <w:rPr>
          <w:rFonts w:ascii="Times New Roman" w:hAnsi="Times New Roman" w:cs="Times New Roman"/>
          <w:sz w:val="24"/>
          <w:szCs w:val="24"/>
        </w:rPr>
      </w:pPr>
      <w:r w:rsidRPr="1D2B13BE" w:rsidR="00F17F4D">
        <w:rPr>
          <w:rFonts w:ascii="Times New Roman" w:hAnsi="Times New Roman" w:cs="Times New Roman"/>
          <w:sz w:val="24"/>
          <w:szCs w:val="24"/>
        </w:rPr>
        <w:t xml:space="preserve">Student </w:t>
      </w:r>
      <w:r w:rsidRPr="1D2B13BE" w:rsidR="00F17F4D">
        <w:rPr>
          <w:rFonts w:ascii="Times New Roman" w:hAnsi="Times New Roman" w:cs="Times New Roman"/>
          <w:sz w:val="24"/>
          <w:szCs w:val="24"/>
        </w:rPr>
        <w:t>ID:</w:t>
      </w:r>
      <w:r w:rsidRPr="1D2B13BE" w:rsidR="26975296">
        <w:rPr>
          <w:rFonts w:ascii="Times New Roman" w:hAnsi="Times New Roman" w:cs="Times New Roman"/>
          <w:sz w:val="24"/>
          <w:szCs w:val="24"/>
        </w:rPr>
        <w:t xml:space="preserve"> 2</w:t>
      </w:r>
      <w:r w:rsidRPr="1D2B13BE" w:rsidR="7873C1AC">
        <w:rPr>
          <w:rFonts w:ascii="Times New Roman" w:hAnsi="Times New Roman" w:cs="Times New Roman"/>
          <w:sz w:val="24"/>
          <w:szCs w:val="24"/>
        </w:rPr>
        <w:t>219573</w:t>
      </w:r>
    </w:p>
    <w:p w:rsidR="33DF37A1" w:rsidP="1D2B13BE" w:rsidRDefault="33DF37A1" w14:paraId="303D5EB0" w14:textId="5F15A58E">
      <w:pPr>
        <w:pStyle w:val="Normal"/>
        <w:spacing w:before="240" w:line="360" w:lineRule="auto"/>
        <w:jc w:val="center"/>
        <w:rPr>
          <w:rFonts w:ascii="Times New Roman" w:hAnsi="Times New Roman" w:cs="Times New Roman"/>
          <w:sz w:val="24"/>
          <w:szCs w:val="24"/>
        </w:rPr>
      </w:pPr>
      <w:r w:rsidRPr="1D2B13BE" w:rsidR="33DF37A1">
        <w:rPr>
          <w:rFonts w:ascii="Times New Roman" w:hAnsi="Times New Roman" w:cs="Times New Roman"/>
          <w:sz w:val="24"/>
          <w:szCs w:val="24"/>
        </w:rPr>
        <w:t>Module</w:t>
      </w:r>
      <w:r w:rsidRPr="1D2B13BE" w:rsidR="27927C50">
        <w:rPr>
          <w:rFonts w:ascii="Times New Roman" w:hAnsi="Times New Roman" w:cs="Times New Roman"/>
          <w:sz w:val="24"/>
          <w:szCs w:val="24"/>
        </w:rPr>
        <w:t>:LCBB</w:t>
      </w:r>
      <w:r w:rsidRPr="1D2B13BE" w:rsidR="6B989652">
        <w:rPr>
          <w:rFonts w:ascii="Times New Roman" w:hAnsi="Times New Roman" w:cs="Times New Roman"/>
          <w:sz w:val="24"/>
          <w:szCs w:val="24"/>
        </w:rPr>
        <w:t>5005</w:t>
      </w:r>
    </w:p>
    <w:p w:rsidR="6B989652" w:rsidP="1D2B13BE" w:rsidRDefault="6B989652" w14:paraId="653BC6BE" w14:textId="762A750A">
      <w:pPr>
        <w:pStyle w:val="Normal"/>
        <w:spacing w:before="240" w:line="360" w:lineRule="auto"/>
        <w:jc w:val="center"/>
        <w:rPr>
          <w:rFonts w:ascii="Times New Roman" w:hAnsi="Times New Roman" w:cs="Times New Roman"/>
          <w:sz w:val="24"/>
          <w:szCs w:val="24"/>
        </w:rPr>
      </w:pPr>
      <w:r w:rsidRPr="1D2B13BE" w:rsidR="6B989652">
        <w:rPr>
          <w:rFonts w:ascii="Times New Roman" w:hAnsi="Times New Roman" w:cs="Times New Roman"/>
          <w:sz w:val="24"/>
          <w:szCs w:val="24"/>
        </w:rPr>
        <w:t>Lecturer:Sadeque</w:t>
      </w:r>
      <w:r w:rsidRPr="1D2B13BE" w:rsidR="6B989652">
        <w:rPr>
          <w:rFonts w:ascii="Times New Roman" w:hAnsi="Times New Roman" w:cs="Times New Roman"/>
          <w:sz w:val="24"/>
          <w:szCs w:val="24"/>
        </w:rPr>
        <w:t xml:space="preserve"> Shaikh</w:t>
      </w:r>
    </w:p>
    <w:p w:rsidRPr="00DC5DC6" w:rsidR="004A23D8" w:rsidP="004A23D8" w:rsidRDefault="00F17F4D" w14:paraId="3389D3F3" w14:textId="77777777">
      <w:pPr>
        <w:spacing w:line="360" w:lineRule="auto"/>
        <w:jc w:val="both"/>
        <w:rPr>
          <w:rFonts w:ascii="Times New Roman" w:hAnsi="Times New Roman" w:cs="Times New Roman"/>
          <w:sz w:val="24"/>
          <w:szCs w:val="24"/>
        </w:rPr>
      </w:pPr>
      <w:r w:rsidRPr="00DC5DC6">
        <w:rPr>
          <w:rFonts w:ascii="Times New Roman" w:hAnsi="Times New Roman" w:cs="Times New Roman"/>
          <w:sz w:val="24"/>
          <w:szCs w:val="24"/>
        </w:rPr>
        <w:br w:type="page"/>
      </w:r>
    </w:p>
    <w:sdt>
      <w:sdtPr>
        <w:id w:val="578261000"/>
        <w:docPartObj>
          <w:docPartGallery w:val="Table of Contents"/>
          <w:docPartUnique/>
        </w:docPartObj>
        <w:rPr>
          <w:rFonts w:ascii="Times New Roman" w:hAnsi="Times New Roman" w:eastAsia="Calibri" w:cs="Times New Roman" w:eastAsiaTheme="minorAscii"/>
          <w:color w:val="auto"/>
          <w:sz w:val="22"/>
          <w:szCs w:val="22"/>
          <w:lang w:val="en-GB"/>
        </w:rPr>
      </w:sdtPr>
      <w:sdtEndPr>
        <w:rPr>
          <w:rFonts w:ascii="Times New Roman" w:hAnsi="Times New Roman" w:eastAsia="Calibri" w:cs="Times New Roman" w:eastAsiaTheme="minorAscii"/>
          <w:b w:val="1"/>
          <w:bCs w:val="1"/>
          <w:noProof/>
          <w:color w:val="auto"/>
          <w:sz w:val="22"/>
          <w:szCs w:val="22"/>
          <w:lang w:val="en-GB"/>
        </w:rPr>
      </w:sdtEndPr>
      <w:sdtContent>
        <w:p w:rsidRPr="004A23D8" w:rsidR="004A23D8" w:rsidP="004A23D8" w:rsidRDefault="00F17F4D" w14:paraId="4994EF3D" w14:textId="77777777">
          <w:pPr>
            <w:pStyle w:val="TOCHeading"/>
            <w:spacing w:line="360" w:lineRule="auto"/>
            <w:jc w:val="both"/>
            <w:rPr>
              <w:rFonts w:ascii="Times New Roman" w:hAnsi="Times New Roman" w:cs="Times New Roman"/>
            </w:rPr>
          </w:pPr>
          <w:r w:rsidRPr="004A23D8">
            <w:rPr>
              <w:rFonts w:ascii="Times New Roman" w:hAnsi="Times New Roman" w:cs="Times New Roman"/>
            </w:rPr>
            <w:t>Table of Contents</w:t>
          </w:r>
        </w:p>
        <w:p w:rsidRPr="004A23D8" w:rsidR="004A23D8" w:rsidP="004A23D8" w:rsidRDefault="00F17F4D" w14:paraId="71AAC874" w14:textId="080514FE">
          <w:pPr>
            <w:pStyle w:val="TOC1"/>
            <w:tabs>
              <w:tab w:val="right" w:leader="dot" w:pos="9350"/>
            </w:tabs>
            <w:spacing w:before="240" w:line="360" w:lineRule="auto"/>
            <w:jc w:val="both"/>
            <w:rPr>
              <w:rFonts w:ascii="Times New Roman" w:hAnsi="Times New Roman" w:cs="Times New Roman"/>
              <w:noProof/>
              <w:sz w:val="24"/>
              <w:szCs w:val="24"/>
            </w:rPr>
          </w:pPr>
          <w:r w:rsidRPr="004A23D8">
            <w:rPr>
              <w:rFonts w:ascii="Times New Roman" w:hAnsi="Times New Roman" w:cs="Times New Roman"/>
              <w:b/>
              <w:bCs/>
              <w:noProof/>
            </w:rPr>
            <w:fldChar w:fldCharType="begin"/>
          </w:r>
          <w:r w:rsidRPr="004A23D8">
            <w:rPr>
              <w:rFonts w:ascii="Times New Roman" w:hAnsi="Times New Roman" w:cs="Times New Roman"/>
              <w:b/>
              <w:bCs/>
              <w:noProof/>
            </w:rPr>
            <w:instrText xml:space="preserve"> TOC \o "1-3" \h \z \u </w:instrText>
          </w:r>
          <w:r w:rsidRPr="004A23D8">
            <w:rPr>
              <w:rFonts w:ascii="Times New Roman" w:hAnsi="Times New Roman" w:cs="Times New Roman"/>
              <w:b/>
              <w:bCs/>
              <w:noProof/>
            </w:rPr>
            <w:fldChar w:fldCharType="separate"/>
          </w:r>
          <w:hyperlink w:history="1" w:anchor="_Toc175820993">
            <w:r w:rsidRPr="004A23D8">
              <w:rPr>
                <w:rStyle w:val="Hyperlink"/>
                <w:rFonts w:ascii="Times New Roman" w:hAnsi="Times New Roman" w:cs="Times New Roman"/>
                <w:noProof/>
                <w:sz w:val="24"/>
                <w:szCs w:val="24"/>
              </w:rPr>
              <w:t>Introduction</w:t>
            </w:r>
            <w:r w:rsidRPr="004A23D8">
              <w:rPr>
                <w:rFonts w:ascii="Times New Roman" w:hAnsi="Times New Roman" w:cs="Times New Roman"/>
                <w:noProof/>
                <w:webHidden/>
                <w:sz w:val="24"/>
                <w:szCs w:val="24"/>
              </w:rPr>
              <w:tab/>
            </w:r>
            <w:r w:rsidRPr="004A23D8">
              <w:rPr>
                <w:rFonts w:ascii="Times New Roman" w:hAnsi="Times New Roman" w:cs="Times New Roman"/>
                <w:noProof/>
                <w:webHidden/>
                <w:sz w:val="24"/>
                <w:szCs w:val="24"/>
              </w:rPr>
              <w:fldChar w:fldCharType="begin"/>
            </w:r>
            <w:r w:rsidRPr="004A23D8">
              <w:rPr>
                <w:rFonts w:ascii="Times New Roman" w:hAnsi="Times New Roman" w:cs="Times New Roman"/>
                <w:noProof/>
                <w:webHidden/>
                <w:sz w:val="24"/>
                <w:szCs w:val="24"/>
              </w:rPr>
              <w:instrText xml:space="preserve"> PAGEREF _Toc175820993 \h </w:instrText>
            </w:r>
            <w:r w:rsidRPr="004A23D8">
              <w:rPr>
                <w:rFonts w:ascii="Times New Roman" w:hAnsi="Times New Roman" w:cs="Times New Roman"/>
                <w:noProof/>
                <w:webHidden/>
                <w:sz w:val="24"/>
                <w:szCs w:val="24"/>
              </w:rPr>
            </w:r>
            <w:r w:rsidRPr="004A23D8">
              <w:rPr>
                <w:rFonts w:ascii="Times New Roman" w:hAnsi="Times New Roman" w:cs="Times New Roman"/>
                <w:noProof/>
                <w:webHidden/>
                <w:sz w:val="24"/>
                <w:szCs w:val="24"/>
              </w:rPr>
              <w:fldChar w:fldCharType="separate"/>
            </w:r>
            <w:r w:rsidR="000E3327">
              <w:rPr>
                <w:rFonts w:ascii="Times New Roman" w:hAnsi="Times New Roman" w:cs="Times New Roman"/>
                <w:noProof/>
                <w:webHidden/>
                <w:sz w:val="24"/>
                <w:szCs w:val="24"/>
              </w:rPr>
              <w:t>3</w:t>
            </w:r>
            <w:r w:rsidRPr="004A23D8">
              <w:rPr>
                <w:rFonts w:ascii="Times New Roman" w:hAnsi="Times New Roman" w:cs="Times New Roman"/>
                <w:noProof/>
                <w:webHidden/>
                <w:sz w:val="24"/>
                <w:szCs w:val="24"/>
              </w:rPr>
              <w:fldChar w:fldCharType="end"/>
            </w:r>
          </w:hyperlink>
        </w:p>
        <w:p w:rsidRPr="004A23D8" w:rsidR="004A23D8" w:rsidP="004A23D8" w:rsidRDefault="000E3327" w14:paraId="3FD90D6A" w14:textId="7FE8046A">
          <w:pPr>
            <w:pStyle w:val="TOC1"/>
            <w:tabs>
              <w:tab w:val="right" w:leader="dot" w:pos="9350"/>
            </w:tabs>
            <w:spacing w:before="240" w:line="360" w:lineRule="auto"/>
            <w:jc w:val="both"/>
            <w:rPr>
              <w:rFonts w:ascii="Times New Roman" w:hAnsi="Times New Roman" w:cs="Times New Roman"/>
              <w:noProof/>
              <w:sz w:val="24"/>
              <w:szCs w:val="24"/>
            </w:rPr>
          </w:pPr>
          <w:hyperlink w:history="1" w:anchor="_Toc175820994">
            <w:r w:rsidRPr="004A23D8" w:rsidR="00F17F4D">
              <w:rPr>
                <w:rStyle w:val="Hyperlink"/>
                <w:rFonts w:ascii="Times New Roman" w:hAnsi="Times New Roman" w:cs="Times New Roman"/>
                <w:noProof/>
                <w:sz w:val="24"/>
                <w:szCs w:val="24"/>
              </w:rPr>
              <w:t>Main Body</w:t>
            </w:r>
            <w:r w:rsidRPr="004A23D8" w:rsidR="00F17F4D">
              <w:rPr>
                <w:rFonts w:ascii="Times New Roman" w:hAnsi="Times New Roman" w:cs="Times New Roman"/>
                <w:noProof/>
                <w:webHidden/>
                <w:sz w:val="24"/>
                <w:szCs w:val="24"/>
              </w:rPr>
              <w:tab/>
            </w:r>
            <w:r w:rsidRPr="004A23D8" w:rsidR="00F17F4D">
              <w:rPr>
                <w:rFonts w:ascii="Times New Roman" w:hAnsi="Times New Roman" w:cs="Times New Roman"/>
                <w:noProof/>
                <w:webHidden/>
                <w:sz w:val="24"/>
                <w:szCs w:val="24"/>
              </w:rPr>
              <w:fldChar w:fldCharType="begin"/>
            </w:r>
            <w:r w:rsidRPr="004A23D8" w:rsidR="00F17F4D">
              <w:rPr>
                <w:rFonts w:ascii="Times New Roman" w:hAnsi="Times New Roman" w:cs="Times New Roman"/>
                <w:noProof/>
                <w:webHidden/>
                <w:sz w:val="24"/>
                <w:szCs w:val="24"/>
              </w:rPr>
              <w:instrText xml:space="preserve"> PAGEREF _Toc175820994 \h </w:instrText>
            </w:r>
            <w:r w:rsidRPr="004A23D8" w:rsidR="00F17F4D">
              <w:rPr>
                <w:rFonts w:ascii="Times New Roman" w:hAnsi="Times New Roman" w:cs="Times New Roman"/>
                <w:noProof/>
                <w:webHidden/>
                <w:sz w:val="24"/>
                <w:szCs w:val="24"/>
              </w:rPr>
            </w:r>
            <w:r w:rsidRPr="004A23D8" w:rsidR="00F17F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4A23D8" w:rsidR="00F17F4D">
              <w:rPr>
                <w:rFonts w:ascii="Times New Roman" w:hAnsi="Times New Roman" w:cs="Times New Roman"/>
                <w:noProof/>
                <w:webHidden/>
                <w:sz w:val="24"/>
                <w:szCs w:val="24"/>
              </w:rPr>
              <w:fldChar w:fldCharType="end"/>
            </w:r>
          </w:hyperlink>
        </w:p>
        <w:p w:rsidRPr="004A23D8" w:rsidR="004A23D8" w:rsidP="004A23D8" w:rsidRDefault="000E3327" w14:paraId="04E47E58" w14:textId="72B31177">
          <w:pPr>
            <w:pStyle w:val="TOC1"/>
            <w:tabs>
              <w:tab w:val="right" w:leader="dot" w:pos="9350"/>
            </w:tabs>
            <w:spacing w:before="240" w:line="360" w:lineRule="auto"/>
            <w:jc w:val="both"/>
            <w:rPr>
              <w:rFonts w:ascii="Times New Roman" w:hAnsi="Times New Roman" w:cs="Times New Roman"/>
              <w:noProof/>
              <w:sz w:val="24"/>
              <w:szCs w:val="24"/>
            </w:rPr>
          </w:pPr>
          <w:hyperlink w:history="1" w:anchor="_Toc175820995">
            <w:r w:rsidRPr="004A23D8" w:rsidR="00F17F4D">
              <w:rPr>
                <w:rStyle w:val="Hyperlink"/>
                <w:rFonts w:ascii="Times New Roman" w:hAnsi="Times New Roman" w:cs="Times New Roman"/>
                <w:noProof/>
                <w:sz w:val="24"/>
                <w:szCs w:val="24"/>
              </w:rPr>
              <w:t>Conclusion</w:t>
            </w:r>
            <w:r w:rsidRPr="004A23D8" w:rsidR="00F17F4D">
              <w:rPr>
                <w:rFonts w:ascii="Times New Roman" w:hAnsi="Times New Roman" w:cs="Times New Roman"/>
                <w:noProof/>
                <w:webHidden/>
                <w:sz w:val="24"/>
                <w:szCs w:val="24"/>
              </w:rPr>
              <w:tab/>
            </w:r>
            <w:r w:rsidRPr="004A23D8" w:rsidR="00F17F4D">
              <w:rPr>
                <w:rFonts w:ascii="Times New Roman" w:hAnsi="Times New Roman" w:cs="Times New Roman"/>
                <w:noProof/>
                <w:webHidden/>
                <w:sz w:val="24"/>
                <w:szCs w:val="24"/>
              </w:rPr>
              <w:fldChar w:fldCharType="begin"/>
            </w:r>
            <w:r w:rsidRPr="004A23D8" w:rsidR="00F17F4D">
              <w:rPr>
                <w:rFonts w:ascii="Times New Roman" w:hAnsi="Times New Roman" w:cs="Times New Roman"/>
                <w:noProof/>
                <w:webHidden/>
                <w:sz w:val="24"/>
                <w:szCs w:val="24"/>
              </w:rPr>
              <w:instrText xml:space="preserve"> PAGEREF _Toc175820995 \h </w:instrText>
            </w:r>
            <w:r w:rsidRPr="004A23D8" w:rsidR="00F17F4D">
              <w:rPr>
                <w:rFonts w:ascii="Times New Roman" w:hAnsi="Times New Roman" w:cs="Times New Roman"/>
                <w:noProof/>
                <w:webHidden/>
                <w:sz w:val="24"/>
                <w:szCs w:val="24"/>
              </w:rPr>
            </w:r>
            <w:r w:rsidRPr="004A23D8" w:rsidR="00F17F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4A23D8" w:rsidR="00F17F4D">
              <w:rPr>
                <w:rFonts w:ascii="Times New Roman" w:hAnsi="Times New Roman" w:cs="Times New Roman"/>
                <w:noProof/>
                <w:webHidden/>
                <w:sz w:val="24"/>
                <w:szCs w:val="24"/>
              </w:rPr>
              <w:fldChar w:fldCharType="end"/>
            </w:r>
          </w:hyperlink>
        </w:p>
        <w:p w:rsidRPr="004A23D8" w:rsidR="004A23D8" w:rsidP="004A23D8" w:rsidRDefault="000E3327" w14:paraId="4CCF997C" w14:textId="774E4504">
          <w:pPr>
            <w:pStyle w:val="TOC1"/>
            <w:tabs>
              <w:tab w:val="right" w:leader="dot" w:pos="9350"/>
            </w:tabs>
            <w:spacing w:before="240" w:line="360" w:lineRule="auto"/>
            <w:jc w:val="both"/>
            <w:rPr>
              <w:rFonts w:ascii="Times New Roman" w:hAnsi="Times New Roman" w:cs="Times New Roman"/>
              <w:noProof/>
              <w:sz w:val="24"/>
              <w:szCs w:val="24"/>
            </w:rPr>
          </w:pPr>
          <w:hyperlink w:history="1" w:anchor="_Toc175820996">
            <w:r w:rsidRPr="004A23D8" w:rsidR="00F17F4D">
              <w:rPr>
                <w:rStyle w:val="Hyperlink"/>
                <w:rFonts w:ascii="Times New Roman" w:hAnsi="Times New Roman" w:cs="Times New Roman"/>
                <w:noProof/>
                <w:sz w:val="24"/>
                <w:szCs w:val="24"/>
              </w:rPr>
              <w:t>References</w:t>
            </w:r>
            <w:r w:rsidRPr="004A23D8" w:rsidR="00F17F4D">
              <w:rPr>
                <w:rFonts w:ascii="Times New Roman" w:hAnsi="Times New Roman" w:cs="Times New Roman"/>
                <w:noProof/>
                <w:webHidden/>
                <w:sz w:val="24"/>
                <w:szCs w:val="24"/>
              </w:rPr>
              <w:tab/>
            </w:r>
            <w:r w:rsidRPr="004A23D8" w:rsidR="00F17F4D">
              <w:rPr>
                <w:rFonts w:ascii="Times New Roman" w:hAnsi="Times New Roman" w:cs="Times New Roman"/>
                <w:noProof/>
                <w:webHidden/>
                <w:sz w:val="24"/>
                <w:szCs w:val="24"/>
              </w:rPr>
              <w:fldChar w:fldCharType="begin"/>
            </w:r>
            <w:r w:rsidRPr="004A23D8" w:rsidR="00F17F4D">
              <w:rPr>
                <w:rFonts w:ascii="Times New Roman" w:hAnsi="Times New Roman" w:cs="Times New Roman"/>
                <w:noProof/>
                <w:webHidden/>
                <w:sz w:val="24"/>
                <w:szCs w:val="24"/>
              </w:rPr>
              <w:instrText xml:space="preserve"> PAGEREF _Toc175820996 \h </w:instrText>
            </w:r>
            <w:r w:rsidRPr="004A23D8" w:rsidR="00F17F4D">
              <w:rPr>
                <w:rFonts w:ascii="Times New Roman" w:hAnsi="Times New Roman" w:cs="Times New Roman"/>
                <w:noProof/>
                <w:webHidden/>
                <w:sz w:val="24"/>
                <w:szCs w:val="24"/>
              </w:rPr>
            </w:r>
            <w:r w:rsidRPr="004A23D8" w:rsidR="00F17F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4A23D8" w:rsidR="00F17F4D">
              <w:rPr>
                <w:rFonts w:ascii="Times New Roman" w:hAnsi="Times New Roman" w:cs="Times New Roman"/>
                <w:noProof/>
                <w:webHidden/>
                <w:sz w:val="24"/>
                <w:szCs w:val="24"/>
              </w:rPr>
              <w:fldChar w:fldCharType="end"/>
            </w:r>
          </w:hyperlink>
        </w:p>
        <w:p w:rsidRPr="004A23D8" w:rsidR="004A23D8" w:rsidP="004A23D8" w:rsidRDefault="00F17F4D" w14:paraId="534007A2" w14:textId="77777777">
          <w:pPr>
            <w:spacing w:line="360" w:lineRule="auto"/>
            <w:jc w:val="both"/>
            <w:rPr>
              <w:rFonts w:ascii="Times New Roman" w:hAnsi="Times New Roman" w:cs="Times New Roman"/>
            </w:rPr>
          </w:pPr>
          <w:r w:rsidRPr="004A23D8">
            <w:rPr>
              <w:rFonts w:ascii="Times New Roman" w:hAnsi="Times New Roman" w:cs="Times New Roman"/>
              <w:b/>
              <w:bCs/>
              <w:noProof/>
            </w:rPr>
            <w:fldChar w:fldCharType="end"/>
          </w:r>
        </w:p>
      </w:sdtContent>
    </w:sdt>
    <w:p w:rsidRPr="004A23D8" w:rsidR="004A23D8" w:rsidP="004A23D8" w:rsidRDefault="00F17F4D" w14:paraId="5A71A6AB" w14:textId="77777777">
      <w:pPr>
        <w:spacing w:line="360" w:lineRule="auto"/>
        <w:jc w:val="both"/>
        <w:rPr>
          <w:rFonts w:ascii="Times New Roman" w:hAnsi="Times New Roman" w:cs="Times New Roman"/>
        </w:rPr>
      </w:pPr>
      <w:r w:rsidRPr="004A23D8">
        <w:rPr>
          <w:rFonts w:ascii="Times New Roman" w:hAnsi="Times New Roman" w:cs="Times New Roman"/>
        </w:rPr>
        <w:br w:type="page"/>
      </w:r>
    </w:p>
    <w:p w:rsidRPr="004A23D8" w:rsidR="00D5482E" w:rsidP="004A23D8" w:rsidRDefault="00F17F4D" w14:paraId="5513DFA3" w14:textId="77777777">
      <w:pPr>
        <w:pStyle w:val="Heading1"/>
        <w:spacing w:line="360" w:lineRule="auto"/>
        <w:jc w:val="both"/>
        <w:rPr>
          <w:rFonts w:ascii="Times New Roman" w:hAnsi="Times New Roman" w:cs="Times New Roman"/>
        </w:rPr>
      </w:pPr>
      <w:bookmarkStart w:name="_Toc175820993" w:id="0"/>
      <w:r w:rsidRPr="004A23D8">
        <w:rPr>
          <w:rFonts w:ascii="Times New Roman" w:hAnsi="Times New Roman" w:cs="Times New Roman"/>
        </w:rPr>
        <w:lastRenderedPageBreak/>
        <w:t>Introduction</w:t>
      </w:r>
      <w:bookmarkEnd w:id="0"/>
    </w:p>
    <w:p w:rsidRPr="004A23D8" w:rsidR="00D5482E" w:rsidP="004A23D8" w:rsidRDefault="00F17F4D" w14:paraId="7677512B"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Google has received permission from the Council of Camden to plan for Google's King's Cross project. The construction of Google's King's Cross an 11-storey building, in which Google had occupied about 650,000 square feet from 1 million square feet. KGX1 or Google's new headquarters in King's Cross area of London is one of the most recent occurrences in the company's global expansion story</w:t>
      </w:r>
      <w:r w:rsidRPr="004A23D8" w:rsidR="00787E79">
        <w:rPr>
          <w:rFonts w:ascii="Times New Roman" w:hAnsi="Times New Roman" w:cs="Times New Roman"/>
          <w:sz w:val="24"/>
          <w:szCs w:val="24"/>
        </w:rPr>
        <w:t xml:space="preserve"> (King’s Cross, n.d., 2024)</w:t>
      </w:r>
      <w:r w:rsidRPr="004A23D8">
        <w:rPr>
          <w:rFonts w:ascii="Times New Roman" w:hAnsi="Times New Roman" w:cs="Times New Roman"/>
          <w:sz w:val="24"/>
          <w:szCs w:val="24"/>
        </w:rPr>
        <w:t>. It has immediately been significant in terms of size and challenges but also as a harbinger of changes that the billion-pound sector of the UK's IT service could potentially witness in the future. Being Google's first in-house home-grown building outside the US, the KGX1 headquarters seeks to bring a fresh face to efficient and creatively designed green buildings while establishing Google's long-term focus on the UK market amidst the emergence of new technologies. Here, the assessment offers a critical analysis of the KGX1 project, with special consideration of its social and future return to the information technology</w:t>
      </w:r>
      <w:r w:rsidRPr="004A23D8" w:rsidR="0057007F">
        <w:rPr>
          <w:rFonts w:ascii="Times New Roman" w:hAnsi="Times New Roman" w:cs="Times New Roman"/>
          <w:sz w:val="24"/>
          <w:szCs w:val="24"/>
        </w:rPr>
        <w:t xml:space="preserve"> </w:t>
      </w:r>
      <w:r w:rsidRPr="004A23D8">
        <w:rPr>
          <w:rFonts w:ascii="Times New Roman" w:hAnsi="Times New Roman" w:cs="Times New Roman"/>
          <w:sz w:val="24"/>
          <w:szCs w:val="24"/>
        </w:rPr>
        <w:t>sector of the UK</w:t>
      </w:r>
      <w:r w:rsidRPr="004A23D8" w:rsidR="00787E79">
        <w:rPr>
          <w:rFonts w:ascii="Times New Roman" w:hAnsi="Times New Roman" w:cs="Times New Roman"/>
          <w:sz w:val="24"/>
          <w:szCs w:val="24"/>
        </w:rPr>
        <w:t xml:space="preserve"> (Adelfio et al., 2021, p. 180-200)</w:t>
      </w:r>
      <w:r w:rsidRPr="004A23D8">
        <w:rPr>
          <w:rFonts w:ascii="Times New Roman" w:hAnsi="Times New Roman" w:cs="Times New Roman"/>
          <w:sz w:val="24"/>
          <w:szCs w:val="24"/>
        </w:rPr>
        <w:t>. This report seeks to evaluate if the Google headquarters project is a success or a failure for the future of the UK's IT industry based on the goals of the project, challenges encountered, the approach taken and the implications on the sector. The assessment will also draw conclusions on what this project demonstrated and advice on similar endeavours. The analysis will be stru</w:t>
      </w:r>
      <w:r w:rsidRPr="004A23D8" w:rsidR="00787E79">
        <w:rPr>
          <w:rFonts w:ascii="Times New Roman" w:hAnsi="Times New Roman" w:cs="Times New Roman"/>
          <w:sz w:val="24"/>
          <w:szCs w:val="24"/>
        </w:rPr>
        <w:t>ctured into three main sections,</w:t>
      </w:r>
      <w:r w:rsidRPr="004A23D8">
        <w:rPr>
          <w:rFonts w:ascii="Times New Roman" w:hAnsi="Times New Roman" w:cs="Times New Roman"/>
          <w:sz w:val="24"/>
          <w:szCs w:val="24"/>
        </w:rPr>
        <w:t xml:space="preserve"> an analysis of the effects and performance of the project, an assessment of its success or failure, and a set of recommendations for future endeavours. </w:t>
      </w:r>
    </w:p>
    <w:p w:rsidRPr="004A23D8" w:rsidR="00D5482E" w:rsidP="004A23D8" w:rsidRDefault="00F17F4D" w14:paraId="5A71E078" w14:textId="77777777">
      <w:pPr>
        <w:pStyle w:val="Heading1"/>
        <w:spacing w:line="360" w:lineRule="auto"/>
        <w:jc w:val="both"/>
        <w:rPr>
          <w:rFonts w:ascii="Times New Roman" w:hAnsi="Times New Roman" w:cs="Times New Roman"/>
        </w:rPr>
      </w:pPr>
      <w:bookmarkStart w:name="_Toc175820994" w:id="1"/>
      <w:r w:rsidRPr="004A23D8">
        <w:rPr>
          <w:rFonts w:ascii="Times New Roman" w:hAnsi="Times New Roman" w:cs="Times New Roman"/>
        </w:rPr>
        <w:t>Main Body</w:t>
      </w:r>
      <w:bookmarkEnd w:id="1"/>
    </w:p>
    <w:p w:rsidRPr="004A23D8" w:rsidR="00D5482E" w:rsidP="004A23D8" w:rsidRDefault="00F17F4D" w14:paraId="5DBD538D"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b/>
          <w:bCs/>
          <w:sz w:val="24"/>
          <w:szCs w:val="24"/>
        </w:rPr>
        <w:t xml:space="preserve">The overview of the project and its strategic importance can be shown by </w:t>
      </w:r>
      <w:r w:rsidRPr="004A23D8">
        <w:rPr>
          <w:rFonts w:ascii="Times New Roman" w:hAnsi="Times New Roman" w:cs="Times New Roman"/>
          <w:sz w:val="24"/>
          <w:szCs w:val="24"/>
        </w:rPr>
        <w:t>the KGX1 project is a complex project which proves that Google is a company that is willing to work on complex and radical projects. OMA's headline location, designed in collaboration with Bjarke Ingels Group (BIG) and Heatherwick Studio is a really fascinating building which can be described as a 'horizontal skyscraper'. The building is more than 1 million feet per square for more than 7,000 people, as well as rooftop gardens, enclosed running tracks, swimming pools and sports facilities within the building to support health at work</w:t>
      </w:r>
      <w:r w:rsidRPr="004A23D8" w:rsidR="00CA57B6">
        <w:rPr>
          <w:rFonts w:ascii="Times New Roman" w:hAnsi="Times New Roman" w:cs="Times New Roman"/>
          <w:sz w:val="24"/>
          <w:szCs w:val="24"/>
        </w:rPr>
        <w:t xml:space="preserve"> (Fuertes et al., 2020, p. 6253013)</w:t>
      </w:r>
      <w:r w:rsidRPr="004A23D8">
        <w:rPr>
          <w:rFonts w:ascii="Times New Roman" w:hAnsi="Times New Roman" w:cs="Times New Roman"/>
          <w:sz w:val="24"/>
          <w:szCs w:val="24"/>
        </w:rPr>
        <w:t xml:space="preserve">. Google’s decision to establish its headquarters in London is rather important for a number of reasons: First of all, it shows that Google is interested in the UK market even in spite of Brexit and other potential risks </w:t>
      </w:r>
      <w:r w:rsidRPr="004A23D8">
        <w:rPr>
          <w:rFonts w:ascii="Times New Roman" w:hAnsi="Times New Roman" w:cs="Times New Roman"/>
          <w:sz w:val="24"/>
          <w:szCs w:val="24"/>
        </w:rPr>
        <w:lastRenderedPageBreak/>
        <w:t>connected to geopolitics. By building the large-scale project in London Google wants to extend its market share in Europe and get access to the great potential of the UK's knowledge base. Second, it is symbolic of the transformation of the headquarters from a traditional office building to a modern sustainable and people-oriented building which corresponds with the rest of the corporate values of the company and its intentions to become an example of future office developments in the IT industry</w:t>
      </w:r>
      <w:r w:rsidRPr="004A23D8" w:rsidR="00CA57B6">
        <w:rPr>
          <w:rFonts w:ascii="Times New Roman" w:hAnsi="Times New Roman" w:cs="Times New Roman"/>
          <w:sz w:val="24"/>
          <w:szCs w:val="24"/>
        </w:rPr>
        <w:t xml:space="preserve"> (Pfotenhauer et al., 2022, p. 3-34)</w:t>
      </w:r>
      <w:r w:rsidRPr="004A23D8">
        <w:rPr>
          <w:rFonts w:ascii="Times New Roman" w:hAnsi="Times New Roman" w:cs="Times New Roman"/>
          <w:sz w:val="24"/>
          <w:szCs w:val="24"/>
        </w:rPr>
        <w:t xml:space="preserve">. </w:t>
      </w:r>
    </w:p>
    <w:p w:rsidRPr="004A23D8" w:rsidR="00D5482E" w:rsidP="004A23D8" w:rsidRDefault="00F17F4D" w14:paraId="433B4102"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b/>
          <w:bCs/>
          <w:sz w:val="24"/>
          <w:szCs w:val="24"/>
        </w:rPr>
        <w:t>Evaluation of Project Success</w:t>
      </w:r>
      <w:r w:rsidRPr="004A23D8" w:rsidR="004F3DB5">
        <w:rPr>
          <w:rFonts w:ascii="Times New Roman" w:hAnsi="Times New Roman" w:cs="Times New Roman"/>
          <w:b/>
          <w:bCs/>
          <w:sz w:val="24"/>
          <w:szCs w:val="24"/>
        </w:rPr>
        <w:t xml:space="preserve"> can be identified by, </w:t>
      </w:r>
      <w:r w:rsidR="00D61B25">
        <w:rPr>
          <w:rFonts w:ascii="Times New Roman" w:hAnsi="Times New Roman" w:cs="Times New Roman"/>
          <w:b/>
          <w:bCs/>
          <w:sz w:val="24"/>
          <w:szCs w:val="24"/>
        </w:rPr>
        <w:t>economic impact and market c</w:t>
      </w:r>
      <w:r w:rsidRPr="004A23D8">
        <w:rPr>
          <w:rFonts w:ascii="Times New Roman" w:hAnsi="Times New Roman" w:cs="Times New Roman"/>
          <w:b/>
          <w:bCs/>
          <w:sz w:val="24"/>
          <w:szCs w:val="24"/>
        </w:rPr>
        <w:t>onfidence</w:t>
      </w:r>
      <w:r w:rsidRPr="004A23D8" w:rsidR="006212A0">
        <w:rPr>
          <w:rFonts w:ascii="Times New Roman" w:hAnsi="Times New Roman" w:cs="Times New Roman"/>
          <w:b/>
          <w:bCs/>
          <w:sz w:val="24"/>
          <w:szCs w:val="24"/>
        </w:rPr>
        <w:t xml:space="preserve"> </w:t>
      </w:r>
      <w:r w:rsidRPr="004A23D8" w:rsidR="006212A0">
        <w:rPr>
          <w:rFonts w:ascii="Times New Roman" w:hAnsi="Times New Roman" w:cs="Times New Roman"/>
          <w:sz w:val="24"/>
          <w:szCs w:val="24"/>
        </w:rPr>
        <w:t>are very important after implementing a project in a place, f</w:t>
      </w:r>
      <w:r w:rsidRPr="004A23D8">
        <w:rPr>
          <w:rFonts w:ascii="Times New Roman" w:hAnsi="Times New Roman" w:cs="Times New Roman"/>
          <w:sz w:val="24"/>
          <w:szCs w:val="24"/>
        </w:rPr>
        <w:t>rom the economic point of view, the KGX1 project may turn into a major success in the UK IT market. This entails a very large financial commitment of about $2. Billion also assures flexibility of Google to the economic problems and its readiness to invest in the UK economy</w:t>
      </w:r>
      <w:r w:rsidRPr="004A23D8" w:rsidR="00CA57B6">
        <w:rPr>
          <w:rFonts w:ascii="Times New Roman" w:hAnsi="Times New Roman" w:cs="Times New Roman"/>
          <w:sz w:val="24"/>
          <w:szCs w:val="24"/>
        </w:rPr>
        <w:t xml:space="preserve"> (Trang and Hang, 2023, p. 2438)</w:t>
      </w:r>
      <w:r w:rsidRPr="004A23D8">
        <w:rPr>
          <w:rFonts w:ascii="Times New Roman" w:hAnsi="Times New Roman" w:cs="Times New Roman"/>
          <w:sz w:val="24"/>
          <w:szCs w:val="24"/>
        </w:rPr>
        <w:t>. This is</w:t>
      </w:r>
      <w:r w:rsidRPr="004A23D8" w:rsidR="004F3DB5">
        <w:rPr>
          <w:rFonts w:ascii="Times New Roman" w:hAnsi="Times New Roman" w:cs="Times New Roman"/>
          <w:sz w:val="24"/>
          <w:szCs w:val="24"/>
        </w:rPr>
        <w:t xml:space="preserve"> surely going to give a trickle</w:t>
      </w:r>
      <w:r w:rsidRPr="004A23D8">
        <w:rPr>
          <w:rFonts w:ascii="Times New Roman" w:hAnsi="Times New Roman" w:cs="Times New Roman"/>
          <w:sz w:val="24"/>
          <w:szCs w:val="24"/>
        </w:rPr>
        <w:t>down effect, where the construction industry stands to benefit from this injection of capital while creating employment opportunities for its citizens, not to mention the fact that other tech companies may con</w:t>
      </w:r>
      <w:r w:rsidRPr="004A23D8" w:rsidR="0057007F">
        <w:rPr>
          <w:rFonts w:ascii="Times New Roman" w:hAnsi="Times New Roman" w:cs="Times New Roman"/>
          <w:sz w:val="24"/>
          <w:szCs w:val="24"/>
        </w:rPr>
        <w:t>sider opening branches in the UK</w:t>
      </w:r>
      <w:r w:rsidRPr="004A23D8">
        <w:rPr>
          <w:rFonts w:ascii="Times New Roman" w:hAnsi="Times New Roman" w:cs="Times New Roman"/>
          <w:sz w:val="24"/>
          <w:szCs w:val="24"/>
        </w:rPr>
        <w:t xml:space="preserve">. Having taken the decision to make London its headquarters it has signalled to other multinational corporations that the UK is still open for business even after Brexit. </w:t>
      </w:r>
      <w:r w:rsidRPr="004A23D8" w:rsidR="006212A0">
        <w:rPr>
          <w:rFonts w:ascii="Times New Roman" w:hAnsi="Times New Roman" w:cs="Times New Roman"/>
          <w:sz w:val="24"/>
          <w:szCs w:val="24"/>
        </w:rPr>
        <w:t xml:space="preserve"> </w:t>
      </w:r>
      <w:r w:rsidRPr="004A23D8">
        <w:rPr>
          <w:rFonts w:ascii="Times New Roman" w:hAnsi="Times New Roman" w:cs="Times New Roman"/>
          <w:sz w:val="24"/>
          <w:szCs w:val="24"/>
        </w:rPr>
        <w:t>Furthermore, it is understood that the project will contribute toward attracting tech talent from around the world and strengthen the UK's proposition as a country of innovation and technology. The findings of the study suggest that place-based assets, especially when embodied by a tech firm such as Google can cause a clustering effect, spurring idea exchange, the sharing of best practices as well as stimulating the creation of other new tech firms</w:t>
      </w:r>
      <w:r w:rsidRPr="004A23D8" w:rsidR="00CA57B6">
        <w:rPr>
          <w:rFonts w:ascii="Times New Roman" w:hAnsi="Times New Roman" w:cs="Times New Roman"/>
          <w:sz w:val="24"/>
          <w:szCs w:val="24"/>
        </w:rPr>
        <w:t xml:space="preserve"> (Bittencourt et al., 2023, p. 2603-2629)</w:t>
      </w:r>
      <w:r w:rsidRPr="004A23D8">
        <w:rPr>
          <w:rFonts w:ascii="Times New Roman" w:hAnsi="Times New Roman" w:cs="Times New Roman"/>
          <w:sz w:val="24"/>
          <w:szCs w:val="24"/>
        </w:rPr>
        <w:t xml:space="preserve">. This clustering effect can however greatly positively impact the UK IT sector by promoting the systematic innovation of technology and therefore economy. </w:t>
      </w:r>
    </w:p>
    <w:p w:rsidRPr="004A23D8" w:rsidR="00D5482E" w:rsidP="004A23D8" w:rsidRDefault="00F17F4D" w14:paraId="5339BC12"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When it comes to </w:t>
      </w:r>
      <w:r w:rsidR="00D61B25">
        <w:rPr>
          <w:rFonts w:ascii="Times New Roman" w:hAnsi="Times New Roman" w:cs="Times New Roman"/>
          <w:b/>
          <w:bCs/>
          <w:sz w:val="24"/>
          <w:szCs w:val="24"/>
        </w:rPr>
        <w:t>technological innovation and s</w:t>
      </w:r>
      <w:r w:rsidRPr="004A23D8">
        <w:rPr>
          <w:rFonts w:ascii="Times New Roman" w:hAnsi="Times New Roman" w:cs="Times New Roman"/>
          <w:b/>
          <w:bCs/>
          <w:sz w:val="24"/>
          <w:szCs w:val="24"/>
        </w:rPr>
        <w:t>ustainability</w:t>
      </w:r>
      <w:r w:rsidRPr="004A23D8">
        <w:rPr>
          <w:rFonts w:ascii="Times New Roman" w:hAnsi="Times New Roman" w:cs="Times New Roman"/>
          <w:sz w:val="24"/>
          <w:szCs w:val="24"/>
        </w:rPr>
        <w:t xml:space="preserve"> the project KGX1 reflects Google's distinctive perspective to the formation of buildings which is extremely huge in a popular urban environment. It is also beneficial from the technology and sustainability point of view in the case of the KGX1</w:t>
      </w:r>
      <w:r w:rsidRPr="004A23D8" w:rsidR="00CA57B6">
        <w:rPr>
          <w:rFonts w:ascii="Times New Roman" w:hAnsi="Times New Roman" w:cs="Times New Roman"/>
          <w:sz w:val="24"/>
          <w:szCs w:val="24"/>
        </w:rPr>
        <w:t xml:space="preserve"> (Omri, 2020, p. 106398)</w:t>
      </w:r>
      <w:r w:rsidRPr="004A23D8">
        <w:rPr>
          <w:rFonts w:ascii="Times New Roman" w:hAnsi="Times New Roman" w:cs="Times New Roman"/>
          <w:sz w:val="24"/>
          <w:szCs w:val="24"/>
        </w:rPr>
        <w:t xml:space="preserve">. Daylight control sensors, a Building Management System (BMS), and highly efficient technologies in line with LEED/BREEAM/GRIHA Regulations are employed in the building. These features not only enable the building to run with a minimal carbon footprint but also the quality of life of the occupants of the building increases </w:t>
      </w:r>
      <w:r w:rsidRPr="004A23D8">
        <w:rPr>
          <w:rFonts w:ascii="Times New Roman" w:hAnsi="Times New Roman" w:cs="Times New Roman"/>
          <w:sz w:val="24"/>
          <w:szCs w:val="24"/>
        </w:rPr>
        <w:lastRenderedPageBreak/>
        <w:t xml:space="preserve">hence increasing productivity among others. It is associated with work sustainability, which aims to focus on the protection of the environment, and is especially important in the present conditions – more and more companies and clients pay attention to environmental issues and goals. Google has become a trendsetter here as well with the notion of designing green offices, which is also pivotal as a number of corporations are following the same path. Sustainable building, the employment of various sorts of organic and glass materials in construction, energy-conserving systems and flexibility in green areas can set an inspiration or example </w:t>
      </w:r>
      <w:r w:rsidR="00E5043A">
        <w:rPr>
          <w:rFonts w:ascii="Times New Roman" w:hAnsi="Times New Roman" w:cs="Times New Roman"/>
          <w:sz w:val="24"/>
          <w:szCs w:val="24"/>
        </w:rPr>
        <w:t>for the succeeding structure. "</w:t>
      </w:r>
      <w:r w:rsidRPr="004A23D8">
        <w:rPr>
          <w:rFonts w:ascii="Times New Roman" w:hAnsi="Times New Roman" w:cs="Times New Roman"/>
          <w:sz w:val="24"/>
          <w:szCs w:val="24"/>
        </w:rPr>
        <w:t>This move towards a more eco-friendly approach is crucial for the IT industry, as organisations aim at decreasing their carbon footprint and support the United Nations' sustainable development objectives</w:t>
      </w:r>
      <w:r w:rsidRPr="004A23D8" w:rsidR="002D115A">
        <w:rPr>
          <w:rFonts w:ascii="Times New Roman" w:hAnsi="Times New Roman" w:cs="Times New Roman"/>
          <w:sz w:val="24"/>
          <w:szCs w:val="24"/>
        </w:rPr>
        <w:t xml:space="preserve"> (Whittingham et al., 2023, p. 45-61)</w:t>
      </w:r>
      <w:r w:rsidRPr="004A23D8">
        <w:rPr>
          <w:rFonts w:ascii="Times New Roman" w:hAnsi="Times New Roman" w:cs="Times New Roman"/>
          <w:sz w:val="24"/>
          <w:szCs w:val="24"/>
        </w:rPr>
        <w:t xml:space="preserve">. </w:t>
      </w:r>
    </w:p>
    <w:p w:rsidRPr="004A23D8" w:rsidR="00D5482E" w:rsidP="004A23D8" w:rsidRDefault="00F17F4D" w14:paraId="68F0F047"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Another important factor is </w:t>
      </w:r>
      <w:r w:rsidR="00D61B25">
        <w:rPr>
          <w:rFonts w:ascii="Times New Roman" w:hAnsi="Times New Roman" w:cs="Times New Roman"/>
          <w:b/>
          <w:bCs/>
          <w:sz w:val="24"/>
          <w:szCs w:val="24"/>
        </w:rPr>
        <w:t>challenges and risk m</w:t>
      </w:r>
      <w:r w:rsidRPr="004A23D8">
        <w:rPr>
          <w:rFonts w:ascii="Times New Roman" w:hAnsi="Times New Roman" w:cs="Times New Roman"/>
          <w:b/>
          <w:bCs/>
          <w:sz w:val="24"/>
          <w:szCs w:val="24"/>
        </w:rPr>
        <w:t>anagement</w:t>
      </w:r>
      <w:r w:rsidRPr="004A23D8">
        <w:rPr>
          <w:rFonts w:ascii="Times New Roman" w:hAnsi="Times New Roman" w:cs="Times New Roman"/>
          <w:sz w:val="24"/>
          <w:szCs w:val="24"/>
        </w:rPr>
        <w:t xml:space="preserve"> which is a very important part of a project, which helps to identify the opportunities and upcoming threats in the project. In the case of KGX1, amidst all those achievements, there are a number of problems that emerged in the framework of the KGX1 project, which might affect the prospects for its future development. A large number of activities and an even greater size of the area to be covered have created certain problems of time and cost overruns typical of large construction projects which can be very high-risk bearing</w:t>
      </w:r>
      <w:r w:rsidRPr="004A23D8" w:rsidR="002D115A">
        <w:rPr>
          <w:rFonts w:ascii="Times New Roman" w:hAnsi="Times New Roman" w:cs="Times New Roman"/>
          <w:sz w:val="24"/>
          <w:szCs w:val="24"/>
        </w:rPr>
        <w:t xml:space="preserve"> (Scoones and Stirling, 2020, p. 196)</w:t>
      </w:r>
      <w:r w:rsidRPr="004A23D8">
        <w:rPr>
          <w:rFonts w:ascii="Times New Roman" w:hAnsi="Times New Roman" w:cs="Times New Roman"/>
          <w:sz w:val="24"/>
          <w:szCs w:val="24"/>
        </w:rPr>
        <w:t>. Implementation of superior materials and construction of many facilities have led to a general cost rise, an issue with the feasibility of the project.  Conversely, regulatory approval risks, supply chain problems and market volatility as part of the working model have added elements of risks that might hinder the completion of the project. As another difficulty, it is possible that certain shifts in governmental politics or the economy might present issues to the project's future viability</w:t>
      </w:r>
      <w:r w:rsidRPr="004A23D8" w:rsidR="002D115A">
        <w:rPr>
          <w:rFonts w:ascii="Times New Roman" w:hAnsi="Times New Roman" w:cs="Times New Roman"/>
          <w:sz w:val="24"/>
          <w:szCs w:val="24"/>
        </w:rPr>
        <w:t xml:space="preserve"> (</w:t>
      </w:r>
      <w:proofErr w:type="spellStart"/>
      <w:r w:rsidRPr="004A23D8" w:rsidR="002D115A">
        <w:rPr>
          <w:rFonts w:ascii="Times New Roman" w:hAnsi="Times New Roman" w:cs="Times New Roman"/>
          <w:sz w:val="24"/>
          <w:szCs w:val="24"/>
        </w:rPr>
        <w:t>Gurtu</w:t>
      </w:r>
      <w:proofErr w:type="spellEnd"/>
      <w:r w:rsidRPr="004A23D8" w:rsidR="002D115A">
        <w:rPr>
          <w:rFonts w:ascii="Times New Roman" w:hAnsi="Times New Roman" w:cs="Times New Roman"/>
          <w:sz w:val="24"/>
          <w:szCs w:val="24"/>
        </w:rPr>
        <w:t xml:space="preserve"> and Johny, 2021, p. 16)</w:t>
      </w:r>
      <w:r w:rsidRPr="004A23D8">
        <w:rPr>
          <w:rFonts w:ascii="Times New Roman" w:hAnsi="Times New Roman" w:cs="Times New Roman"/>
          <w:sz w:val="24"/>
          <w:szCs w:val="24"/>
        </w:rPr>
        <w:t xml:space="preserve">. For instance, a change in the market; say, the real estate market, or changes in regulatory environment, may affect the cost and the returns of the project significantly. </w:t>
      </w:r>
    </w:p>
    <w:p w:rsidRPr="004A23D8" w:rsidR="00D5482E" w:rsidP="004A23D8" w:rsidRDefault="00F17F4D" w14:paraId="7E3EC9A7"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When talking about</w:t>
      </w:r>
      <w:r w:rsidR="00D61B25">
        <w:rPr>
          <w:rFonts w:ascii="Times New Roman" w:hAnsi="Times New Roman" w:cs="Times New Roman"/>
          <w:b/>
          <w:bCs/>
          <w:sz w:val="24"/>
          <w:szCs w:val="24"/>
        </w:rPr>
        <w:t xml:space="preserve"> cultural and community i</w:t>
      </w:r>
      <w:r w:rsidRPr="004A23D8">
        <w:rPr>
          <w:rFonts w:ascii="Times New Roman" w:hAnsi="Times New Roman" w:cs="Times New Roman"/>
          <w:b/>
          <w:bCs/>
          <w:sz w:val="24"/>
          <w:szCs w:val="24"/>
        </w:rPr>
        <w:t>mpact</w:t>
      </w:r>
      <w:r w:rsidRPr="004A23D8">
        <w:rPr>
          <w:rFonts w:ascii="Times New Roman" w:hAnsi="Times New Roman" w:cs="Times New Roman"/>
          <w:sz w:val="24"/>
          <w:szCs w:val="24"/>
        </w:rPr>
        <w:t>, the KGX1 project is a project that has the capacity to alter the face of King’s Cross and its surrounding areas as far as the local community and cultural heritage are concerned. The construction of a mega headquarters in an urban context offers the contextual neighbo</w:t>
      </w:r>
      <w:r w:rsidRPr="004A23D8" w:rsidR="0057007F">
        <w:rPr>
          <w:rFonts w:ascii="Times New Roman" w:hAnsi="Times New Roman" w:cs="Times New Roman"/>
          <w:sz w:val="24"/>
          <w:szCs w:val="24"/>
        </w:rPr>
        <w:t>u</w:t>
      </w:r>
      <w:r w:rsidRPr="004A23D8">
        <w:rPr>
          <w:rFonts w:ascii="Times New Roman" w:hAnsi="Times New Roman" w:cs="Times New Roman"/>
          <w:sz w:val="24"/>
          <w:szCs w:val="24"/>
        </w:rPr>
        <w:t>rhood, both possibilities and risks</w:t>
      </w:r>
      <w:r w:rsidRPr="004A23D8" w:rsidR="002D115A">
        <w:rPr>
          <w:rFonts w:ascii="Times New Roman" w:hAnsi="Times New Roman" w:cs="Times New Roman"/>
          <w:sz w:val="24"/>
          <w:szCs w:val="24"/>
        </w:rPr>
        <w:t xml:space="preserve"> (Evans, 2020, p. 116-140)</w:t>
      </w:r>
      <w:r w:rsidRPr="004A23D8">
        <w:rPr>
          <w:rFonts w:ascii="Times New Roman" w:hAnsi="Times New Roman" w:cs="Times New Roman"/>
          <w:sz w:val="24"/>
          <w:szCs w:val="24"/>
        </w:rPr>
        <w:t xml:space="preserve">. On the one hand, it can lead to economic development, and employment opportunities as well as improve the image of the area. On the other hand, it may cause people to be worried about </w:t>
      </w:r>
      <w:r w:rsidRPr="004A23D8">
        <w:rPr>
          <w:rFonts w:ascii="Times New Roman" w:hAnsi="Times New Roman" w:cs="Times New Roman"/>
          <w:sz w:val="24"/>
          <w:szCs w:val="24"/>
        </w:rPr>
        <w:lastRenderedPageBreak/>
        <w:t xml:space="preserve">gentrification, rising property prices, or even a tendency to evict the original inhabitants of the district. However, Google has tried to follow suit and meet the concerns of the local people through public opinions and consultations, and operation of community-based programs, and investment in social facilities. Thus, it is possible to note that the positive effects of the project on the community and Google's actions can help to reduce some negative outcomes and promote a mutually beneficial result. </w:t>
      </w:r>
    </w:p>
    <w:p w:rsidRPr="004A23D8" w:rsidR="00D5482E" w:rsidP="004A23D8" w:rsidRDefault="00F17F4D" w14:paraId="49CB0128"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By analysing the outcomes of the project, and c</w:t>
      </w:r>
      <w:r w:rsidRPr="004A23D8" w:rsidR="0057007F">
        <w:rPr>
          <w:rFonts w:ascii="Times New Roman" w:hAnsi="Times New Roman" w:cs="Times New Roman"/>
          <w:sz w:val="24"/>
          <w:szCs w:val="24"/>
        </w:rPr>
        <w:t>onsidering the factors analys</w:t>
      </w:r>
      <w:r w:rsidRPr="004A23D8">
        <w:rPr>
          <w:rFonts w:ascii="Times New Roman" w:hAnsi="Times New Roman" w:cs="Times New Roman"/>
          <w:sz w:val="24"/>
          <w:szCs w:val="24"/>
        </w:rPr>
        <w:t>ed in the case of the KGX1 project, it may be argued that this project can be considered a positive one for the further development of the IT sector in the UK. It is quite clear that the project has successfully accomplished a number of goals such as the consolidation of the major position in the British market, the successful implementation of technological changes as well as sustainability, and support of the British economy</w:t>
      </w:r>
      <w:r w:rsidRPr="004A23D8" w:rsidR="002D115A">
        <w:rPr>
          <w:rFonts w:ascii="Times New Roman" w:hAnsi="Times New Roman" w:cs="Times New Roman"/>
          <w:sz w:val="24"/>
          <w:szCs w:val="24"/>
        </w:rPr>
        <w:t xml:space="preserve"> (Polden et al., 2023, p. 459-467)</w:t>
      </w:r>
      <w:r w:rsidRPr="004A23D8">
        <w:rPr>
          <w:rFonts w:ascii="Times New Roman" w:hAnsi="Times New Roman" w:cs="Times New Roman"/>
          <w:sz w:val="24"/>
          <w:szCs w:val="24"/>
        </w:rPr>
        <w:t>. The objective of the project to enhance sustainability and people's health and safety in the facilities is also relevant to the present trends and carries a suitable signal for other companies in the industry. It is also crucial to name the drawbacks and the possible threats which exist as a result of carrying out the project. Cost control may become an issue as do time constraints, because of potential over-expenditure and external influences to the project. Nonetheless, from the company's side, there is a strong commitment to risk management, stakeholders, and community which proves that Google is ready for solutions to these challenges for the project's sustainability. In synthesis, the subject case of the KGX1 project means a considerable contribution towards improving the potential of the UK in the IT field</w:t>
      </w:r>
      <w:r w:rsidRPr="004A23D8" w:rsidR="002D115A">
        <w:rPr>
          <w:rFonts w:ascii="Times New Roman" w:hAnsi="Times New Roman" w:cs="Times New Roman"/>
          <w:sz w:val="24"/>
          <w:szCs w:val="24"/>
        </w:rPr>
        <w:t xml:space="preserve"> (</w:t>
      </w:r>
      <w:proofErr w:type="spellStart"/>
      <w:r w:rsidRPr="004A23D8" w:rsidR="002D115A">
        <w:rPr>
          <w:rFonts w:ascii="Times New Roman" w:hAnsi="Times New Roman" w:cs="Times New Roman"/>
          <w:sz w:val="24"/>
          <w:szCs w:val="24"/>
        </w:rPr>
        <w:t>Nizetic</w:t>
      </w:r>
      <w:proofErr w:type="spellEnd"/>
      <w:r w:rsidRPr="004A23D8" w:rsidR="002D115A">
        <w:rPr>
          <w:rFonts w:ascii="Times New Roman" w:hAnsi="Times New Roman" w:cs="Times New Roman"/>
          <w:sz w:val="24"/>
          <w:szCs w:val="24"/>
        </w:rPr>
        <w:t xml:space="preserve"> et al., 2020, p. 122877)</w:t>
      </w:r>
      <w:r w:rsidRPr="004A23D8">
        <w:rPr>
          <w:rFonts w:ascii="Times New Roman" w:hAnsi="Times New Roman" w:cs="Times New Roman"/>
          <w:sz w:val="24"/>
          <w:szCs w:val="24"/>
        </w:rPr>
        <w:t>. The invention of the new state-of-the-art headquarters in London shows Google is bounding itself as a tech giant company and at the same time helping the growth of the new innovative digital economy in the UK.</w:t>
      </w:r>
    </w:p>
    <w:p w:rsidRPr="004A23D8" w:rsidR="004F3DB5" w:rsidP="004A23D8" w:rsidRDefault="00F17F4D" w14:paraId="0BF82E2E"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b/>
          <w:bCs/>
          <w:sz w:val="24"/>
          <w:szCs w:val="24"/>
        </w:rPr>
        <w:t>On the basis of the above analysis following are the l</w:t>
      </w:r>
      <w:r w:rsidRPr="004A23D8" w:rsidR="00D5482E">
        <w:rPr>
          <w:rFonts w:ascii="Times New Roman" w:hAnsi="Times New Roman" w:cs="Times New Roman"/>
          <w:b/>
          <w:bCs/>
          <w:sz w:val="24"/>
          <w:szCs w:val="24"/>
        </w:rPr>
        <w:t>essons Learned and Recommendations for Future Projects</w:t>
      </w:r>
      <w:r w:rsidRPr="004A23D8">
        <w:rPr>
          <w:rFonts w:ascii="Times New Roman" w:hAnsi="Times New Roman" w:cs="Times New Roman"/>
          <w:sz w:val="24"/>
          <w:szCs w:val="24"/>
        </w:rPr>
        <w:t>, Pointing</w:t>
      </w:r>
      <w:r w:rsidRPr="004A23D8" w:rsidR="00D5482E">
        <w:rPr>
          <w:rFonts w:ascii="Times New Roman" w:hAnsi="Times New Roman" w:cs="Times New Roman"/>
          <w:sz w:val="24"/>
          <w:szCs w:val="24"/>
        </w:rPr>
        <w:t xml:space="preserve"> out several valuable lessons that can be learned from the KGX1 project when it comes to planning subsequent IT projects or other kinds of projects in general. One of the many things that can be learnt from this case is the need to enhance project management controls and risk management plans. Complex projects need to be properly managed and there has to be a coordination mechanism in place in order to execute the project and reduce potential problems to the utmost</w:t>
      </w:r>
      <w:r w:rsidRPr="004A23D8" w:rsidR="004A23D8">
        <w:rPr>
          <w:rFonts w:ascii="Times New Roman" w:hAnsi="Times New Roman" w:cs="Times New Roman"/>
          <w:sz w:val="24"/>
          <w:szCs w:val="24"/>
        </w:rPr>
        <w:t xml:space="preserve"> (Harris, 2022)</w:t>
      </w:r>
      <w:r w:rsidRPr="004A23D8" w:rsidR="00D5482E">
        <w:rPr>
          <w:rFonts w:ascii="Times New Roman" w:hAnsi="Times New Roman" w:cs="Times New Roman"/>
          <w:sz w:val="24"/>
          <w:szCs w:val="24"/>
        </w:rPr>
        <w:t xml:space="preserve">. Using proper tools and Project management methodologies, </w:t>
      </w:r>
      <w:r w:rsidR="00C220DC">
        <w:rPr>
          <w:rFonts w:ascii="Times New Roman" w:hAnsi="Times New Roman" w:cs="Times New Roman"/>
          <w:sz w:val="24"/>
          <w:szCs w:val="24"/>
        </w:rPr>
        <w:lastRenderedPageBreak/>
        <w:t>organis</w:t>
      </w:r>
      <w:r w:rsidRPr="004A23D8" w:rsidR="00D5482E">
        <w:rPr>
          <w:rFonts w:ascii="Times New Roman" w:hAnsi="Times New Roman" w:cs="Times New Roman"/>
          <w:sz w:val="24"/>
          <w:szCs w:val="24"/>
        </w:rPr>
        <w:t>ations can carefully handle probable risks and achieve goals in terms of time and cost. Another is the fact that sustainable and environmental concerns are integral parts of the new construction projects. Analysing the practices implemented by the KGX1 project it is possible to conclude that integrating sustainable solutions as well as the application of specific technologies allows not only to decrease the unfavo</w:t>
      </w:r>
      <w:r w:rsidRPr="004A23D8" w:rsidR="0057007F">
        <w:rPr>
          <w:rFonts w:ascii="Times New Roman" w:hAnsi="Times New Roman" w:cs="Times New Roman"/>
          <w:sz w:val="24"/>
          <w:szCs w:val="24"/>
        </w:rPr>
        <w:t>u</w:t>
      </w:r>
      <w:r w:rsidRPr="004A23D8" w:rsidR="00D5482E">
        <w:rPr>
          <w:rFonts w:ascii="Times New Roman" w:hAnsi="Times New Roman" w:cs="Times New Roman"/>
          <w:sz w:val="24"/>
          <w:szCs w:val="24"/>
        </w:rPr>
        <w:t>rable impact on the environment but also to increase the project's value and popularity among clients. Thus, sustainable goals should be an integral part of the projects that companies have committed to and practised in the implementation of green building standards; the use of new and innovative materials; and energy systems. Besides, the KGX1 project also demonstrates that social responsibility and engaging the communities are critical in any business</w:t>
      </w:r>
      <w:r w:rsidRPr="004A23D8" w:rsidR="004A23D8">
        <w:rPr>
          <w:rFonts w:ascii="Times New Roman" w:hAnsi="Times New Roman" w:cs="Times New Roman"/>
          <w:sz w:val="24"/>
          <w:szCs w:val="24"/>
        </w:rPr>
        <w:t xml:space="preserve"> (BDP, 2024)</w:t>
      </w:r>
      <w:r w:rsidRPr="004A23D8" w:rsidR="00D5482E">
        <w:rPr>
          <w:rFonts w:ascii="Times New Roman" w:hAnsi="Times New Roman" w:cs="Times New Roman"/>
          <w:sz w:val="24"/>
          <w:szCs w:val="24"/>
        </w:rPr>
        <w:t>. Real estate development projects, especially large-scale ones, have effects on the host communities and organi</w:t>
      </w:r>
      <w:r w:rsidR="00C220DC">
        <w:rPr>
          <w:rFonts w:ascii="Times New Roman" w:hAnsi="Times New Roman" w:cs="Times New Roman"/>
          <w:sz w:val="24"/>
          <w:szCs w:val="24"/>
        </w:rPr>
        <w:t>s</w:t>
      </w:r>
      <w:r w:rsidRPr="004A23D8" w:rsidR="00D5482E">
        <w:rPr>
          <w:rFonts w:ascii="Times New Roman" w:hAnsi="Times New Roman" w:cs="Times New Roman"/>
          <w:sz w:val="24"/>
          <w:szCs w:val="24"/>
        </w:rPr>
        <w:t xml:space="preserve">ations involved need to fully manage these effects and cultivate good relations with the locals. Community participation, careful listening to what the community wants and provision of adequate infrastructure to facilitate the project are some of the ways that companies for the right projects will help them as well as the community. </w:t>
      </w:r>
    </w:p>
    <w:p w:rsidRPr="004A23D8" w:rsidR="00D5482E" w:rsidP="004A23D8" w:rsidRDefault="00F17F4D" w14:paraId="4B105B99"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For the upcoming projects here are </w:t>
      </w:r>
      <w:r w:rsidRPr="00C220DC" w:rsidR="0057007F">
        <w:rPr>
          <w:rFonts w:ascii="Times New Roman" w:hAnsi="Times New Roman" w:cs="Times New Roman"/>
          <w:b/>
          <w:bCs/>
          <w:sz w:val="24"/>
          <w:szCs w:val="24"/>
        </w:rPr>
        <w:t>some recommendations</w:t>
      </w:r>
      <w:r w:rsidRPr="004A23D8" w:rsidR="0057007F">
        <w:rPr>
          <w:rFonts w:ascii="Times New Roman" w:hAnsi="Times New Roman" w:cs="Times New Roman"/>
          <w:sz w:val="24"/>
          <w:szCs w:val="24"/>
        </w:rPr>
        <w:t xml:space="preserve"> </w:t>
      </w:r>
      <w:r w:rsidRPr="004A23D8">
        <w:rPr>
          <w:rFonts w:ascii="Times New Roman" w:hAnsi="Times New Roman" w:cs="Times New Roman"/>
          <w:sz w:val="24"/>
          <w:szCs w:val="24"/>
        </w:rPr>
        <w:t xml:space="preserve">that </w:t>
      </w:r>
      <w:r w:rsidRPr="004A23D8" w:rsidR="0057007F">
        <w:rPr>
          <w:rFonts w:ascii="Times New Roman" w:hAnsi="Times New Roman" w:cs="Times New Roman"/>
          <w:sz w:val="24"/>
          <w:szCs w:val="24"/>
        </w:rPr>
        <w:t>can be followed,</w:t>
      </w:r>
      <w:r w:rsidRPr="004A23D8">
        <w:rPr>
          <w:rFonts w:ascii="Times New Roman" w:hAnsi="Times New Roman" w:cs="Times New Roman"/>
          <w:sz w:val="24"/>
          <w:szCs w:val="24"/>
        </w:rPr>
        <w:t xml:space="preserve"> </w:t>
      </w:r>
      <w:r w:rsidR="00E5043A">
        <w:rPr>
          <w:rFonts w:ascii="Times New Roman" w:hAnsi="Times New Roman" w:cs="Times New Roman"/>
          <w:b/>
          <w:bCs/>
          <w:sz w:val="24"/>
          <w:szCs w:val="24"/>
        </w:rPr>
        <w:t>implementing robust project management p</w:t>
      </w:r>
      <w:r w:rsidRPr="004A23D8">
        <w:rPr>
          <w:rFonts w:ascii="Times New Roman" w:hAnsi="Times New Roman" w:cs="Times New Roman"/>
          <w:b/>
          <w:bCs/>
          <w:sz w:val="24"/>
          <w:szCs w:val="24"/>
        </w:rPr>
        <w:t>ractices</w:t>
      </w:r>
      <w:r w:rsidRPr="004A23D8">
        <w:rPr>
          <w:rFonts w:ascii="Times New Roman" w:hAnsi="Times New Roman" w:cs="Times New Roman"/>
          <w:sz w:val="24"/>
          <w:szCs w:val="24"/>
        </w:rPr>
        <w:t xml:space="preserve">, integrating acquired tools and techniques of using comprehensive project management in order to plan, implement, and control projects. Some of them include outlining a clear project schedule, stating clear goals and objectives and also outlining a clear line of communication with the stakeholders. Next </w:t>
      </w:r>
      <w:r w:rsidR="00E5043A">
        <w:rPr>
          <w:rFonts w:ascii="Times New Roman" w:hAnsi="Times New Roman" w:cs="Times New Roman"/>
          <w:b/>
          <w:bCs/>
          <w:sz w:val="24"/>
          <w:szCs w:val="24"/>
        </w:rPr>
        <w:t>p</w:t>
      </w:r>
      <w:r w:rsidRPr="004A23D8">
        <w:rPr>
          <w:rFonts w:ascii="Times New Roman" w:hAnsi="Times New Roman" w:cs="Times New Roman"/>
          <w:b/>
          <w:bCs/>
          <w:sz w:val="24"/>
          <w:szCs w:val="24"/>
        </w:rPr>
        <w:t>rioriti</w:t>
      </w:r>
      <w:r w:rsidR="00C220DC">
        <w:rPr>
          <w:rFonts w:ascii="Times New Roman" w:hAnsi="Times New Roman" w:cs="Times New Roman"/>
          <w:b/>
          <w:bCs/>
          <w:sz w:val="24"/>
          <w:szCs w:val="24"/>
        </w:rPr>
        <w:t>s</w:t>
      </w:r>
      <w:r w:rsidR="00E5043A">
        <w:rPr>
          <w:rFonts w:ascii="Times New Roman" w:hAnsi="Times New Roman" w:cs="Times New Roman"/>
          <w:b/>
          <w:bCs/>
          <w:sz w:val="24"/>
          <w:szCs w:val="24"/>
        </w:rPr>
        <w:t>e sustainability and i</w:t>
      </w:r>
      <w:r w:rsidRPr="004A23D8">
        <w:rPr>
          <w:rFonts w:ascii="Times New Roman" w:hAnsi="Times New Roman" w:cs="Times New Roman"/>
          <w:b/>
          <w:bCs/>
          <w:sz w:val="24"/>
          <w:szCs w:val="24"/>
        </w:rPr>
        <w:t>nnovation</w:t>
      </w:r>
      <w:r w:rsidRPr="004A23D8">
        <w:rPr>
          <w:rFonts w:ascii="Times New Roman" w:hAnsi="Times New Roman" w:cs="Times New Roman"/>
          <w:sz w:val="24"/>
          <w:szCs w:val="24"/>
        </w:rPr>
        <w:t>, on the basis of this integrate effective measures mainly in reference to the environment and create efficiency through innovation</w:t>
      </w:r>
      <w:r w:rsidRPr="004A23D8" w:rsidR="004A23D8">
        <w:rPr>
          <w:rFonts w:ascii="Times New Roman" w:hAnsi="Times New Roman" w:cs="Times New Roman"/>
          <w:sz w:val="24"/>
          <w:szCs w:val="24"/>
        </w:rPr>
        <w:t xml:space="preserve"> (Ahmadi et al., 2020, p. 123261)</w:t>
      </w:r>
      <w:r w:rsidRPr="004A23D8">
        <w:rPr>
          <w:rFonts w:ascii="Times New Roman" w:hAnsi="Times New Roman" w:cs="Times New Roman"/>
          <w:sz w:val="24"/>
          <w:szCs w:val="24"/>
        </w:rPr>
        <w:t>. To do this, utili</w:t>
      </w:r>
      <w:r w:rsidR="00C220DC">
        <w:rPr>
          <w:rFonts w:ascii="Times New Roman" w:hAnsi="Times New Roman" w:cs="Times New Roman"/>
          <w:sz w:val="24"/>
          <w:szCs w:val="24"/>
        </w:rPr>
        <w:t>s</w:t>
      </w:r>
      <w:r w:rsidRPr="004A23D8">
        <w:rPr>
          <w:rFonts w:ascii="Times New Roman" w:hAnsi="Times New Roman" w:cs="Times New Roman"/>
          <w:sz w:val="24"/>
          <w:szCs w:val="24"/>
        </w:rPr>
        <w:t xml:space="preserve">e environmentally friendly standards in building construction, incorporate unique materials, and develop environmentally friendly systems that shall enable the development of a sustainable and resilient project.  Also </w:t>
      </w:r>
      <w:r w:rsidR="00E5043A">
        <w:rPr>
          <w:rFonts w:ascii="Times New Roman" w:hAnsi="Times New Roman" w:cs="Times New Roman"/>
          <w:b/>
          <w:bCs/>
          <w:sz w:val="24"/>
          <w:szCs w:val="24"/>
        </w:rPr>
        <w:t>engage with the c</w:t>
      </w:r>
      <w:r w:rsidRPr="004A23D8">
        <w:rPr>
          <w:rFonts w:ascii="Times New Roman" w:hAnsi="Times New Roman" w:cs="Times New Roman"/>
          <w:b/>
          <w:bCs/>
          <w:sz w:val="24"/>
          <w:szCs w:val="24"/>
        </w:rPr>
        <w:t>ommunity</w:t>
      </w:r>
      <w:r w:rsidRPr="004A23D8">
        <w:rPr>
          <w:rFonts w:ascii="Times New Roman" w:hAnsi="Times New Roman" w:cs="Times New Roman"/>
          <w:sz w:val="24"/>
          <w:szCs w:val="24"/>
        </w:rPr>
        <w:t xml:space="preserve">, to seek community and stakeholder approval to don't have to combat their concerns and opposition while ensuring that projects yield positive results for the firm and the community. Engage in community outreach, forward infrastructure within the community and show concern for corporate social responsibility. Google have to </w:t>
      </w:r>
      <w:r w:rsidR="00E5043A">
        <w:rPr>
          <w:rFonts w:ascii="Times New Roman" w:hAnsi="Times New Roman" w:cs="Times New Roman"/>
          <w:b/>
          <w:bCs/>
          <w:sz w:val="24"/>
          <w:szCs w:val="24"/>
        </w:rPr>
        <w:t>manage risks e</w:t>
      </w:r>
      <w:r w:rsidRPr="004A23D8">
        <w:rPr>
          <w:rFonts w:ascii="Times New Roman" w:hAnsi="Times New Roman" w:cs="Times New Roman"/>
          <w:b/>
          <w:bCs/>
          <w:sz w:val="24"/>
          <w:szCs w:val="24"/>
        </w:rPr>
        <w:t>ffectively</w:t>
      </w:r>
      <w:r w:rsidRPr="004A23D8">
        <w:rPr>
          <w:rFonts w:ascii="Times New Roman" w:hAnsi="Times New Roman" w:cs="Times New Roman"/>
          <w:sz w:val="24"/>
          <w:szCs w:val="24"/>
        </w:rPr>
        <w:t xml:space="preserve">, it should work on the failures forecast during the project and try to prevent them if it is possible. This involves risk surveillance, development of business continuity plans, and procedural adaptability to provide for an ever-shifting dynamic. Also, it has to </w:t>
      </w:r>
      <w:r w:rsidRPr="004A23D8">
        <w:rPr>
          <w:rFonts w:ascii="Times New Roman" w:hAnsi="Times New Roman" w:cs="Times New Roman"/>
          <w:b/>
          <w:bCs/>
          <w:sz w:val="24"/>
          <w:szCs w:val="24"/>
        </w:rPr>
        <w:t>Foste</w:t>
      </w:r>
      <w:r w:rsidR="00E5043A">
        <w:rPr>
          <w:rFonts w:ascii="Times New Roman" w:hAnsi="Times New Roman" w:cs="Times New Roman"/>
          <w:b/>
          <w:bCs/>
          <w:sz w:val="24"/>
          <w:szCs w:val="24"/>
        </w:rPr>
        <w:t>r a positive work e</w:t>
      </w:r>
      <w:r w:rsidRPr="004A23D8">
        <w:rPr>
          <w:rFonts w:ascii="Times New Roman" w:hAnsi="Times New Roman" w:cs="Times New Roman"/>
          <w:b/>
          <w:bCs/>
          <w:sz w:val="24"/>
          <w:szCs w:val="24"/>
        </w:rPr>
        <w:t>nvironment</w:t>
      </w:r>
      <w:r w:rsidRPr="004A23D8">
        <w:rPr>
          <w:rFonts w:ascii="Times New Roman" w:hAnsi="Times New Roman" w:cs="Times New Roman"/>
          <w:sz w:val="24"/>
          <w:szCs w:val="24"/>
        </w:rPr>
        <w:t xml:space="preserve">, exempt employees should undertake design projects so that their </w:t>
      </w:r>
      <w:r w:rsidRPr="004A23D8">
        <w:rPr>
          <w:rFonts w:ascii="Times New Roman" w:hAnsi="Times New Roman" w:cs="Times New Roman"/>
          <w:sz w:val="24"/>
          <w:szCs w:val="24"/>
        </w:rPr>
        <w:lastRenderedPageBreak/>
        <w:t>welfare and the prevailing working climate will be improved</w:t>
      </w:r>
      <w:r w:rsidRPr="004A23D8" w:rsidR="004A23D8">
        <w:rPr>
          <w:rFonts w:ascii="Times New Roman" w:hAnsi="Times New Roman" w:cs="Times New Roman"/>
          <w:sz w:val="24"/>
          <w:szCs w:val="24"/>
        </w:rPr>
        <w:t xml:space="preserve"> (Mayfield et al., 2020, p. 715-735)</w:t>
      </w:r>
      <w:r w:rsidRPr="004A23D8">
        <w:rPr>
          <w:rFonts w:ascii="Times New Roman" w:hAnsi="Times New Roman" w:cs="Times New Roman"/>
          <w:sz w:val="24"/>
          <w:szCs w:val="24"/>
        </w:rPr>
        <w:t xml:space="preserve">. Stakeholder’s welfare is a core element in sustainable property development; therefore, include recreational amenities, workspaces, and gardening areas. </w:t>
      </w:r>
    </w:p>
    <w:p w:rsidRPr="004A23D8" w:rsidR="00D5482E" w:rsidP="004A23D8" w:rsidRDefault="00F17F4D" w14:paraId="4D96E1F6" w14:textId="77777777">
      <w:pPr>
        <w:pStyle w:val="Heading1"/>
        <w:spacing w:line="360" w:lineRule="auto"/>
        <w:jc w:val="both"/>
        <w:rPr>
          <w:rFonts w:ascii="Times New Roman" w:hAnsi="Times New Roman" w:cs="Times New Roman"/>
        </w:rPr>
      </w:pPr>
      <w:bookmarkStart w:name="_Toc175820995" w:id="2"/>
      <w:r w:rsidRPr="004A23D8">
        <w:rPr>
          <w:rFonts w:ascii="Times New Roman" w:hAnsi="Times New Roman" w:cs="Times New Roman"/>
        </w:rPr>
        <w:t>Conclusion</w:t>
      </w:r>
      <w:bookmarkEnd w:id="2"/>
    </w:p>
    <w:p w:rsidRPr="004A23D8" w:rsidR="00D5482E" w:rsidP="004A23D8" w:rsidRDefault="00F17F4D" w14:paraId="30676AFE" w14:textId="77777777">
      <w:pPr>
        <w:pStyle w:val="NormalWeb"/>
        <w:spacing w:before="240" w:beforeAutospacing="0" w:line="360" w:lineRule="auto"/>
        <w:jc w:val="both"/>
        <w:rPr>
          <w:lang w:val="en-GB"/>
        </w:rPr>
      </w:pPr>
      <w:r w:rsidRPr="004A23D8">
        <w:rPr>
          <w:lang w:val="en-GB"/>
        </w:rPr>
        <w:t>KGX1,</w:t>
      </w:r>
      <w:r w:rsidRPr="004A23D8" w:rsidR="004F3DB5">
        <w:rPr>
          <w:lang w:val="en-GB"/>
        </w:rPr>
        <w:t xml:space="preserve"> </w:t>
      </w:r>
      <w:r w:rsidRPr="004A23D8">
        <w:rPr>
          <w:lang w:val="en-GB"/>
        </w:rPr>
        <w:t>A</w:t>
      </w:r>
      <w:r w:rsidRPr="004A23D8" w:rsidR="004F3DB5">
        <w:rPr>
          <w:lang w:val="en-GB"/>
        </w:rPr>
        <w:t xml:space="preserve"> New Campus for Google London, t</w:t>
      </w:r>
      <w:r w:rsidRPr="004A23D8">
        <w:rPr>
          <w:lang w:val="en-GB"/>
        </w:rPr>
        <w:t>his is quite a massive endeavo</w:t>
      </w:r>
      <w:r w:rsidRPr="004A23D8" w:rsidR="0057007F">
        <w:rPr>
          <w:lang w:val="en-GB"/>
        </w:rPr>
        <w:t>u</w:t>
      </w:r>
      <w:r w:rsidRPr="004A23D8">
        <w:rPr>
          <w:lang w:val="en-GB"/>
        </w:rPr>
        <w:t xml:space="preserve">r for the company and will also spur the growth in IT business in the country. </w:t>
      </w:r>
      <w:r w:rsidRPr="004A23D8" w:rsidR="004F3DB5">
        <w:rPr>
          <w:lang w:val="en-GB"/>
        </w:rPr>
        <w:t>By investing approximately $2.</w:t>
      </w:r>
      <w:r w:rsidRPr="004A23D8">
        <w:rPr>
          <w:lang w:val="en-GB"/>
        </w:rPr>
        <w:t>3 billion in a new sustainable innovative and employee-focused space, Google is doubling down on the UK market and raising the bar on workplace design. The project is to provide help for improving the economy of the region, to draw international technology specialists and to contribute to the further development of technologies in the region. The given project can be described as successful in terms of risk and stakeholder management although it was not free from such impediments as cost and time overruns. In order to achieve similar results on other similar projects in the future, it is imperative that there should be proper project management, issues related to sustainability, and active stakeholders' involvement. Managers should also care about creating good organi</w:t>
      </w:r>
      <w:r w:rsidR="00C220DC">
        <w:rPr>
          <w:lang w:val="en-GB"/>
        </w:rPr>
        <w:t>s</w:t>
      </w:r>
      <w:r w:rsidRPr="004A23D8">
        <w:rPr>
          <w:lang w:val="en-GB"/>
        </w:rPr>
        <w:t xml:space="preserve">ational climates and designing workable schedules that can be easily amended in case of disruption. Therefore, in following the above recommendations, subsequent project investments can improve their likelihood of success and prosperity for the business and the community at large. </w:t>
      </w:r>
    </w:p>
    <w:p w:rsidRPr="004A23D8" w:rsidR="004A23D8" w:rsidP="004A23D8" w:rsidRDefault="00F17F4D" w14:paraId="0A8056D6" w14:textId="77777777">
      <w:pPr>
        <w:spacing w:line="360" w:lineRule="auto"/>
        <w:jc w:val="both"/>
        <w:rPr>
          <w:rFonts w:ascii="Times New Roman" w:hAnsi="Times New Roman" w:eastAsia="Times New Roman" w:cs="Times New Roman"/>
          <w:sz w:val="24"/>
          <w:szCs w:val="24"/>
          <w:lang w:bidi="bn-BD"/>
        </w:rPr>
      </w:pPr>
      <w:r w:rsidRPr="004A23D8">
        <w:rPr>
          <w:rFonts w:ascii="Times New Roman" w:hAnsi="Times New Roman" w:cs="Times New Roman"/>
        </w:rPr>
        <w:br w:type="page"/>
      </w:r>
    </w:p>
    <w:p w:rsidRPr="004A23D8" w:rsidR="00D5482E" w:rsidP="004A23D8" w:rsidRDefault="00F17F4D" w14:paraId="78900AEF" w14:textId="77777777">
      <w:pPr>
        <w:pStyle w:val="Heading1"/>
        <w:spacing w:line="360" w:lineRule="auto"/>
        <w:jc w:val="both"/>
        <w:rPr>
          <w:rFonts w:ascii="Times New Roman" w:hAnsi="Times New Roman" w:cs="Times New Roman"/>
        </w:rPr>
      </w:pPr>
      <w:bookmarkStart w:name="_Toc175820996" w:id="3"/>
      <w:r w:rsidRPr="004A23D8">
        <w:rPr>
          <w:rFonts w:ascii="Times New Roman" w:hAnsi="Times New Roman" w:cs="Times New Roman"/>
        </w:rPr>
        <w:lastRenderedPageBreak/>
        <w:t>References</w:t>
      </w:r>
      <w:bookmarkEnd w:id="3"/>
      <w:r w:rsidRPr="004A23D8">
        <w:rPr>
          <w:rFonts w:ascii="Times New Roman" w:hAnsi="Times New Roman" w:cs="Times New Roman"/>
        </w:rPr>
        <w:t xml:space="preserve"> </w:t>
      </w:r>
    </w:p>
    <w:p w:rsidRPr="004A23D8" w:rsidR="004A23D8" w:rsidP="004A23D8" w:rsidRDefault="00F17F4D" w14:paraId="49005FB2" w14:textId="77777777">
      <w:pPr>
        <w:pStyle w:val="NormalWeb"/>
        <w:spacing w:beforeAutospacing="0" w:after="240" w:afterAutospacing="0" w:line="360" w:lineRule="auto"/>
        <w:jc w:val="both"/>
        <w:rPr>
          <w:color w:val="000000"/>
        </w:rPr>
      </w:pPr>
      <w:r w:rsidRPr="004A23D8">
        <w:rPr>
          <w:color w:val="000000"/>
          <w:lang w:val="en-GB"/>
        </w:rPr>
        <w:t xml:space="preserve">Adelfio, M., </w:t>
      </w:r>
      <w:proofErr w:type="spellStart"/>
      <w:r w:rsidRPr="004A23D8">
        <w:rPr>
          <w:color w:val="000000"/>
          <w:lang w:val="en-GB"/>
        </w:rPr>
        <w:t>Hamiduddin</w:t>
      </w:r>
      <w:proofErr w:type="spellEnd"/>
      <w:r w:rsidRPr="004A23D8">
        <w:rPr>
          <w:color w:val="000000"/>
          <w:lang w:val="en-GB"/>
        </w:rPr>
        <w:t xml:space="preserve">, I. and Miedema, E., (2021) 'London's King's Cross redevelopment': a compact, resource efficient and 'liveable global city model for an era of climate </w:t>
      </w:r>
      <w:proofErr w:type="gramStart"/>
      <w:r w:rsidRPr="004A23D8">
        <w:rPr>
          <w:color w:val="000000"/>
          <w:lang w:val="en-GB"/>
        </w:rPr>
        <w:t>emergency?.</w:t>
      </w:r>
      <w:proofErr w:type="gramEnd"/>
      <w:r w:rsidRPr="004A23D8">
        <w:rPr>
          <w:color w:val="000000"/>
          <w:lang w:val="en-GB"/>
        </w:rPr>
        <w:t xml:space="preserve"> </w:t>
      </w:r>
      <w:r w:rsidRPr="004A23D8">
        <w:rPr>
          <w:i/>
          <w:iCs/>
          <w:color w:val="000000"/>
          <w:lang w:val="en-GB"/>
        </w:rPr>
        <w:t>Urban Research &amp; Practice</w:t>
      </w:r>
      <w:r w:rsidRPr="004A23D8">
        <w:rPr>
          <w:color w:val="000000"/>
          <w:lang w:val="en-GB"/>
        </w:rPr>
        <w:t>, </w:t>
      </w:r>
      <w:r w:rsidRPr="004A23D8">
        <w:rPr>
          <w:i/>
          <w:iCs/>
          <w:color w:val="000000"/>
          <w:lang w:val="en-GB"/>
        </w:rPr>
        <w:t>14</w:t>
      </w:r>
      <w:r w:rsidRPr="004A23D8">
        <w:rPr>
          <w:color w:val="000000"/>
          <w:lang w:val="en-GB"/>
        </w:rPr>
        <w:t xml:space="preserve">(2), pp.180-200. Available at: </w:t>
      </w:r>
      <w:hyperlink w:history="1" r:id="rId8">
        <w:r w:rsidRPr="004A23D8">
          <w:rPr>
            <w:rStyle w:val="Hyperlink"/>
          </w:rPr>
          <w:t>https://doi.org/10.1080/17535069.2019.1710860</w:t>
        </w:r>
      </w:hyperlink>
      <w:r w:rsidRPr="004A23D8">
        <w:rPr>
          <w:color w:val="000000"/>
        </w:rPr>
        <w:t>.</w:t>
      </w:r>
    </w:p>
    <w:p w:rsidRPr="004A23D8" w:rsidR="004A23D8" w:rsidP="004A23D8" w:rsidRDefault="00F17F4D" w14:paraId="2E6406A8"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Ahmadi, H.B., Lo, H.W., Gupta, H., Kusi-Sarpong, S. and Liou, J.J., (2020) ‘An integrated model for selecting suppliers on the basis of sustainability innovation’. </w:t>
      </w:r>
      <w:r w:rsidRPr="004A23D8">
        <w:rPr>
          <w:rFonts w:ascii="Times New Roman" w:hAnsi="Times New Roman" w:cs="Times New Roman"/>
          <w:i/>
          <w:iCs/>
          <w:sz w:val="24"/>
          <w:szCs w:val="24"/>
        </w:rPr>
        <w:t>Journal of Cleaner Production</w:t>
      </w:r>
      <w:r w:rsidRPr="004A23D8">
        <w:rPr>
          <w:rFonts w:ascii="Times New Roman" w:hAnsi="Times New Roman" w:cs="Times New Roman"/>
          <w:sz w:val="24"/>
          <w:szCs w:val="24"/>
        </w:rPr>
        <w:t>, </w:t>
      </w:r>
      <w:r w:rsidRPr="004A23D8">
        <w:rPr>
          <w:rFonts w:ascii="Times New Roman" w:hAnsi="Times New Roman" w:cs="Times New Roman"/>
          <w:i/>
          <w:iCs/>
          <w:sz w:val="24"/>
          <w:szCs w:val="24"/>
        </w:rPr>
        <w:t>277</w:t>
      </w:r>
      <w:r w:rsidRPr="004A23D8">
        <w:rPr>
          <w:rFonts w:ascii="Times New Roman" w:hAnsi="Times New Roman" w:cs="Times New Roman"/>
          <w:sz w:val="24"/>
          <w:szCs w:val="24"/>
        </w:rPr>
        <w:t xml:space="preserve">, p.123261. Available at: </w:t>
      </w:r>
      <w:hyperlink w:tgtFrame="_blank" w:tooltip="Persistent link using digital object identifier" w:history="1" r:id="rId9">
        <w:r w:rsidRPr="004A23D8">
          <w:rPr>
            <w:rStyle w:val="Hyperlink"/>
            <w:rFonts w:ascii="Times New Roman" w:hAnsi="Times New Roman" w:cs="Times New Roman"/>
            <w:sz w:val="24"/>
            <w:szCs w:val="24"/>
          </w:rPr>
          <w:t>https://doi.org/10.1016/j.jclepro.2020.123261</w:t>
        </w:r>
      </w:hyperlink>
      <w:r w:rsidRPr="004A23D8">
        <w:rPr>
          <w:rFonts w:ascii="Times New Roman" w:hAnsi="Times New Roman" w:cs="Times New Roman"/>
          <w:sz w:val="24"/>
          <w:szCs w:val="24"/>
        </w:rPr>
        <w:t xml:space="preserve">. </w:t>
      </w:r>
    </w:p>
    <w:p w:rsidRPr="004A23D8" w:rsidR="004A23D8" w:rsidP="004A23D8" w:rsidRDefault="00F17F4D" w14:paraId="4E603073" w14:textId="77777777">
      <w:pPr>
        <w:pStyle w:val="NormalWeb"/>
        <w:spacing w:before="0" w:beforeAutospacing="0" w:after="240" w:afterAutospacing="0" w:line="360" w:lineRule="auto"/>
        <w:jc w:val="both"/>
        <w:rPr>
          <w:color w:val="000000"/>
        </w:rPr>
      </w:pPr>
      <w:r w:rsidRPr="004A23D8">
        <w:rPr>
          <w:color w:val="000000"/>
        </w:rPr>
        <w:t>BDP. (2024). </w:t>
      </w:r>
      <w:r w:rsidRPr="004A23D8">
        <w:rPr>
          <w:i/>
          <w:iCs/>
          <w:color w:val="000000"/>
        </w:rPr>
        <w:t>Google HQ King’s Cross</w:t>
      </w:r>
      <w:r w:rsidRPr="004A23D8">
        <w:rPr>
          <w:color w:val="000000"/>
        </w:rPr>
        <w:t>. [online] Available at: https://www.bdp.com/en/projects/f-l/google-hq-kings-cross/ [Accessed 29 Aug. 2024].</w:t>
      </w:r>
    </w:p>
    <w:p w:rsidRPr="004A23D8" w:rsidR="004A23D8" w:rsidP="004A23D8" w:rsidRDefault="00F17F4D" w14:paraId="5B2F8850"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Bittencourt, B.A., Zen, A.C., </w:t>
      </w:r>
      <w:proofErr w:type="spellStart"/>
      <w:r w:rsidRPr="004A23D8">
        <w:rPr>
          <w:rFonts w:ascii="Times New Roman" w:hAnsi="Times New Roman" w:cs="Times New Roman"/>
          <w:sz w:val="24"/>
          <w:szCs w:val="24"/>
        </w:rPr>
        <w:t>Prévot</w:t>
      </w:r>
      <w:proofErr w:type="spellEnd"/>
      <w:r w:rsidRPr="004A23D8">
        <w:rPr>
          <w:rFonts w:ascii="Times New Roman" w:hAnsi="Times New Roman" w:cs="Times New Roman"/>
          <w:sz w:val="24"/>
          <w:szCs w:val="24"/>
        </w:rPr>
        <w:t>, F. and Schmidt, V.K., (2023) ‘How to be more innovative in clusters? The influence of geographical agglomerations on its firms’. </w:t>
      </w:r>
      <w:r w:rsidRPr="004A23D8">
        <w:rPr>
          <w:rFonts w:ascii="Times New Roman" w:hAnsi="Times New Roman" w:cs="Times New Roman"/>
          <w:i/>
          <w:iCs/>
          <w:sz w:val="24"/>
          <w:szCs w:val="24"/>
        </w:rPr>
        <w:t>Journal of the Knowledge Economy</w:t>
      </w:r>
      <w:r w:rsidRPr="004A23D8">
        <w:rPr>
          <w:rFonts w:ascii="Times New Roman" w:hAnsi="Times New Roman" w:cs="Times New Roman"/>
          <w:sz w:val="24"/>
          <w:szCs w:val="24"/>
        </w:rPr>
        <w:t>, </w:t>
      </w:r>
      <w:r w:rsidRPr="004A23D8">
        <w:rPr>
          <w:rFonts w:ascii="Times New Roman" w:hAnsi="Times New Roman" w:cs="Times New Roman"/>
          <w:i/>
          <w:iCs/>
          <w:sz w:val="24"/>
          <w:szCs w:val="24"/>
        </w:rPr>
        <w:t>14</w:t>
      </w:r>
      <w:r w:rsidRPr="004A23D8">
        <w:rPr>
          <w:rFonts w:ascii="Times New Roman" w:hAnsi="Times New Roman" w:cs="Times New Roman"/>
          <w:sz w:val="24"/>
          <w:szCs w:val="24"/>
        </w:rPr>
        <w:t xml:space="preserve">(3), pp.2603-2629. Available at: </w:t>
      </w:r>
      <w:hyperlink w:history="1" r:id="rId10">
        <w:r w:rsidRPr="004A23D8">
          <w:rPr>
            <w:rStyle w:val="Hyperlink"/>
            <w:rFonts w:ascii="Times New Roman" w:hAnsi="Times New Roman" w:cs="Times New Roman"/>
            <w:sz w:val="24"/>
            <w:szCs w:val="24"/>
          </w:rPr>
          <w:t>https://doi.org/10.1007/s13132-022-00975-2</w:t>
        </w:r>
      </w:hyperlink>
      <w:r w:rsidRPr="004A23D8">
        <w:rPr>
          <w:rFonts w:ascii="Times New Roman" w:hAnsi="Times New Roman" w:cs="Times New Roman"/>
          <w:sz w:val="24"/>
          <w:szCs w:val="24"/>
        </w:rPr>
        <w:t xml:space="preserve">. </w:t>
      </w:r>
    </w:p>
    <w:p w:rsidRPr="004A23D8" w:rsidR="004A23D8" w:rsidP="004A23D8" w:rsidRDefault="00F17F4D" w14:paraId="498D4B6A"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Evans, G., (2020) ‘Measure for measure’: Evaluating the evidence of culture's contribution to regeneration. </w:t>
      </w:r>
      <w:r w:rsidRPr="004A23D8">
        <w:rPr>
          <w:rFonts w:ascii="Times New Roman" w:hAnsi="Times New Roman" w:cs="Times New Roman"/>
          <w:i/>
          <w:iCs/>
          <w:sz w:val="24"/>
          <w:szCs w:val="24"/>
        </w:rPr>
        <w:t>Culture-led urban regeneration</w:t>
      </w:r>
      <w:r w:rsidRPr="004A23D8">
        <w:rPr>
          <w:rFonts w:ascii="Times New Roman" w:hAnsi="Times New Roman" w:cs="Times New Roman"/>
          <w:sz w:val="24"/>
          <w:szCs w:val="24"/>
        </w:rPr>
        <w:t xml:space="preserve">, pp.116-140. Available at: </w:t>
      </w:r>
      <w:hyperlink w:tgtFrame="_blank" w:history="1" r:id="rId11">
        <w:r w:rsidRPr="004A23D8">
          <w:rPr>
            <w:rStyle w:val="Hyperlink"/>
            <w:rFonts w:ascii="Times New Roman" w:hAnsi="Times New Roman" w:cs="Times New Roman"/>
            <w:sz w:val="24"/>
            <w:szCs w:val="24"/>
          </w:rPr>
          <w:t>https://doi.org/10.4324/9781315878768</w:t>
        </w:r>
      </w:hyperlink>
      <w:r w:rsidRPr="004A23D8">
        <w:rPr>
          <w:rFonts w:ascii="Times New Roman" w:hAnsi="Times New Roman" w:cs="Times New Roman"/>
          <w:sz w:val="24"/>
          <w:szCs w:val="24"/>
        </w:rPr>
        <w:t xml:space="preserve">. </w:t>
      </w:r>
    </w:p>
    <w:p w:rsidRPr="004A23D8" w:rsidR="004A23D8" w:rsidP="004A23D8" w:rsidRDefault="00F17F4D" w14:paraId="4C92FFFE"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Fuertes, G., Alfaro, M., Vargas, M., Gutierrez, S., </w:t>
      </w:r>
      <w:proofErr w:type="spellStart"/>
      <w:r w:rsidRPr="004A23D8">
        <w:rPr>
          <w:rFonts w:ascii="Times New Roman" w:hAnsi="Times New Roman" w:cs="Times New Roman"/>
          <w:sz w:val="24"/>
          <w:szCs w:val="24"/>
        </w:rPr>
        <w:t>Ternero</w:t>
      </w:r>
      <w:proofErr w:type="spellEnd"/>
      <w:r w:rsidRPr="004A23D8">
        <w:rPr>
          <w:rFonts w:ascii="Times New Roman" w:hAnsi="Times New Roman" w:cs="Times New Roman"/>
          <w:sz w:val="24"/>
          <w:szCs w:val="24"/>
        </w:rPr>
        <w:t xml:space="preserve">, R. and </w:t>
      </w:r>
      <w:proofErr w:type="spellStart"/>
      <w:r w:rsidRPr="004A23D8">
        <w:rPr>
          <w:rFonts w:ascii="Times New Roman" w:hAnsi="Times New Roman" w:cs="Times New Roman"/>
          <w:sz w:val="24"/>
          <w:szCs w:val="24"/>
        </w:rPr>
        <w:t>Sabattin</w:t>
      </w:r>
      <w:proofErr w:type="spellEnd"/>
      <w:r w:rsidRPr="004A23D8">
        <w:rPr>
          <w:rFonts w:ascii="Times New Roman" w:hAnsi="Times New Roman" w:cs="Times New Roman"/>
          <w:sz w:val="24"/>
          <w:szCs w:val="24"/>
        </w:rPr>
        <w:t>, J., (2020) ‘Conceptual framework for the strategic management’: a literature review—descriptive. </w:t>
      </w:r>
      <w:r w:rsidRPr="004A23D8">
        <w:rPr>
          <w:rFonts w:ascii="Times New Roman" w:hAnsi="Times New Roman" w:cs="Times New Roman"/>
          <w:i/>
          <w:iCs/>
          <w:sz w:val="24"/>
          <w:szCs w:val="24"/>
        </w:rPr>
        <w:t>Journal of Engineering</w:t>
      </w:r>
      <w:r w:rsidRPr="004A23D8">
        <w:rPr>
          <w:rFonts w:ascii="Times New Roman" w:hAnsi="Times New Roman" w:cs="Times New Roman"/>
          <w:sz w:val="24"/>
          <w:szCs w:val="24"/>
        </w:rPr>
        <w:t>, </w:t>
      </w:r>
      <w:r w:rsidRPr="004A23D8">
        <w:rPr>
          <w:rFonts w:ascii="Times New Roman" w:hAnsi="Times New Roman" w:cs="Times New Roman"/>
          <w:i/>
          <w:iCs/>
          <w:sz w:val="24"/>
          <w:szCs w:val="24"/>
        </w:rPr>
        <w:t>2020</w:t>
      </w:r>
      <w:r w:rsidRPr="004A23D8">
        <w:rPr>
          <w:rFonts w:ascii="Times New Roman" w:hAnsi="Times New Roman" w:cs="Times New Roman"/>
          <w:sz w:val="24"/>
          <w:szCs w:val="24"/>
        </w:rPr>
        <w:t xml:space="preserve">(1), p.6253013. Available at: </w:t>
      </w:r>
      <w:hyperlink w:history="1" r:id="rId12">
        <w:r w:rsidRPr="004A23D8">
          <w:rPr>
            <w:rStyle w:val="Hyperlink"/>
            <w:rFonts w:ascii="Times New Roman" w:hAnsi="Times New Roman" w:cs="Times New Roman"/>
            <w:b/>
            <w:bCs/>
            <w:sz w:val="24"/>
            <w:szCs w:val="24"/>
          </w:rPr>
          <w:t>https://doi.org/10.1155/2020/6253013</w:t>
        </w:r>
      </w:hyperlink>
      <w:r w:rsidRPr="004A23D8">
        <w:rPr>
          <w:rFonts w:ascii="Times New Roman" w:hAnsi="Times New Roman" w:cs="Times New Roman"/>
          <w:sz w:val="24"/>
          <w:szCs w:val="24"/>
        </w:rPr>
        <w:t xml:space="preserve">. </w:t>
      </w:r>
    </w:p>
    <w:p w:rsidRPr="004A23D8" w:rsidR="004A23D8" w:rsidP="004A23D8" w:rsidRDefault="00F17F4D" w14:paraId="3E738EFC" w14:textId="77777777">
      <w:pPr>
        <w:spacing w:before="240" w:line="360" w:lineRule="auto"/>
        <w:jc w:val="both"/>
        <w:rPr>
          <w:rFonts w:ascii="Times New Roman" w:hAnsi="Times New Roman" w:cs="Times New Roman"/>
          <w:sz w:val="24"/>
          <w:szCs w:val="24"/>
        </w:rPr>
      </w:pPr>
      <w:proofErr w:type="spellStart"/>
      <w:r w:rsidRPr="004A23D8">
        <w:rPr>
          <w:rFonts w:ascii="Times New Roman" w:hAnsi="Times New Roman" w:cs="Times New Roman"/>
          <w:sz w:val="24"/>
          <w:szCs w:val="24"/>
        </w:rPr>
        <w:t>Gurtu</w:t>
      </w:r>
      <w:proofErr w:type="spellEnd"/>
      <w:r w:rsidRPr="004A23D8">
        <w:rPr>
          <w:rFonts w:ascii="Times New Roman" w:hAnsi="Times New Roman" w:cs="Times New Roman"/>
          <w:sz w:val="24"/>
          <w:szCs w:val="24"/>
        </w:rPr>
        <w:t xml:space="preserve">, A. and Johny, J., (2021) 'Supply chain risk management': A literature review. </w:t>
      </w:r>
      <w:r w:rsidRPr="004A23D8">
        <w:rPr>
          <w:rFonts w:ascii="Times New Roman" w:hAnsi="Times New Roman" w:cs="Times New Roman"/>
          <w:i/>
          <w:iCs/>
          <w:sz w:val="24"/>
          <w:szCs w:val="24"/>
        </w:rPr>
        <w:t>Risks</w:t>
      </w:r>
      <w:r w:rsidRPr="004A23D8">
        <w:rPr>
          <w:rFonts w:ascii="Times New Roman" w:hAnsi="Times New Roman" w:cs="Times New Roman"/>
          <w:sz w:val="24"/>
          <w:szCs w:val="24"/>
        </w:rPr>
        <w:t>, </w:t>
      </w:r>
      <w:r w:rsidRPr="004A23D8">
        <w:rPr>
          <w:rFonts w:ascii="Times New Roman" w:hAnsi="Times New Roman" w:cs="Times New Roman"/>
          <w:i/>
          <w:iCs/>
          <w:sz w:val="24"/>
          <w:szCs w:val="24"/>
        </w:rPr>
        <w:t>9</w:t>
      </w:r>
      <w:r w:rsidRPr="004A23D8">
        <w:rPr>
          <w:rFonts w:ascii="Times New Roman" w:hAnsi="Times New Roman" w:cs="Times New Roman"/>
          <w:sz w:val="24"/>
          <w:szCs w:val="24"/>
        </w:rPr>
        <w:t xml:space="preserve">(1), p.16. Available at: </w:t>
      </w:r>
      <w:hyperlink w:history="1" r:id="rId13">
        <w:r w:rsidRPr="004A23D8">
          <w:rPr>
            <w:rStyle w:val="Hyperlink"/>
            <w:rFonts w:ascii="Times New Roman" w:hAnsi="Times New Roman" w:cs="Times New Roman"/>
            <w:b/>
            <w:bCs/>
            <w:sz w:val="24"/>
            <w:szCs w:val="24"/>
          </w:rPr>
          <w:t>https://doi.org/10.3390/risks9010016</w:t>
        </w:r>
      </w:hyperlink>
      <w:r w:rsidRPr="004A23D8">
        <w:rPr>
          <w:rFonts w:ascii="Times New Roman" w:hAnsi="Times New Roman" w:cs="Times New Roman"/>
          <w:sz w:val="24"/>
          <w:szCs w:val="24"/>
        </w:rPr>
        <w:t>.</w:t>
      </w:r>
    </w:p>
    <w:p w:rsidRPr="004A23D8" w:rsidR="004A23D8" w:rsidP="004A23D8" w:rsidRDefault="00F17F4D" w14:paraId="72413FF9" w14:textId="77777777">
      <w:pPr>
        <w:pStyle w:val="NormalWeb"/>
        <w:spacing w:before="0" w:beforeAutospacing="0" w:after="240" w:afterAutospacing="0" w:line="360" w:lineRule="auto"/>
        <w:jc w:val="both"/>
        <w:rPr>
          <w:color w:val="000000"/>
        </w:rPr>
      </w:pPr>
      <w:r w:rsidRPr="004A23D8">
        <w:rPr>
          <w:color w:val="000000"/>
        </w:rPr>
        <w:t>Harris, R. (2022). </w:t>
      </w:r>
      <w:r w:rsidRPr="004A23D8">
        <w:rPr>
          <w:i/>
          <w:iCs/>
          <w:color w:val="000000"/>
        </w:rPr>
        <w:t>A space for connection in King’s Cross</w:t>
      </w:r>
      <w:r w:rsidRPr="004A23D8">
        <w:rPr>
          <w:color w:val="000000"/>
        </w:rPr>
        <w:t xml:space="preserve">. [online] Google. Available at: https://blog.google/around-the-globe/google-europe/united-kingdom/kings-cross/ [Accessed 29 Aug. 2024]. </w:t>
      </w:r>
    </w:p>
    <w:p w:rsidRPr="004A23D8" w:rsidR="004A23D8" w:rsidP="004A23D8" w:rsidRDefault="00F17F4D" w14:paraId="4C4018E9" w14:textId="77777777">
      <w:pPr>
        <w:pStyle w:val="NormalWeb"/>
        <w:spacing w:before="0" w:beforeAutospacing="0" w:after="240" w:afterAutospacing="0" w:line="360" w:lineRule="auto"/>
        <w:jc w:val="both"/>
        <w:rPr>
          <w:color w:val="000000"/>
        </w:rPr>
      </w:pPr>
      <w:r w:rsidRPr="004A23D8">
        <w:rPr>
          <w:color w:val="000000"/>
        </w:rPr>
        <w:t>King’s Cross. (n.d.) (2024) </w:t>
      </w:r>
      <w:r w:rsidRPr="004A23D8">
        <w:rPr>
          <w:i/>
          <w:iCs/>
          <w:color w:val="000000"/>
        </w:rPr>
        <w:t>Google</w:t>
      </w:r>
      <w:r w:rsidRPr="004A23D8">
        <w:rPr>
          <w:color w:val="000000"/>
        </w:rPr>
        <w:t xml:space="preserve">. [online] Available at: </w:t>
      </w:r>
      <w:hyperlink w:history="1" r:id="rId14">
        <w:r w:rsidRPr="004A23D8">
          <w:rPr>
            <w:rStyle w:val="Hyperlink"/>
          </w:rPr>
          <w:t>https://www.kingscross.co.uk/google</w:t>
        </w:r>
      </w:hyperlink>
      <w:r w:rsidRPr="004A23D8">
        <w:rPr>
          <w:color w:val="000000"/>
        </w:rPr>
        <w:t xml:space="preserve">. </w:t>
      </w:r>
    </w:p>
    <w:p w:rsidRPr="004A23D8" w:rsidR="004A23D8" w:rsidP="004A23D8" w:rsidRDefault="00F17F4D" w14:paraId="52087A63"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lastRenderedPageBreak/>
        <w:t>Mayfield, M., Mayfield, J. and Ma, K.Q., (2020) ‘Innovation matters’: creative environment, absenteeism, and job satisfaction. </w:t>
      </w:r>
      <w:r w:rsidRPr="004A23D8">
        <w:rPr>
          <w:rFonts w:ascii="Times New Roman" w:hAnsi="Times New Roman" w:cs="Times New Roman"/>
          <w:i/>
          <w:iCs/>
          <w:sz w:val="24"/>
          <w:szCs w:val="24"/>
        </w:rPr>
        <w:t>Journal of Organi</w:t>
      </w:r>
      <w:r w:rsidR="00C220DC">
        <w:rPr>
          <w:rFonts w:ascii="Times New Roman" w:hAnsi="Times New Roman" w:cs="Times New Roman"/>
          <w:i/>
          <w:iCs/>
          <w:sz w:val="24"/>
          <w:szCs w:val="24"/>
        </w:rPr>
        <w:t>s</w:t>
      </w:r>
      <w:r w:rsidRPr="004A23D8">
        <w:rPr>
          <w:rFonts w:ascii="Times New Roman" w:hAnsi="Times New Roman" w:cs="Times New Roman"/>
          <w:i/>
          <w:iCs/>
          <w:sz w:val="24"/>
          <w:szCs w:val="24"/>
        </w:rPr>
        <w:t>ational Change Management</w:t>
      </w:r>
      <w:r w:rsidRPr="004A23D8">
        <w:rPr>
          <w:rFonts w:ascii="Times New Roman" w:hAnsi="Times New Roman" w:cs="Times New Roman"/>
          <w:sz w:val="24"/>
          <w:szCs w:val="24"/>
        </w:rPr>
        <w:t>, </w:t>
      </w:r>
      <w:r w:rsidRPr="004A23D8">
        <w:rPr>
          <w:rFonts w:ascii="Times New Roman" w:hAnsi="Times New Roman" w:cs="Times New Roman"/>
          <w:i/>
          <w:iCs/>
          <w:sz w:val="24"/>
          <w:szCs w:val="24"/>
        </w:rPr>
        <w:t>33</w:t>
      </w:r>
      <w:r w:rsidRPr="004A23D8">
        <w:rPr>
          <w:rFonts w:ascii="Times New Roman" w:hAnsi="Times New Roman" w:cs="Times New Roman"/>
          <w:sz w:val="24"/>
          <w:szCs w:val="24"/>
        </w:rPr>
        <w:t>(5), pp.715-735. Available at:  </w:t>
      </w:r>
      <w:hyperlink w:tooltip="DOI: https://doi.org/10.1108/JOCM-09-2019-0285" w:history="1" r:id="rId15">
        <w:r w:rsidRPr="004A23D8">
          <w:rPr>
            <w:rStyle w:val="Hyperlink"/>
            <w:rFonts w:ascii="Times New Roman" w:hAnsi="Times New Roman" w:cs="Times New Roman"/>
            <w:sz w:val="24"/>
            <w:szCs w:val="24"/>
          </w:rPr>
          <w:t>https://doi.org/10.1108/JOCM-09-2019-0285</w:t>
        </w:r>
      </w:hyperlink>
      <w:r w:rsidRPr="004A23D8">
        <w:rPr>
          <w:rFonts w:ascii="Times New Roman" w:hAnsi="Times New Roman" w:cs="Times New Roman"/>
          <w:sz w:val="24"/>
          <w:szCs w:val="24"/>
        </w:rPr>
        <w:t xml:space="preserve">. </w:t>
      </w:r>
    </w:p>
    <w:p w:rsidRPr="004A23D8" w:rsidR="004A23D8" w:rsidP="004A23D8" w:rsidRDefault="00F17F4D" w14:paraId="2A4BF657" w14:textId="77777777">
      <w:pPr>
        <w:spacing w:before="240" w:line="360" w:lineRule="auto"/>
        <w:jc w:val="both"/>
        <w:rPr>
          <w:rFonts w:ascii="Times New Roman" w:hAnsi="Times New Roman" w:cs="Times New Roman"/>
          <w:sz w:val="24"/>
          <w:szCs w:val="24"/>
        </w:rPr>
      </w:pPr>
      <w:proofErr w:type="spellStart"/>
      <w:r w:rsidRPr="004A23D8">
        <w:rPr>
          <w:rFonts w:ascii="Times New Roman" w:hAnsi="Times New Roman" w:cs="Times New Roman"/>
          <w:sz w:val="24"/>
          <w:szCs w:val="24"/>
        </w:rPr>
        <w:t>Nižetić</w:t>
      </w:r>
      <w:proofErr w:type="spellEnd"/>
      <w:r w:rsidRPr="004A23D8">
        <w:rPr>
          <w:rFonts w:ascii="Times New Roman" w:hAnsi="Times New Roman" w:cs="Times New Roman"/>
          <w:sz w:val="24"/>
          <w:szCs w:val="24"/>
        </w:rPr>
        <w:t xml:space="preserve">, S., </w:t>
      </w:r>
      <w:proofErr w:type="spellStart"/>
      <w:r w:rsidRPr="004A23D8">
        <w:rPr>
          <w:rFonts w:ascii="Times New Roman" w:hAnsi="Times New Roman" w:cs="Times New Roman"/>
          <w:sz w:val="24"/>
          <w:szCs w:val="24"/>
        </w:rPr>
        <w:t>Šolić</w:t>
      </w:r>
      <w:proofErr w:type="spellEnd"/>
      <w:r w:rsidRPr="004A23D8">
        <w:rPr>
          <w:rFonts w:ascii="Times New Roman" w:hAnsi="Times New Roman" w:cs="Times New Roman"/>
          <w:sz w:val="24"/>
          <w:szCs w:val="24"/>
        </w:rPr>
        <w:t xml:space="preserve">, P., Gonzalez-De, D.L.D.I. and </w:t>
      </w:r>
      <w:proofErr w:type="spellStart"/>
      <w:r w:rsidRPr="004A23D8">
        <w:rPr>
          <w:rFonts w:ascii="Times New Roman" w:hAnsi="Times New Roman" w:cs="Times New Roman"/>
          <w:sz w:val="24"/>
          <w:szCs w:val="24"/>
        </w:rPr>
        <w:t>Patrono</w:t>
      </w:r>
      <w:proofErr w:type="spellEnd"/>
      <w:r w:rsidRPr="004A23D8">
        <w:rPr>
          <w:rFonts w:ascii="Times New Roman" w:hAnsi="Times New Roman" w:cs="Times New Roman"/>
          <w:sz w:val="24"/>
          <w:szCs w:val="24"/>
        </w:rPr>
        <w:t>, L., (2020) ‘Internet of Things (IoT)’: Opportunities, issues and challenges towards a smart and sustainable future. </w:t>
      </w:r>
      <w:r w:rsidRPr="004A23D8">
        <w:rPr>
          <w:rFonts w:ascii="Times New Roman" w:hAnsi="Times New Roman" w:cs="Times New Roman"/>
          <w:i/>
          <w:iCs/>
          <w:sz w:val="24"/>
          <w:szCs w:val="24"/>
        </w:rPr>
        <w:t>Journal of cleaner production</w:t>
      </w:r>
      <w:r w:rsidRPr="004A23D8">
        <w:rPr>
          <w:rFonts w:ascii="Times New Roman" w:hAnsi="Times New Roman" w:cs="Times New Roman"/>
          <w:sz w:val="24"/>
          <w:szCs w:val="24"/>
        </w:rPr>
        <w:t>, </w:t>
      </w:r>
      <w:r w:rsidRPr="004A23D8">
        <w:rPr>
          <w:rFonts w:ascii="Times New Roman" w:hAnsi="Times New Roman" w:cs="Times New Roman"/>
          <w:i/>
          <w:iCs/>
          <w:sz w:val="24"/>
          <w:szCs w:val="24"/>
        </w:rPr>
        <w:t>274</w:t>
      </w:r>
      <w:r w:rsidRPr="004A23D8">
        <w:rPr>
          <w:rFonts w:ascii="Times New Roman" w:hAnsi="Times New Roman" w:cs="Times New Roman"/>
          <w:sz w:val="24"/>
          <w:szCs w:val="24"/>
        </w:rPr>
        <w:t xml:space="preserve">, p.122877. Available at: </w:t>
      </w:r>
      <w:hyperlink w:tgtFrame="_blank" w:tooltip="Persistent link using digital object identifier" w:history="1" r:id="rId16">
        <w:r w:rsidRPr="004A23D8">
          <w:rPr>
            <w:rStyle w:val="Hyperlink"/>
            <w:rFonts w:ascii="Times New Roman" w:hAnsi="Times New Roman" w:cs="Times New Roman"/>
            <w:sz w:val="24"/>
            <w:szCs w:val="24"/>
          </w:rPr>
          <w:t>https://doi.org/10.1016/j.jclepro.2020.122877</w:t>
        </w:r>
      </w:hyperlink>
      <w:r w:rsidRPr="004A23D8">
        <w:rPr>
          <w:rFonts w:ascii="Times New Roman" w:hAnsi="Times New Roman" w:cs="Times New Roman"/>
          <w:sz w:val="24"/>
          <w:szCs w:val="24"/>
        </w:rPr>
        <w:t xml:space="preserve">. </w:t>
      </w:r>
    </w:p>
    <w:p w:rsidRPr="004A23D8" w:rsidR="004A23D8" w:rsidP="004A23D8" w:rsidRDefault="00F17F4D" w14:paraId="3F36414C"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Omri, A., (2020) 'Technological innovation and sustainable development': does the stage of development matter? </w:t>
      </w:r>
      <w:r w:rsidRPr="004A23D8">
        <w:rPr>
          <w:rFonts w:ascii="Times New Roman" w:hAnsi="Times New Roman" w:cs="Times New Roman"/>
          <w:i/>
          <w:iCs/>
          <w:sz w:val="24"/>
          <w:szCs w:val="24"/>
        </w:rPr>
        <w:t>Environmental Impact Assessment Review</w:t>
      </w:r>
      <w:r w:rsidRPr="004A23D8">
        <w:rPr>
          <w:rFonts w:ascii="Times New Roman" w:hAnsi="Times New Roman" w:cs="Times New Roman"/>
          <w:sz w:val="24"/>
          <w:szCs w:val="24"/>
        </w:rPr>
        <w:t>, </w:t>
      </w:r>
      <w:r w:rsidRPr="004A23D8">
        <w:rPr>
          <w:rFonts w:ascii="Times New Roman" w:hAnsi="Times New Roman" w:cs="Times New Roman"/>
          <w:i/>
          <w:iCs/>
          <w:sz w:val="24"/>
          <w:szCs w:val="24"/>
        </w:rPr>
        <w:t>83</w:t>
      </w:r>
      <w:r w:rsidRPr="004A23D8">
        <w:rPr>
          <w:rFonts w:ascii="Times New Roman" w:hAnsi="Times New Roman" w:cs="Times New Roman"/>
          <w:sz w:val="24"/>
          <w:szCs w:val="24"/>
        </w:rPr>
        <w:t xml:space="preserve">, p.106398. Available at: </w:t>
      </w:r>
      <w:hyperlink w:tgtFrame="_blank" w:tooltip="Persistent link using digital object identifier" w:history="1" r:id="rId17">
        <w:r w:rsidRPr="004A23D8">
          <w:rPr>
            <w:rStyle w:val="Hyperlink"/>
            <w:rFonts w:ascii="Times New Roman" w:hAnsi="Times New Roman" w:cs="Times New Roman"/>
            <w:sz w:val="24"/>
            <w:szCs w:val="24"/>
          </w:rPr>
          <w:t>https://doi.org/10.1016/j.eiar.2020.106398</w:t>
        </w:r>
      </w:hyperlink>
      <w:r w:rsidRPr="004A23D8">
        <w:rPr>
          <w:rFonts w:ascii="Times New Roman" w:hAnsi="Times New Roman" w:cs="Times New Roman"/>
          <w:sz w:val="24"/>
          <w:szCs w:val="24"/>
        </w:rPr>
        <w:t xml:space="preserve">. </w:t>
      </w:r>
    </w:p>
    <w:p w:rsidRPr="004A23D8" w:rsidR="004A23D8" w:rsidP="004A23D8" w:rsidRDefault="00F17F4D" w14:paraId="3740459A" w14:textId="1167A6CE">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Pfotenhauer, S., Laurent, B., Papageorgiou, K. and </w:t>
      </w:r>
      <w:proofErr w:type="spellStart"/>
      <w:r w:rsidRPr="004A23D8">
        <w:rPr>
          <w:rFonts w:ascii="Times New Roman" w:hAnsi="Times New Roman" w:cs="Times New Roman"/>
          <w:sz w:val="24"/>
          <w:szCs w:val="24"/>
        </w:rPr>
        <w:t>Stilgoe</w:t>
      </w:r>
      <w:proofErr w:type="spellEnd"/>
      <w:r w:rsidRPr="004A23D8">
        <w:rPr>
          <w:rFonts w:ascii="Times New Roman" w:hAnsi="Times New Roman" w:cs="Times New Roman"/>
          <w:sz w:val="24"/>
          <w:szCs w:val="24"/>
        </w:rPr>
        <w:t>, A.J., (2022) ‘The politics of scaling’. </w:t>
      </w:r>
      <w:r w:rsidRPr="004A23D8">
        <w:rPr>
          <w:rFonts w:ascii="Times New Roman" w:hAnsi="Times New Roman" w:cs="Times New Roman"/>
          <w:i/>
          <w:iCs/>
          <w:sz w:val="24"/>
          <w:szCs w:val="24"/>
        </w:rPr>
        <w:t>Social studies of science</w:t>
      </w:r>
      <w:r w:rsidRPr="004A23D8">
        <w:rPr>
          <w:rFonts w:ascii="Times New Roman" w:hAnsi="Times New Roman" w:cs="Times New Roman"/>
          <w:sz w:val="24"/>
          <w:szCs w:val="24"/>
        </w:rPr>
        <w:t>, </w:t>
      </w:r>
      <w:r w:rsidRPr="004A23D8">
        <w:rPr>
          <w:rFonts w:ascii="Times New Roman" w:hAnsi="Times New Roman" w:cs="Times New Roman"/>
          <w:i/>
          <w:iCs/>
          <w:sz w:val="24"/>
          <w:szCs w:val="24"/>
        </w:rPr>
        <w:t>52</w:t>
      </w:r>
      <w:r w:rsidRPr="004A23D8">
        <w:rPr>
          <w:rFonts w:ascii="Times New Roman" w:hAnsi="Times New Roman" w:cs="Times New Roman"/>
          <w:sz w:val="24"/>
          <w:szCs w:val="24"/>
        </w:rPr>
        <w:t xml:space="preserve">(1), pp.3-34. Available at: </w:t>
      </w:r>
      <w:hyperlink w:history="1" r:id="rId18">
        <w:r w:rsidRPr="000A2C17" w:rsidR="000E3327">
          <w:rPr>
            <w:rStyle w:val="Hyperlink"/>
            <w:rFonts w:ascii="Times New Roman" w:hAnsi="Times New Roman" w:cs="Times New Roman"/>
            <w:sz w:val="24"/>
            <w:szCs w:val="24"/>
          </w:rPr>
          <w:t>https://doi.org/10.1177/03063127211048945</w:t>
        </w:r>
      </w:hyperlink>
      <w:r w:rsidRPr="004A23D8">
        <w:rPr>
          <w:rFonts w:ascii="Times New Roman" w:hAnsi="Times New Roman" w:cs="Times New Roman"/>
          <w:sz w:val="24"/>
          <w:szCs w:val="24"/>
        </w:rPr>
        <w:t xml:space="preserve">. </w:t>
      </w:r>
    </w:p>
    <w:p w:rsidRPr="004A23D8" w:rsidR="004A23D8" w:rsidP="004A23D8" w:rsidRDefault="00F17F4D" w14:paraId="37BAF26C"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Polden, M., Robinson, E. and Jones, A., (2023) 'Assessing public perception and awareness of UK mandatory calorie labelling in the out‐of‐home sector': Using Twitter and Google trends data. </w:t>
      </w:r>
      <w:r w:rsidRPr="004A23D8">
        <w:rPr>
          <w:rFonts w:ascii="Times New Roman" w:hAnsi="Times New Roman" w:cs="Times New Roman"/>
          <w:i/>
          <w:iCs/>
          <w:sz w:val="24"/>
          <w:szCs w:val="24"/>
        </w:rPr>
        <w:t>Obesity Science &amp; Practice</w:t>
      </w:r>
      <w:r w:rsidRPr="004A23D8">
        <w:rPr>
          <w:rFonts w:ascii="Times New Roman" w:hAnsi="Times New Roman" w:cs="Times New Roman"/>
          <w:sz w:val="24"/>
          <w:szCs w:val="24"/>
        </w:rPr>
        <w:t>, </w:t>
      </w:r>
      <w:r w:rsidRPr="004A23D8">
        <w:rPr>
          <w:rFonts w:ascii="Times New Roman" w:hAnsi="Times New Roman" w:cs="Times New Roman"/>
          <w:i/>
          <w:iCs/>
          <w:sz w:val="24"/>
          <w:szCs w:val="24"/>
        </w:rPr>
        <w:t>9</w:t>
      </w:r>
      <w:r w:rsidRPr="004A23D8">
        <w:rPr>
          <w:rFonts w:ascii="Times New Roman" w:hAnsi="Times New Roman" w:cs="Times New Roman"/>
          <w:sz w:val="24"/>
          <w:szCs w:val="24"/>
        </w:rPr>
        <w:t xml:space="preserve">(5), pp.459-467. Available at: </w:t>
      </w:r>
      <w:hyperlink w:history="1" r:id="rId19">
        <w:r w:rsidRPr="004A23D8">
          <w:rPr>
            <w:rStyle w:val="Hyperlink"/>
            <w:rFonts w:ascii="Times New Roman" w:hAnsi="Times New Roman" w:cs="Times New Roman"/>
            <w:b/>
            <w:bCs/>
            <w:sz w:val="24"/>
            <w:szCs w:val="24"/>
          </w:rPr>
          <w:t>https://doi.org/10.1002/osp4.674</w:t>
        </w:r>
      </w:hyperlink>
      <w:r w:rsidRPr="004A23D8">
        <w:rPr>
          <w:rFonts w:ascii="Times New Roman" w:hAnsi="Times New Roman" w:cs="Times New Roman"/>
          <w:sz w:val="24"/>
          <w:szCs w:val="24"/>
        </w:rPr>
        <w:t xml:space="preserve">. </w:t>
      </w:r>
    </w:p>
    <w:p w:rsidRPr="004A23D8" w:rsidR="004A23D8" w:rsidP="004A23D8" w:rsidRDefault="00F17F4D" w14:paraId="19F2EC08"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Scoones, I. and Stirling, A., (2020) ‘The politics of uncertainty’: Challenges of transformation (p. 196). Taylor &amp; Francis. Available at: </w:t>
      </w:r>
      <w:hyperlink w:history="1" r:id="rId20">
        <w:r w:rsidRPr="004A23D8">
          <w:rPr>
            <w:rStyle w:val="Hyperlink"/>
            <w:rFonts w:ascii="Times New Roman" w:hAnsi="Times New Roman" w:cs="Times New Roman"/>
            <w:sz w:val="24"/>
            <w:szCs w:val="24"/>
          </w:rPr>
          <w:t>https://library.oapen.org/viewer/web/viewer.html?file=/bitstream/handle/20.500.12657/39938/9780367903374_text.pdf?sequence=1&amp;isAllowed=y</w:t>
        </w:r>
      </w:hyperlink>
      <w:r w:rsidRPr="004A23D8">
        <w:rPr>
          <w:rFonts w:ascii="Times New Roman" w:hAnsi="Times New Roman" w:cs="Times New Roman"/>
          <w:sz w:val="24"/>
          <w:szCs w:val="24"/>
        </w:rPr>
        <w:t xml:space="preserve">. </w:t>
      </w:r>
    </w:p>
    <w:p w:rsidRPr="004A23D8" w:rsidR="004A23D8" w:rsidP="004A23D8" w:rsidRDefault="00F17F4D" w14:paraId="1755BDBC"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Trang, L.X. and Hang, N.P.T., (2023) ‘The Impact of Public Government on the Relationship Between Consumer Confidence and Stock Market Index’: A Study. </w:t>
      </w:r>
      <w:r w:rsidRPr="004A23D8">
        <w:rPr>
          <w:rFonts w:ascii="Times New Roman" w:hAnsi="Times New Roman" w:cs="Times New Roman"/>
          <w:i/>
          <w:iCs/>
          <w:sz w:val="24"/>
          <w:szCs w:val="24"/>
        </w:rPr>
        <w:t>International Journal of Professional Business Review</w:t>
      </w:r>
      <w:r w:rsidRPr="004A23D8">
        <w:rPr>
          <w:rFonts w:ascii="Times New Roman" w:hAnsi="Times New Roman" w:cs="Times New Roman"/>
          <w:sz w:val="24"/>
          <w:szCs w:val="24"/>
        </w:rPr>
        <w:t>, </w:t>
      </w:r>
      <w:r w:rsidRPr="004A23D8">
        <w:rPr>
          <w:rFonts w:ascii="Times New Roman" w:hAnsi="Times New Roman" w:cs="Times New Roman"/>
          <w:i/>
          <w:iCs/>
          <w:sz w:val="24"/>
          <w:szCs w:val="24"/>
        </w:rPr>
        <w:t>8</w:t>
      </w:r>
      <w:r w:rsidRPr="004A23D8">
        <w:rPr>
          <w:rFonts w:ascii="Times New Roman" w:hAnsi="Times New Roman" w:cs="Times New Roman"/>
          <w:sz w:val="24"/>
          <w:szCs w:val="24"/>
        </w:rPr>
        <w:t xml:space="preserve">(6), pp.e02438-e02438. Available at: </w:t>
      </w:r>
      <w:hyperlink w:history="1" r:id="rId21">
        <w:r w:rsidRPr="004A23D8">
          <w:rPr>
            <w:rStyle w:val="Hyperlink"/>
            <w:rFonts w:ascii="Times New Roman" w:hAnsi="Times New Roman" w:cs="Times New Roman"/>
            <w:sz w:val="24"/>
            <w:szCs w:val="24"/>
          </w:rPr>
          <w:t>https://doi.org/10.26668/businessreview/2023.v8i6.2438</w:t>
        </w:r>
      </w:hyperlink>
      <w:r w:rsidRPr="004A23D8">
        <w:rPr>
          <w:rFonts w:ascii="Times New Roman" w:hAnsi="Times New Roman" w:cs="Times New Roman"/>
          <w:sz w:val="24"/>
          <w:szCs w:val="24"/>
        </w:rPr>
        <w:t xml:space="preserve">. </w:t>
      </w:r>
    </w:p>
    <w:p w:rsidRPr="004A23D8" w:rsidR="004A23D8" w:rsidP="004A23D8" w:rsidRDefault="00F17F4D" w14:paraId="4F5C8C12" w14:textId="77777777">
      <w:pPr>
        <w:spacing w:before="240" w:line="360" w:lineRule="auto"/>
        <w:jc w:val="both"/>
        <w:rPr>
          <w:rFonts w:ascii="Times New Roman" w:hAnsi="Times New Roman" w:cs="Times New Roman"/>
          <w:sz w:val="24"/>
          <w:szCs w:val="24"/>
        </w:rPr>
      </w:pPr>
      <w:r w:rsidRPr="004A23D8">
        <w:rPr>
          <w:rFonts w:ascii="Times New Roman" w:hAnsi="Times New Roman" w:cs="Times New Roman"/>
          <w:sz w:val="24"/>
          <w:szCs w:val="24"/>
        </w:rPr>
        <w:t xml:space="preserve">Whittingham, K.L., Earle, A.G., Leyva-de la </w:t>
      </w:r>
      <w:proofErr w:type="spellStart"/>
      <w:r w:rsidRPr="004A23D8">
        <w:rPr>
          <w:rFonts w:ascii="Times New Roman" w:hAnsi="Times New Roman" w:cs="Times New Roman"/>
          <w:sz w:val="24"/>
          <w:szCs w:val="24"/>
        </w:rPr>
        <w:t>Hiz</w:t>
      </w:r>
      <w:proofErr w:type="spellEnd"/>
      <w:r w:rsidRPr="004A23D8">
        <w:rPr>
          <w:rFonts w:ascii="Times New Roman" w:hAnsi="Times New Roman" w:cs="Times New Roman"/>
          <w:sz w:val="24"/>
          <w:szCs w:val="24"/>
        </w:rPr>
        <w:t>, D.I. and Argiolas, A., (2023) ‘The impact of the United Nations Sustainable Development Goals on corporate sustainability reporting’. </w:t>
      </w:r>
      <w:r w:rsidRPr="004A23D8">
        <w:rPr>
          <w:rFonts w:ascii="Times New Roman" w:hAnsi="Times New Roman" w:cs="Times New Roman"/>
          <w:i/>
          <w:iCs/>
          <w:sz w:val="24"/>
          <w:szCs w:val="24"/>
        </w:rPr>
        <w:t>BRQ Business Research Quarterly</w:t>
      </w:r>
      <w:r w:rsidRPr="004A23D8">
        <w:rPr>
          <w:rFonts w:ascii="Times New Roman" w:hAnsi="Times New Roman" w:cs="Times New Roman"/>
          <w:sz w:val="24"/>
          <w:szCs w:val="24"/>
        </w:rPr>
        <w:t>, </w:t>
      </w:r>
      <w:r w:rsidRPr="004A23D8">
        <w:rPr>
          <w:rFonts w:ascii="Times New Roman" w:hAnsi="Times New Roman" w:cs="Times New Roman"/>
          <w:i/>
          <w:iCs/>
          <w:sz w:val="24"/>
          <w:szCs w:val="24"/>
        </w:rPr>
        <w:t>26</w:t>
      </w:r>
      <w:r w:rsidRPr="004A23D8">
        <w:rPr>
          <w:rFonts w:ascii="Times New Roman" w:hAnsi="Times New Roman" w:cs="Times New Roman"/>
          <w:sz w:val="24"/>
          <w:szCs w:val="24"/>
        </w:rPr>
        <w:t xml:space="preserve">(1), pp.45-61. Available at: </w:t>
      </w:r>
      <w:hyperlink w:history="1" r:id="rId22">
        <w:r w:rsidRPr="004A23D8">
          <w:rPr>
            <w:rStyle w:val="Hyperlink"/>
            <w:rFonts w:ascii="Times New Roman" w:hAnsi="Times New Roman" w:cs="Times New Roman"/>
            <w:sz w:val="24"/>
            <w:szCs w:val="24"/>
          </w:rPr>
          <w:t>https://doi.org/10.1177/23409444221085585</w:t>
        </w:r>
      </w:hyperlink>
      <w:r w:rsidRPr="004A23D8">
        <w:rPr>
          <w:rFonts w:ascii="Times New Roman" w:hAnsi="Times New Roman" w:cs="Times New Roman"/>
          <w:sz w:val="24"/>
          <w:szCs w:val="24"/>
        </w:rPr>
        <w:t xml:space="preserve">. </w:t>
      </w:r>
    </w:p>
    <w:sectPr w:rsidRPr="004A23D8" w:rsidR="004A23D8">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17F4D" w:rsidRDefault="00F17F4D" w14:paraId="196C4A61" w14:textId="77777777">
      <w:pPr>
        <w:spacing w:after="0" w:line="240" w:lineRule="auto"/>
      </w:pPr>
      <w:r>
        <w:separator/>
      </w:r>
    </w:p>
  </w:endnote>
  <w:endnote w:type="continuationSeparator" w:id="0">
    <w:p w:rsidR="00F17F4D" w:rsidRDefault="00F17F4D" w14:paraId="217437E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05328"/>
      <w:docPartObj>
        <w:docPartGallery w:val="Page Numbers (Bottom of Page)"/>
        <w:docPartUnique/>
      </w:docPartObj>
    </w:sdtPr>
    <w:sdtEndPr>
      <w:rPr>
        <w:noProof/>
      </w:rPr>
    </w:sdtEndPr>
    <w:sdtContent>
      <w:p w:rsidR="004A23D8" w:rsidRDefault="00F17F4D" w14:paraId="3F1AF285" w14:textId="77777777">
        <w:pPr>
          <w:pStyle w:val="Footer"/>
          <w:jc w:val="center"/>
        </w:pPr>
        <w:r>
          <w:fldChar w:fldCharType="begin"/>
        </w:r>
        <w:r>
          <w:instrText xml:space="preserve"> PAGE   \* MERGEFORMAT </w:instrText>
        </w:r>
        <w:r>
          <w:fldChar w:fldCharType="separate"/>
        </w:r>
        <w:r w:rsidR="00C220DC">
          <w:rPr>
            <w:noProof/>
          </w:rPr>
          <w:t>10</w:t>
        </w:r>
        <w:r>
          <w:rPr>
            <w:noProof/>
          </w:rPr>
          <w:fldChar w:fldCharType="end"/>
        </w:r>
      </w:p>
    </w:sdtContent>
  </w:sdt>
  <w:p w:rsidR="004A23D8" w:rsidRDefault="004A23D8" w14:paraId="07D6BB4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17F4D" w:rsidRDefault="00F17F4D" w14:paraId="544A5186" w14:textId="77777777">
      <w:pPr>
        <w:spacing w:after="0" w:line="240" w:lineRule="auto"/>
      </w:pPr>
      <w:r>
        <w:separator/>
      </w:r>
    </w:p>
  </w:footnote>
  <w:footnote w:type="continuationSeparator" w:id="0">
    <w:p w:rsidR="00F17F4D" w:rsidRDefault="00F17F4D" w14:paraId="554CA69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43F0C"/>
    <w:multiLevelType w:val="hybridMultilevel"/>
    <w:tmpl w:val="FBDE0E4A"/>
    <w:lvl w:ilvl="0" w:tplc="F60CD7C0">
      <w:start w:val="1"/>
      <w:numFmt w:val="decimal"/>
      <w:lvlText w:val="%1."/>
      <w:lvlJc w:val="left"/>
      <w:pPr>
        <w:ind w:left="720" w:hanging="360"/>
      </w:pPr>
    </w:lvl>
    <w:lvl w:ilvl="1" w:tplc="964AFCC8" w:tentative="1">
      <w:start w:val="1"/>
      <w:numFmt w:val="lowerLetter"/>
      <w:lvlText w:val="%2."/>
      <w:lvlJc w:val="left"/>
      <w:pPr>
        <w:ind w:left="1440" w:hanging="360"/>
      </w:pPr>
    </w:lvl>
    <w:lvl w:ilvl="2" w:tplc="0BDEB6AA" w:tentative="1">
      <w:start w:val="1"/>
      <w:numFmt w:val="lowerRoman"/>
      <w:lvlText w:val="%3."/>
      <w:lvlJc w:val="right"/>
      <w:pPr>
        <w:ind w:left="2160" w:hanging="180"/>
      </w:pPr>
    </w:lvl>
    <w:lvl w:ilvl="3" w:tplc="21143E48" w:tentative="1">
      <w:start w:val="1"/>
      <w:numFmt w:val="decimal"/>
      <w:lvlText w:val="%4."/>
      <w:lvlJc w:val="left"/>
      <w:pPr>
        <w:ind w:left="2880" w:hanging="360"/>
      </w:pPr>
    </w:lvl>
    <w:lvl w:ilvl="4" w:tplc="B97A0556" w:tentative="1">
      <w:start w:val="1"/>
      <w:numFmt w:val="lowerLetter"/>
      <w:lvlText w:val="%5."/>
      <w:lvlJc w:val="left"/>
      <w:pPr>
        <w:ind w:left="3600" w:hanging="360"/>
      </w:pPr>
    </w:lvl>
    <w:lvl w:ilvl="5" w:tplc="123A7D0A" w:tentative="1">
      <w:start w:val="1"/>
      <w:numFmt w:val="lowerRoman"/>
      <w:lvlText w:val="%6."/>
      <w:lvlJc w:val="right"/>
      <w:pPr>
        <w:ind w:left="4320" w:hanging="180"/>
      </w:pPr>
    </w:lvl>
    <w:lvl w:ilvl="6" w:tplc="7FC2B700" w:tentative="1">
      <w:start w:val="1"/>
      <w:numFmt w:val="decimal"/>
      <w:lvlText w:val="%7."/>
      <w:lvlJc w:val="left"/>
      <w:pPr>
        <w:ind w:left="5040" w:hanging="360"/>
      </w:pPr>
    </w:lvl>
    <w:lvl w:ilvl="7" w:tplc="F7BCAE64" w:tentative="1">
      <w:start w:val="1"/>
      <w:numFmt w:val="lowerLetter"/>
      <w:lvlText w:val="%8."/>
      <w:lvlJc w:val="left"/>
      <w:pPr>
        <w:ind w:left="5760" w:hanging="360"/>
      </w:pPr>
    </w:lvl>
    <w:lvl w:ilvl="8" w:tplc="D21AA7CC" w:tentative="1">
      <w:start w:val="1"/>
      <w:numFmt w:val="lowerRoman"/>
      <w:lvlText w:val="%9."/>
      <w:lvlJc w:val="right"/>
      <w:pPr>
        <w:ind w:left="6480" w:hanging="180"/>
      </w:pPr>
    </w:lvl>
  </w:abstractNum>
  <w:abstractNum w:abstractNumId="1" w15:restartNumberingAfterBreak="0">
    <w:nsid w:val="45EF260E"/>
    <w:multiLevelType w:val="multilevel"/>
    <w:tmpl w:val="1B144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0735A0"/>
    <w:multiLevelType w:val="multilevel"/>
    <w:tmpl w:val="06FA24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02086240">
    <w:abstractNumId w:val="1"/>
  </w:num>
  <w:num w:numId="2" w16cid:durableId="1534923606">
    <w:abstractNumId w:val="2"/>
  </w:num>
  <w:num w:numId="3" w16cid:durableId="783038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82E"/>
    <w:rsid w:val="000568C7"/>
    <w:rsid w:val="000E3327"/>
    <w:rsid w:val="002D115A"/>
    <w:rsid w:val="00345C65"/>
    <w:rsid w:val="004A23D8"/>
    <w:rsid w:val="004F0D88"/>
    <w:rsid w:val="004F3DB5"/>
    <w:rsid w:val="0057007F"/>
    <w:rsid w:val="005E5A02"/>
    <w:rsid w:val="006212A0"/>
    <w:rsid w:val="00787E79"/>
    <w:rsid w:val="008305CF"/>
    <w:rsid w:val="00850A8C"/>
    <w:rsid w:val="00BC60D4"/>
    <w:rsid w:val="00C220DC"/>
    <w:rsid w:val="00C8614C"/>
    <w:rsid w:val="00CA57B6"/>
    <w:rsid w:val="00CD6C6A"/>
    <w:rsid w:val="00D5482E"/>
    <w:rsid w:val="00D61B25"/>
    <w:rsid w:val="00DC5DC6"/>
    <w:rsid w:val="00E5043A"/>
    <w:rsid w:val="00F17F4D"/>
    <w:rsid w:val="152ED05D"/>
    <w:rsid w:val="1D2B13BE"/>
    <w:rsid w:val="1D4825D1"/>
    <w:rsid w:val="26975296"/>
    <w:rsid w:val="27927C50"/>
    <w:rsid w:val="31AD9286"/>
    <w:rsid w:val="33DF37A1"/>
    <w:rsid w:val="45BF5AEE"/>
    <w:rsid w:val="5A83DC57"/>
    <w:rsid w:val="65323BE0"/>
    <w:rsid w:val="6B989652"/>
    <w:rsid w:val="7873C1A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AAA0"/>
  <w15:chartTrackingRefBased/>
  <w15:docId w15:val="{F5B56BD3-659F-4482-80C4-F8169D020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4A23D8"/>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D5482E"/>
    <w:pPr>
      <w:spacing w:before="100" w:beforeAutospacing="1" w:after="100" w:afterAutospacing="1" w:line="240" w:lineRule="auto"/>
    </w:pPr>
    <w:rPr>
      <w:rFonts w:ascii="Times New Roman" w:hAnsi="Times New Roman" w:eastAsia="Times New Roman" w:cs="Times New Roman"/>
      <w:sz w:val="24"/>
      <w:szCs w:val="24"/>
      <w:lang w:val="en-US" w:bidi="bn-BD"/>
    </w:rPr>
  </w:style>
  <w:style w:type="character" w:styleId="Hyperlink">
    <w:name w:val="Hyperlink"/>
    <w:basedOn w:val="DefaultParagraphFont"/>
    <w:uiPriority w:val="99"/>
    <w:unhideWhenUsed/>
    <w:rsid w:val="00787E79"/>
    <w:rPr>
      <w:color w:val="0563C1" w:themeColor="hyperlink"/>
      <w:u w:val="single"/>
    </w:rPr>
  </w:style>
  <w:style w:type="paragraph" w:styleId="Header">
    <w:name w:val="header"/>
    <w:basedOn w:val="Normal"/>
    <w:link w:val="HeaderChar"/>
    <w:uiPriority w:val="99"/>
    <w:unhideWhenUsed/>
    <w:rsid w:val="004A23D8"/>
    <w:pPr>
      <w:tabs>
        <w:tab w:val="center" w:pos="4680"/>
        <w:tab w:val="right" w:pos="9360"/>
      </w:tabs>
      <w:spacing w:after="0" w:line="240" w:lineRule="auto"/>
    </w:pPr>
  </w:style>
  <w:style w:type="character" w:styleId="HeaderChar" w:customStyle="1">
    <w:name w:val="Header Char"/>
    <w:basedOn w:val="DefaultParagraphFont"/>
    <w:link w:val="Header"/>
    <w:uiPriority w:val="99"/>
    <w:rsid w:val="004A23D8"/>
    <w:rPr>
      <w:lang w:val="en-GB"/>
    </w:rPr>
  </w:style>
  <w:style w:type="paragraph" w:styleId="Footer">
    <w:name w:val="footer"/>
    <w:basedOn w:val="Normal"/>
    <w:link w:val="FooterChar"/>
    <w:uiPriority w:val="99"/>
    <w:unhideWhenUsed/>
    <w:rsid w:val="004A23D8"/>
    <w:pPr>
      <w:tabs>
        <w:tab w:val="center" w:pos="4680"/>
        <w:tab w:val="right" w:pos="9360"/>
      </w:tabs>
      <w:spacing w:after="0" w:line="240" w:lineRule="auto"/>
    </w:pPr>
  </w:style>
  <w:style w:type="character" w:styleId="FooterChar" w:customStyle="1">
    <w:name w:val="Footer Char"/>
    <w:basedOn w:val="DefaultParagraphFont"/>
    <w:link w:val="Footer"/>
    <w:uiPriority w:val="99"/>
    <w:rsid w:val="004A23D8"/>
    <w:rPr>
      <w:lang w:val="en-GB"/>
    </w:rPr>
  </w:style>
  <w:style w:type="paragraph" w:styleId="ListParagraph">
    <w:name w:val="List Paragraph"/>
    <w:basedOn w:val="Normal"/>
    <w:uiPriority w:val="34"/>
    <w:qFormat/>
    <w:rsid w:val="004A23D8"/>
    <w:pPr>
      <w:ind w:left="720"/>
      <w:contextualSpacing/>
    </w:pPr>
  </w:style>
  <w:style w:type="character" w:styleId="Heading1Char" w:customStyle="1">
    <w:name w:val="Heading 1 Char"/>
    <w:basedOn w:val="DefaultParagraphFont"/>
    <w:link w:val="Heading1"/>
    <w:uiPriority w:val="9"/>
    <w:rsid w:val="004A23D8"/>
    <w:rPr>
      <w:rFonts w:asciiTheme="majorHAnsi" w:hAnsiTheme="majorHAnsi" w:eastAsiaTheme="majorEastAsia" w:cstheme="majorBidi"/>
      <w:color w:val="2E74B5" w:themeColor="accent1" w:themeShade="BF"/>
      <w:sz w:val="32"/>
      <w:szCs w:val="32"/>
      <w:lang w:val="en-GB"/>
    </w:rPr>
  </w:style>
  <w:style w:type="paragraph" w:styleId="TOCHeading">
    <w:name w:val="TOC Heading"/>
    <w:basedOn w:val="Heading1"/>
    <w:next w:val="Normal"/>
    <w:uiPriority w:val="39"/>
    <w:unhideWhenUsed/>
    <w:qFormat/>
    <w:rsid w:val="004A23D8"/>
    <w:pPr>
      <w:outlineLvl w:val="9"/>
    </w:pPr>
    <w:rPr>
      <w:lang w:val="en-US"/>
    </w:rPr>
  </w:style>
  <w:style w:type="paragraph" w:styleId="TOC1">
    <w:name w:val="toc 1"/>
    <w:basedOn w:val="Normal"/>
    <w:next w:val="Normal"/>
    <w:autoRedefine/>
    <w:uiPriority w:val="39"/>
    <w:unhideWhenUsed/>
    <w:rsid w:val="004A23D8"/>
    <w:pPr>
      <w:spacing w:after="100"/>
    </w:pPr>
  </w:style>
  <w:style w:type="paragraph" w:styleId="Title">
    <w:name w:val="Title"/>
    <w:basedOn w:val="Normal"/>
    <w:next w:val="Normal"/>
    <w:link w:val="TitleChar"/>
    <w:uiPriority w:val="10"/>
    <w:qFormat/>
    <w:rsid w:val="00DC5DC6"/>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C5DC6"/>
    <w:rPr>
      <w:rFonts w:asciiTheme="majorHAnsi" w:hAnsiTheme="majorHAnsi" w:eastAsiaTheme="majorEastAsia" w:cstheme="majorBidi"/>
      <w:spacing w:val="-10"/>
      <w:kern w:val="28"/>
      <w:sz w:val="56"/>
      <w:szCs w:val="56"/>
      <w:lang w:val="en-GB"/>
    </w:rPr>
  </w:style>
  <w:style w:type="character" w:styleId="UnresolvedMention">
    <w:name w:val="Unresolved Mention"/>
    <w:basedOn w:val="DefaultParagraphFont"/>
    <w:uiPriority w:val="99"/>
    <w:semiHidden/>
    <w:unhideWhenUsed/>
    <w:rsid w:val="000E3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17535069.2019.1710860" TargetMode="External" Id="rId8" /><Relationship Type="http://schemas.openxmlformats.org/officeDocument/2006/relationships/hyperlink" Target="https://doi.org/10.3390/risks9010016" TargetMode="External" Id="rId13" /><Relationship Type="http://schemas.openxmlformats.org/officeDocument/2006/relationships/hyperlink" Target="https://doi.org/10.1177/03063127211048945" TargetMode="External" Id="rId18" /><Relationship Type="http://schemas.openxmlformats.org/officeDocument/2006/relationships/styles" Target="styles.xml" Id="rId3" /><Relationship Type="http://schemas.openxmlformats.org/officeDocument/2006/relationships/hyperlink" Target="https://doi.org/10.26668/businessreview/2023.v8i6.2438" TargetMode="External" Id="rId21" /><Relationship Type="http://schemas.openxmlformats.org/officeDocument/2006/relationships/endnotes" Target="endnotes.xml" Id="rId7" /><Relationship Type="http://schemas.openxmlformats.org/officeDocument/2006/relationships/hyperlink" Target="https://doi.org/10.1155/2020/6253013" TargetMode="External" Id="rId12" /><Relationship Type="http://schemas.openxmlformats.org/officeDocument/2006/relationships/hyperlink" Target="https://doi.org/10.1016/j.eiar.2020.106398"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s://doi.org/10.1016/j.jclepro.2020.122877" TargetMode="External" Id="rId16" /><Relationship Type="http://schemas.openxmlformats.org/officeDocument/2006/relationships/hyperlink" Target="https://library.oapen.org/viewer/web/viewer.html?file=/bitstream/handle/20.500.12657/39938/9780367903374_text.pdf?sequence=1&amp;isAllowed=y"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4324/9781315878768" TargetMode="External"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hyperlink" Target="https://doi.org/10.1108/JOCM-09-2019-0285" TargetMode="External" Id="rId15" /><Relationship Type="http://schemas.openxmlformats.org/officeDocument/2006/relationships/footer" Target="footer1.xml" Id="rId23" /><Relationship Type="http://schemas.openxmlformats.org/officeDocument/2006/relationships/hyperlink" Target="https://doi.org/10.1007/s13132-022-00975-2" TargetMode="External" Id="rId10" /><Relationship Type="http://schemas.openxmlformats.org/officeDocument/2006/relationships/hyperlink" Target="https://doi.org/10.1002/osp4.674" TargetMode="External" Id="rId19" /><Relationship Type="http://schemas.openxmlformats.org/officeDocument/2006/relationships/settings" Target="settings.xml" Id="rId4" /><Relationship Type="http://schemas.openxmlformats.org/officeDocument/2006/relationships/hyperlink" Target="https://doi.org/10.1016/j.jclepro.2020.123261" TargetMode="External" Id="rId9" /><Relationship Type="http://schemas.openxmlformats.org/officeDocument/2006/relationships/hyperlink" Target="https://www.kingscross.co.uk/google" TargetMode="External" Id="rId14" /><Relationship Type="http://schemas.openxmlformats.org/officeDocument/2006/relationships/hyperlink" Target="https://doi.org/10.1177/23409444221085585" TargetMode="Externa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E2591-913E-4A6C-84FC-6E5C80C136A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hp</dc:creator>
  <lastModifiedBy>Luca Gerardi (2219573)</lastModifiedBy>
  <revision>3</revision>
  <dcterms:created xsi:type="dcterms:W3CDTF">2024-08-29T07:45:00.0000000Z</dcterms:created>
  <dcterms:modified xsi:type="dcterms:W3CDTF">2024-09-01T07:05:51.1106707Z</dcterms:modified>
</coreProperties>
</file>