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371134" w14:textId="591879D0" w:rsidR="00BD18B6" w:rsidRPr="00A32C65" w:rsidRDefault="00BD18B6" w:rsidP="00A32C65">
      <w:pPr>
        <w:spacing w:line="240" w:lineRule="auto"/>
        <w:jc w:val="center"/>
        <w:rPr>
          <w:b/>
          <w:bCs/>
          <w:sz w:val="44"/>
          <w:szCs w:val="40"/>
        </w:rPr>
      </w:pPr>
      <w:r w:rsidRPr="00A32C65">
        <w:rPr>
          <w:b/>
          <w:bCs/>
          <w:sz w:val="44"/>
          <w:szCs w:val="40"/>
        </w:rPr>
        <w:t>BA/HND Business and Management</w:t>
      </w:r>
      <w:r w:rsidR="00671BA2" w:rsidRPr="00A32C65">
        <w:rPr>
          <w:b/>
          <w:bCs/>
          <w:sz w:val="44"/>
          <w:szCs w:val="40"/>
        </w:rPr>
        <w:t>s</w:t>
      </w:r>
    </w:p>
    <w:p w14:paraId="67A416FD" w14:textId="77777777" w:rsidR="00A32C65" w:rsidRDefault="00A32C65" w:rsidP="00A32C65">
      <w:pPr>
        <w:spacing w:line="240" w:lineRule="auto"/>
        <w:jc w:val="center"/>
        <w:rPr>
          <w:b/>
          <w:bCs/>
          <w:sz w:val="36"/>
          <w:szCs w:val="32"/>
        </w:rPr>
      </w:pPr>
    </w:p>
    <w:p w14:paraId="451D77E0" w14:textId="01885EA8" w:rsidR="00BD18B6" w:rsidRPr="00A32C65" w:rsidRDefault="00BD18B6" w:rsidP="00A32C65">
      <w:pPr>
        <w:spacing w:before="0" w:after="0" w:line="240" w:lineRule="auto"/>
        <w:jc w:val="center"/>
        <w:rPr>
          <w:b/>
          <w:bCs/>
          <w:sz w:val="44"/>
          <w:szCs w:val="40"/>
        </w:rPr>
      </w:pPr>
      <w:r w:rsidRPr="00A32C65">
        <w:rPr>
          <w:b/>
          <w:bCs/>
          <w:sz w:val="44"/>
          <w:szCs w:val="40"/>
        </w:rPr>
        <w:t xml:space="preserve">Financial Management </w:t>
      </w:r>
      <w:r w:rsidR="0061287A" w:rsidRPr="00A32C65">
        <w:rPr>
          <w:b/>
          <w:bCs/>
          <w:sz w:val="44"/>
          <w:szCs w:val="40"/>
        </w:rPr>
        <w:t>f</w:t>
      </w:r>
      <w:r w:rsidRPr="00A32C65">
        <w:rPr>
          <w:b/>
          <w:bCs/>
          <w:sz w:val="44"/>
          <w:szCs w:val="40"/>
        </w:rPr>
        <w:t>or Business Sustainability</w:t>
      </w:r>
    </w:p>
    <w:p w14:paraId="0D618053" w14:textId="1D12DE73" w:rsidR="00BD18B6" w:rsidRPr="00A32C65" w:rsidRDefault="0061287A" w:rsidP="00A32C65">
      <w:pPr>
        <w:spacing w:before="0" w:after="0" w:line="240" w:lineRule="auto"/>
        <w:jc w:val="center"/>
        <w:rPr>
          <w:b/>
          <w:bCs/>
          <w:sz w:val="40"/>
          <w:szCs w:val="36"/>
        </w:rPr>
      </w:pPr>
      <w:r w:rsidRPr="00A32C65">
        <w:rPr>
          <w:b/>
          <w:bCs/>
          <w:sz w:val="40"/>
          <w:szCs w:val="36"/>
        </w:rPr>
        <w:t>BMSP4011</w:t>
      </w:r>
    </w:p>
    <w:p w14:paraId="0580F0B9" w14:textId="77777777" w:rsidR="0061287A" w:rsidRPr="0061287A" w:rsidRDefault="0061287A" w:rsidP="0083748D">
      <w:pPr>
        <w:jc w:val="center"/>
        <w:rPr>
          <w:b/>
          <w:bCs/>
          <w:sz w:val="32"/>
          <w:szCs w:val="28"/>
        </w:rPr>
      </w:pPr>
    </w:p>
    <w:p w14:paraId="4DE9A4F6" w14:textId="77777777" w:rsidR="00A32C65" w:rsidRPr="00A32C65" w:rsidRDefault="0061287A" w:rsidP="00A32C65">
      <w:pPr>
        <w:spacing w:before="60" w:after="60" w:line="240" w:lineRule="auto"/>
        <w:jc w:val="center"/>
        <w:rPr>
          <w:b/>
          <w:bCs/>
          <w:sz w:val="44"/>
          <w:szCs w:val="40"/>
        </w:rPr>
      </w:pPr>
      <w:r w:rsidRPr="00A32C65">
        <w:rPr>
          <w:b/>
          <w:bCs/>
          <w:sz w:val="44"/>
          <w:szCs w:val="40"/>
        </w:rPr>
        <w:t xml:space="preserve">Financial Analysis </w:t>
      </w:r>
    </w:p>
    <w:p w14:paraId="0C78B52E" w14:textId="63D9C1AA" w:rsidR="0061287A" w:rsidRPr="00A32C65" w:rsidRDefault="00A32C65" w:rsidP="00A32C65">
      <w:pPr>
        <w:spacing w:before="60" w:after="60" w:line="240" w:lineRule="auto"/>
        <w:jc w:val="center"/>
        <w:rPr>
          <w:b/>
          <w:bCs/>
          <w:sz w:val="44"/>
          <w:szCs w:val="40"/>
        </w:rPr>
      </w:pPr>
      <w:r w:rsidRPr="00A32C65">
        <w:rPr>
          <w:b/>
          <w:bCs/>
          <w:sz w:val="44"/>
          <w:szCs w:val="40"/>
        </w:rPr>
        <w:t>O</w:t>
      </w:r>
      <w:r w:rsidR="0061287A" w:rsidRPr="00A32C65">
        <w:rPr>
          <w:b/>
          <w:bCs/>
          <w:sz w:val="44"/>
          <w:szCs w:val="40"/>
        </w:rPr>
        <w:t>n</w:t>
      </w:r>
    </w:p>
    <w:p w14:paraId="76CA2EAA" w14:textId="77777777" w:rsidR="00FC0EE1" w:rsidRDefault="0083748D" w:rsidP="00A32C65">
      <w:pPr>
        <w:spacing w:before="60" w:after="60" w:line="240" w:lineRule="auto"/>
        <w:jc w:val="center"/>
        <w:rPr>
          <w:b/>
          <w:bCs/>
          <w:i/>
          <w:iCs/>
          <w:sz w:val="36"/>
          <w:szCs w:val="32"/>
        </w:rPr>
      </w:pPr>
      <w:r w:rsidRPr="00A32C65">
        <w:rPr>
          <w:b/>
          <w:bCs/>
          <w:i/>
          <w:iCs/>
          <w:sz w:val="36"/>
          <w:szCs w:val="32"/>
        </w:rPr>
        <w:t>“Financial Performance Analysis of Tesco PLC: Ratio Analysis, Insights, and Strategic Recommendations”</w:t>
      </w:r>
    </w:p>
    <w:p w14:paraId="2B037CF0" w14:textId="77777777" w:rsidR="00FC0EE1" w:rsidRDefault="00FC0EE1" w:rsidP="00A32C65">
      <w:pPr>
        <w:spacing w:before="60" w:after="60" w:line="240" w:lineRule="auto"/>
        <w:jc w:val="center"/>
        <w:rPr>
          <w:b/>
          <w:bCs/>
          <w:i/>
          <w:iCs/>
          <w:sz w:val="36"/>
          <w:szCs w:val="32"/>
        </w:rPr>
      </w:pPr>
      <w:r>
        <w:rPr>
          <w:b/>
          <w:bCs/>
          <w:i/>
          <w:iCs/>
          <w:sz w:val="36"/>
          <w:szCs w:val="32"/>
        </w:rPr>
        <w:t xml:space="preserve">Student </w:t>
      </w:r>
      <w:proofErr w:type="spellStart"/>
      <w:proofErr w:type="gramStart"/>
      <w:r>
        <w:rPr>
          <w:b/>
          <w:bCs/>
          <w:i/>
          <w:iCs/>
          <w:sz w:val="36"/>
          <w:szCs w:val="32"/>
        </w:rPr>
        <w:t>Name:Vasile</w:t>
      </w:r>
      <w:proofErr w:type="spellEnd"/>
      <w:proofErr w:type="gramEnd"/>
      <w:r>
        <w:rPr>
          <w:b/>
          <w:bCs/>
          <w:i/>
          <w:iCs/>
          <w:sz w:val="36"/>
          <w:szCs w:val="32"/>
        </w:rPr>
        <w:t xml:space="preserve"> Danut </w:t>
      </w:r>
      <w:proofErr w:type="spellStart"/>
      <w:r>
        <w:rPr>
          <w:b/>
          <w:bCs/>
          <w:i/>
          <w:iCs/>
          <w:sz w:val="36"/>
          <w:szCs w:val="32"/>
        </w:rPr>
        <w:t>Grumega</w:t>
      </w:r>
      <w:proofErr w:type="spellEnd"/>
    </w:p>
    <w:p w14:paraId="0C846C04" w14:textId="262A1495" w:rsidR="00DB3FFA" w:rsidRPr="0061287A" w:rsidRDefault="00FC0EE1" w:rsidP="00A32C65">
      <w:pPr>
        <w:spacing w:before="60" w:after="60" w:line="240" w:lineRule="auto"/>
        <w:jc w:val="center"/>
        <w:rPr>
          <w:b/>
          <w:bCs/>
          <w:i/>
          <w:iCs/>
        </w:rPr>
      </w:pPr>
      <w:r>
        <w:rPr>
          <w:b/>
          <w:bCs/>
          <w:i/>
          <w:iCs/>
          <w:sz w:val="36"/>
          <w:szCs w:val="32"/>
        </w:rPr>
        <w:t>Student id:2325592</w:t>
      </w:r>
      <w:r w:rsidR="00DB3FFA" w:rsidRPr="0061287A">
        <w:rPr>
          <w:b/>
          <w:bCs/>
          <w:i/>
          <w:iCs/>
        </w:rPr>
        <w:br w:type="page"/>
      </w:r>
    </w:p>
    <w:p w14:paraId="33563292" w14:textId="77777777" w:rsidR="0070178E" w:rsidRDefault="0070178E" w:rsidP="0070178E">
      <w:pPr>
        <w:pStyle w:val="Heading1"/>
      </w:pPr>
      <w:bookmarkStart w:id="0" w:name="_Toc225109984"/>
      <w:bookmarkStart w:id="1" w:name="_Toc224930083"/>
      <w:bookmarkStart w:id="2" w:name="_Toc225063247"/>
      <w:r>
        <w:lastRenderedPageBreak/>
        <w:t>Table of Contents</w:t>
      </w:r>
      <w:bookmarkEnd w:id="0"/>
    </w:p>
    <w:p w14:paraId="43272F36" w14:textId="1EFF053A" w:rsidR="0070178E" w:rsidRDefault="003B01D1" w:rsidP="0070178E">
      <w:pPr>
        <w:spacing w:before="40" w:after="40" w:line="240" w:lineRule="auto"/>
      </w:pPr>
      <w:r w:rsidRPr="003B01D1">
        <w:rPr>
          <w:noProof/>
          <w:color w:val="000000" w:themeColor="text1"/>
          <w:sz w:val="20"/>
          <w:szCs w:val="18"/>
        </w:rPr>
        <w:drawing>
          <wp:inline distT="0" distB="0" distL="0" distR="0" wp14:anchorId="38784BF3" wp14:editId="6C907CA3">
            <wp:extent cx="5943600" cy="4023995"/>
            <wp:effectExtent l="0" t="0" r="0" b="0"/>
            <wp:docPr id="1895551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51324" name=""/>
                    <pic:cNvPicPr/>
                  </pic:nvPicPr>
                  <pic:blipFill>
                    <a:blip r:embed="rId6"/>
                    <a:stretch>
                      <a:fillRect/>
                    </a:stretch>
                  </pic:blipFill>
                  <pic:spPr>
                    <a:xfrm>
                      <a:off x="0" y="0"/>
                      <a:ext cx="5943600" cy="4023995"/>
                    </a:xfrm>
                    <a:prstGeom prst="rect">
                      <a:avLst/>
                    </a:prstGeom>
                  </pic:spPr>
                </pic:pic>
              </a:graphicData>
            </a:graphic>
          </wp:inline>
        </w:drawing>
      </w:r>
      <w:r w:rsidR="0070178E">
        <w:br w:type="page"/>
      </w:r>
    </w:p>
    <w:p w14:paraId="2E360A8F" w14:textId="5660303B" w:rsidR="00DB3FFA" w:rsidRPr="00DB3FFA" w:rsidRDefault="00DB3FFA" w:rsidP="006442C2">
      <w:pPr>
        <w:pStyle w:val="Heading1"/>
      </w:pPr>
      <w:bookmarkStart w:id="3" w:name="_Toc225109985"/>
      <w:r w:rsidRPr="00DB3FFA">
        <w:lastRenderedPageBreak/>
        <w:t>Introduction</w:t>
      </w:r>
      <w:bookmarkEnd w:id="1"/>
      <w:bookmarkEnd w:id="2"/>
      <w:bookmarkEnd w:id="3"/>
    </w:p>
    <w:p w14:paraId="2E387BBE" w14:textId="773C484B" w:rsidR="00DB3FFA" w:rsidRPr="00DB3FFA" w:rsidRDefault="00C4430A" w:rsidP="00DB3FFA">
      <w:r w:rsidRPr="00C4430A">
        <w:t xml:space="preserve">This work is a comparative report on the performance of Tesco PLC in two financial years related to financial performance. In a general sense, Tesco is the largest food retailer in the current market of the United Kingdom. Comparisons of major financial ratios in published statements of companies are made in the report. The performance is compared across financial years, and the reasons why performance varies are identified. The study is based on valid statistics obtained using Tesco's annual reports and financial summaries. The report identifies factors that influence profitability, efficiency and fiscal capacity during the period of choice. The report provides recommendations </w:t>
      </w:r>
      <w:proofErr w:type="gramStart"/>
      <w:r w:rsidRPr="00C4430A">
        <w:t>in order to</w:t>
      </w:r>
      <w:proofErr w:type="gramEnd"/>
      <w:r w:rsidRPr="00C4430A">
        <w:t xml:space="preserve"> improve the future financial performance and business sustainability in the long term. This analysis also helps in decision-making because it shows Tesco's financial strengths and weaknesses. The report ends with a conclusion of findings and the significance of ratio analysis in business analysis.</w:t>
      </w:r>
    </w:p>
    <w:p w14:paraId="47EFE743" w14:textId="774F39F5" w:rsidR="00DB3FFA" w:rsidRPr="00DB3FFA" w:rsidRDefault="00DB3FFA" w:rsidP="006442C2">
      <w:pPr>
        <w:pStyle w:val="Heading1"/>
      </w:pPr>
      <w:bookmarkStart w:id="4" w:name="_Toc224930084"/>
      <w:bookmarkStart w:id="5" w:name="_Toc225063248"/>
      <w:bookmarkStart w:id="6" w:name="_Toc225109986"/>
      <w:r w:rsidRPr="00DB3FFA">
        <w:t>1. Financial Statements Overview</w:t>
      </w:r>
      <w:bookmarkEnd w:id="4"/>
      <w:bookmarkEnd w:id="5"/>
      <w:bookmarkEnd w:id="6"/>
    </w:p>
    <w:p w14:paraId="7E8128DB" w14:textId="54F21CD1" w:rsidR="008541C4" w:rsidRDefault="00604EFA" w:rsidP="008541C4">
      <w:r w:rsidRPr="00604EFA">
        <w:t>The given table represents significant financial data of Tesco in the past financial years.</w:t>
      </w:r>
    </w:p>
    <w:p w14:paraId="67486925" w14:textId="32DD6F93" w:rsidR="006341FE" w:rsidRPr="008541C4" w:rsidRDefault="001B5A49" w:rsidP="001B5A49">
      <w:pPr>
        <w:jc w:val="center"/>
      </w:pPr>
      <w:r>
        <w:rPr>
          <w:noProof/>
        </w:rPr>
        <w:drawing>
          <wp:inline distT="0" distB="0" distL="0" distR="0" wp14:anchorId="6CAC5C88" wp14:editId="2C617BF7">
            <wp:extent cx="2755900" cy="1914525"/>
            <wp:effectExtent l="0" t="0" r="6350" b="9525"/>
            <wp:docPr id="12327781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55900" cy="1914525"/>
                    </a:xfrm>
                    <a:prstGeom prst="rect">
                      <a:avLst/>
                    </a:prstGeom>
                    <a:noFill/>
                  </pic:spPr>
                </pic:pic>
              </a:graphicData>
            </a:graphic>
          </wp:inline>
        </w:drawing>
      </w:r>
    </w:p>
    <w:p w14:paraId="6E6D6FEC" w14:textId="240D08E2" w:rsidR="00DB3FFA" w:rsidRPr="00DB3FFA" w:rsidRDefault="00F309D1" w:rsidP="00DB3FFA">
      <w:r w:rsidRPr="00F309D1">
        <w:t xml:space="preserve">The table indicates a rising pattern of revenue over </w:t>
      </w:r>
      <w:r w:rsidR="006341FE">
        <w:t>two</w:t>
      </w:r>
      <w:r w:rsidRPr="00F309D1">
        <w:t xml:space="preserve"> years, as shown in the table, thus an indication of business growth and expansion. Tesco improved its operating profit each year, indicating more efficient and cost-effective operations. Net profit grew tremendously, reflecting a satisfactory financial performance over the period. Total assets increased in </w:t>
      </w:r>
      <w:r w:rsidR="001B5A49">
        <w:t>Y</w:t>
      </w:r>
      <w:r w:rsidR="006341FE">
        <w:t>ear 2</w:t>
      </w:r>
      <w:r w:rsidRPr="00F309D1">
        <w:t xml:space="preserve"> and decreased in </w:t>
      </w:r>
      <w:r w:rsidR="001B5A49">
        <w:t>Y</w:t>
      </w:r>
      <w:r w:rsidR="006341FE">
        <w:t>ear 1</w:t>
      </w:r>
      <w:r w:rsidRPr="00F309D1">
        <w:t xml:space="preserve"> following strategic alterations. The reduction in the assets means that Tesco restructured investments and focused on business processes (Han et al., 2025). The total equity </w:t>
      </w:r>
      <w:r w:rsidR="006341FE">
        <w:lastRenderedPageBreak/>
        <w:t xml:space="preserve">also </w:t>
      </w:r>
      <w:r w:rsidR="001B5A49">
        <w:t>increases</w:t>
      </w:r>
      <w:r w:rsidR="006341FE">
        <w:t xml:space="preserve"> in year 2</w:t>
      </w:r>
      <w:r w:rsidRPr="00F309D1">
        <w:t>. This will bring down the equity, which will be used to indicate possible dividends or share buybacks by the management. In terms of finances, growth in revenue and profit is registered regardless of the fluctuations in assets. The table provides a definite understanding on the side of additional ratio analysis and performance assessment.</w:t>
      </w:r>
    </w:p>
    <w:p w14:paraId="776B961C" w14:textId="1F5BEDC3" w:rsidR="00DB3FFA" w:rsidRPr="00DB3FFA" w:rsidRDefault="00DB3FFA" w:rsidP="001B5A49">
      <w:pPr>
        <w:pStyle w:val="Heading1"/>
      </w:pPr>
      <w:bookmarkStart w:id="7" w:name="_Toc224930085"/>
      <w:bookmarkStart w:id="8" w:name="_Toc225063249"/>
      <w:bookmarkStart w:id="9" w:name="_Toc225109987"/>
      <w:r w:rsidRPr="00DB3FFA">
        <w:t xml:space="preserve">2. Ratio Analysis &amp; </w:t>
      </w:r>
      <w:r w:rsidRPr="001B5A49">
        <w:t>Interpretation</w:t>
      </w:r>
      <w:bookmarkEnd w:id="7"/>
      <w:bookmarkEnd w:id="8"/>
      <w:bookmarkEnd w:id="9"/>
    </w:p>
    <w:p w14:paraId="756AA73B" w14:textId="6A0E8CDA" w:rsidR="00DB3FFA" w:rsidRDefault="00DB3FFA" w:rsidP="008238CA">
      <w:pPr>
        <w:pStyle w:val="Heading2"/>
      </w:pPr>
      <w:bookmarkStart w:id="10" w:name="_Toc224930086"/>
      <w:bookmarkStart w:id="11" w:name="_Toc225063250"/>
      <w:bookmarkStart w:id="12" w:name="_Toc225109988"/>
      <w:r w:rsidRPr="00DB3FFA">
        <w:t>2.1 Profitability Ratios</w:t>
      </w:r>
      <w:bookmarkEnd w:id="10"/>
      <w:bookmarkEnd w:id="11"/>
      <w:bookmarkEnd w:id="12"/>
    </w:p>
    <w:p w14:paraId="52E17DB6" w14:textId="2F246E03" w:rsidR="001B5A49" w:rsidRDefault="001B5A49" w:rsidP="001B5A49">
      <w:pPr>
        <w:jc w:val="center"/>
        <w:rPr>
          <w:b/>
          <w:bCs/>
          <w:lang w:val="en-US"/>
        </w:rPr>
      </w:pPr>
      <w:r>
        <w:rPr>
          <w:b/>
          <w:bCs/>
          <w:noProof/>
          <w:lang w:val="en-US"/>
        </w:rPr>
        <w:drawing>
          <wp:inline distT="0" distB="0" distL="0" distR="0" wp14:anchorId="767B66AD" wp14:editId="703B8BC5">
            <wp:extent cx="4040163" cy="858302"/>
            <wp:effectExtent l="0" t="0" r="0" b="0"/>
            <wp:docPr id="20524250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4955" cy="861445"/>
                    </a:xfrm>
                    <a:prstGeom prst="rect">
                      <a:avLst/>
                    </a:prstGeom>
                    <a:noFill/>
                  </pic:spPr>
                </pic:pic>
              </a:graphicData>
            </a:graphic>
          </wp:inline>
        </w:drawing>
      </w:r>
    </w:p>
    <w:p w14:paraId="7139A621" w14:textId="79D74791" w:rsidR="00AA27B9" w:rsidRPr="00AA27B9" w:rsidRDefault="00AA27B9" w:rsidP="001B5A49">
      <w:pPr>
        <w:pStyle w:val="Heading3"/>
        <w:rPr>
          <w:lang w:val="en-US"/>
        </w:rPr>
      </w:pPr>
      <w:bookmarkStart w:id="13" w:name="_Toc225109989"/>
      <w:r w:rsidRPr="00AA27B9">
        <w:rPr>
          <w:lang w:val="en-US"/>
        </w:rPr>
        <w:t>Gross Profit Margin</w:t>
      </w:r>
      <w:bookmarkEnd w:id="13"/>
    </w:p>
    <w:p w14:paraId="0D1088E4" w14:textId="6DFC08C4" w:rsidR="00AA27B9" w:rsidRPr="00AA27B9" w:rsidRDefault="00AA27B9" w:rsidP="00AA27B9">
      <w:pPr>
        <w:rPr>
          <w:lang w:val="en-US"/>
        </w:rPr>
      </w:pPr>
      <w:r w:rsidRPr="00AA27B9">
        <w:t xml:space="preserve">The gross profit margin reveals the level of profitability of the company after production expenses. Gross profit margin was </w:t>
      </w:r>
      <w:r w:rsidR="001B5A49">
        <w:t>40.00%</w:t>
      </w:r>
      <w:r w:rsidRPr="00AA27B9">
        <w:t xml:space="preserve"> and rose to </w:t>
      </w:r>
      <w:r w:rsidR="001B5A49">
        <w:t>41.67%</w:t>
      </w:r>
      <w:r w:rsidRPr="00AA27B9">
        <w:t xml:space="preserve"> in Years 1 and 2 respectively. The growth indicates that the company has been able to control costs and pricing strategies. The company controlled the production costs in a better way or raised selling prices </w:t>
      </w:r>
      <w:proofErr w:type="gramStart"/>
      <w:r w:rsidRPr="00AA27B9">
        <w:t>in order to</w:t>
      </w:r>
      <w:proofErr w:type="gramEnd"/>
      <w:r w:rsidRPr="00AA27B9">
        <w:t xml:space="preserve"> enhance profitability.</w:t>
      </w:r>
    </w:p>
    <w:p w14:paraId="4E6041CF" w14:textId="77777777" w:rsidR="00AA27B9" w:rsidRPr="00AA27B9" w:rsidRDefault="00AA27B9" w:rsidP="00B75734">
      <w:pPr>
        <w:pStyle w:val="Heading3"/>
        <w:rPr>
          <w:lang w:val="en-US"/>
        </w:rPr>
      </w:pPr>
      <w:bookmarkStart w:id="14" w:name="_Toc225109990"/>
      <w:r w:rsidRPr="00AA27B9">
        <w:rPr>
          <w:lang w:val="en-US"/>
        </w:rPr>
        <w:t>Net Profit Margin</w:t>
      </w:r>
      <w:bookmarkEnd w:id="14"/>
    </w:p>
    <w:p w14:paraId="42AF456C" w14:textId="182391D6" w:rsidR="00AA27B9" w:rsidRPr="00AA27B9" w:rsidRDefault="00AA27B9" w:rsidP="00AA27B9">
      <w:r w:rsidRPr="00AA27B9">
        <w:t>The net profit margin presents the profit that would be left despite deducting all the business expenses</w:t>
      </w:r>
      <w:r>
        <w:t xml:space="preserve"> </w:t>
      </w:r>
      <w:r w:rsidRPr="008238CA">
        <w:rPr>
          <w:lang w:eastAsia="en-GB"/>
        </w:rPr>
        <w:t>(Majumder, 2025)</w:t>
      </w:r>
      <w:r w:rsidRPr="00AA27B9">
        <w:t xml:space="preserve">. The net profit margin was </w:t>
      </w:r>
      <w:r w:rsidR="00B75734">
        <w:t>10.00%</w:t>
      </w:r>
      <w:r w:rsidRPr="00AA27B9">
        <w:t xml:space="preserve"> in Year 1 and it rose to </w:t>
      </w:r>
      <w:r w:rsidR="00B75734">
        <w:t>12.50%</w:t>
      </w:r>
      <w:r w:rsidRPr="00AA27B9">
        <w:t>. The growth indicates that the firm has become more efficient in operating and administrative expenses management. The preceding year two saw the company being in control of expenses and improved the overall profitability.</w:t>
      </w:r>
    </w:p>
    <w:p w14:paraId="4514F4E7" w14:textId="11594C3F" w:rsidR="00B77AA8" w:rsidRDefault="00B77AA8" w:rsidP="00B77AA8">
      <w:pPr>
        <w:pStyle w:val="Heading2"/>
      </w:pPr>
      <w:bookmarkStart w:id="15" w:name="_Toc224930087"/>
      <w:bookmarkStart w:id="16" w:name="_Toc225063251"/>
      <w:bookmarkStart w:id="17" w:name="_Toc225109991"/>
      <w:r w:rsidRPr="00B77AA8">
        <w:lastRenderedPageBreak/>
        <w:t>2.2 Efficiency &amp; Liquidity Ratios</w:t>
      </w:r>
      <w:bookmarkEnd w:id="15"/>
      <w:bookmarkEnd w:id="16"/>
      <w:bookmarkEnd w:id="17"/>
    </w:p>
    <w:p w14:paraId="46B1AAC8" w14:textId="0A01E795" w:rsidR="007E49A4" w:rsidRDefault="007E49A4" w:rsidP="007E49A4">
      <w:pPr>
        <w:jc w:val="center"/>
        <w:rPr>
          <w:b/>
          <w:bCs/>
          <w:lang w:val="en-US"/>
        </w:rPr>
      </w:pPr>
      <w:r>
        <w:rPr>
          <w:b/>
          <w:bCs/>
          <w:noProof/>
          <w:lang w:val="en-US"/>
        </w:rPr>
        <w:drawing>
          <wp:inline distT="0" distB="0" distL="0" distR="0" wp14:anchorId="08CA9B3B" wp14:editId="3E62AF0A">
            <wp:extent cx="3667337" cy="1273428"/>
            <wp:effectExtent l="0" t="0" r="0" b="3175"/>
            <wp:docPr id="20792260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77430" cy="1276933"/>
                    </a:xfrm>
                    <a:prstGeom prst="rect">
                      <a:avLst/>
                    </a:prstGeom>
                    <a:noFill/>
                  </pic:spPr>
                </pic:pic>
              </a:graphicData>
            </a:graphic>
          </wp:inline>
        </w:drawing>
      </w:r>
    </w:p>
    <w:p w14:paraId="18137006" w14:textId="49FB3F21" w:rsidR="00AA27B9" w:rsidRPr="00AA27B9" w:rsidRDefault="00AA27B9" w:rsidP="007E49A4">
      <w:pPr>
        <w:pStyle w:val="Heading3"/>
        <w:rPr>
          <w:lang w:val="en-US"/>
        </w:rPr>
      </w:pPr>
      <w:bookmarkStart w:id="18" w:name="_Toc225109992"/>
      <w:r w:rsidRPr="00AA27B9">
        <w:rPr>
          <w:lang w:val="en-US"/>
        </w:rPr>
        <w:t>Current Ratio</w:t>
      </w:r>
      <w:bookmarkEnd w:id="18"/>
    </w:p>
    <w:p w14:paraId="3CBD4862" w14:textId="001C717D" w:rsidR="00AA27B9" w:rsidRPr="00AA27B9" w:rsidRDefault="00AA27B9" w:rsidP="00AA27B9">
      <w:pPr>
        <w:rPr>
          <w:lang w:val="en-US"/>
        </w:rPr>
      </w:pPr>
      <w:r w:rsidRPr="00AA27B9">
        <w:t>The current ratio illustrates the capacity of the company to finance the short-term obligations using the current assets</w:t>
      </w:r>
      <w:r w:rsidRPr="00B77AA8">
        <w:t xml:space="preserve"> (Mehmood, 2025)</w:t>
      </w:r>
      <w:r w:rsidRPr="00AA27B9">
        <w:t xml:space="preserve">. Its current ratio stood at </w:t>
      </w:r>
      <w:r w:rsidR="007E49A4">
        <w:t>1.50:1</w:t>
      </w:r>
      <w:r w:rsidRPr="00AA27B9">
        <w:t xml:space="preserve"> during </w:t>
      </w:r>
      <w:r w:rsidR="007E49A4">
        <w:t>Y</w:t>
      </w:r>
      <w:r w:rsidRPr="00AA27B9">
        <w:t>ear 1 but it rose to</w:t>
      </w:r>
      <w:r w:rsidR="007E49A4">
        <w:t xml:space="preserve"> 1.59:1</w:t>
      </w:r>
      <w:r w:rsidRPr="00AA27B9">
        <w:t>. The growth indicates that the company is in a better status to fulfil its short-term financial requirement. In the second year, the company was financially stable as it had better liquidity.</w:t>
      </w:r>
    </w:p>
    <w:p w14:paraId="448EA5E7" w14:textId="77777777" w:rsidR="00AA27B9" w:rsidRPr="00AA27B9" w:rsidRDefault="00AA27B9" w:rsidP="007E49A4">
      <w:pPr>
        <w:pStyle w:val="Heading3"/>
        <w:rPr>
          <w:lang w:val="en-US"/>
        </w:rPr>
      </w:pPr>
      <w:bookmarkStart w:id="19" w:name="_Toc225109993"/>
      <w:r w:rsidRPr="00AA27B9">
        <w:rPr>
          <w:lang w:val="en-US"/>
        </w:rPr>
        <w:t>Quick Ratio</w:t>
      </w:r>
      <w:bookmarkEnd w:id="19"/>
    </w:p>
    <w:p w14:paraId="3A35E789" w14:textId="547C6489" w:rsidR="00AA27B9" w:rsidRDefault="00AA27B9" w:rsidP="00AA27B9">
      <w:pPr>
        <w:rPr>
          <w:b/>
          <w:bCs/>
          <w:lang w:val="en-US"/>
        </w:rPr>
      </w:pPr>
      <w:r w:rsidRPr="00AA27B9">
        <w:t>The quick ratio indicates the liquidity but does not consider the inventory in the calculation of the current assets</w:t>
      </w:r>
      <w:r w:rsidRPr="00B4238E">
        <w:t xml:space="preserve"> </w:t>
      </w:r>
      <w:r>
        <w:t xml:space="preserve">(John-Akamelu, </w:t>
      </w:r>
      <w:proofErr w:type="spellStart"/>
      <w:r>
        <w:t>Amasiatu</w:t>
      </w:r>
      <w:proofErr w:type="spellEnd"/>
      <w:r>
        <w:t xml:space="preserve"> and Nworie, 2025)</w:t>
      </w:r>
      <w:r w:rsidRPr="00AA27B9">
        <w:t xml:space="preserve">. The quick ratio stood at </w:t>
      </w:r>
      <w:r w:rsidR="00392A53">
        <w:t>1.00:1</w:t>
      </w:r>
      <w:r w:rsidRPr="00AA27B9">
        <w:t xml:space="preserve"> during the Year 1, which rose to </w:t>
      </w:r>
      <w:r w:rsidR="00392A53">
        <w:t>1.05:1</w:t>
      </w:r>
      <w:r w:rsidRPr="00AA27B9">
        <w:t>. The growth indicates that the firm is experiencing adequate liquid assets that could cover short-term liabilities. The company had better management of cash and better management of liquid financial resources.</w:t>
      </w:r>
    </w:p>
    <w:p w14:paraId="3F764209" w14:textId="59F8D5FB" w:rsidR="00AA27B9" w:rsidRPr="00AA27B9" w:rsidRDefault="00AA27B9" w:rsidP="007E49A4">
      <w:pPr>
        <w:pStyle w:val="Heading3"/>
        <w:rPr>
          <w:lang w:val="en-US"/>
        </w:rPr>
      </w:pPr>
      <w:bookmarkStart w:id="20" w:name="_Toc225109994"/>
      <w:r w:rsidRPr="00AA27B9">
        <w:rPr>
          <w:lang w:val="en-US"/>
        </w:rPr>
        <w:t>Return on Assets (ROA)</w:t>
      </w:r>
      <w:bookmarkEnd w:id="20"/>
    </w:p>
    <w:p w14:paraId="36D02877" w14:textId="0F43B7C2" w:rsidR="00AA27B9" w:rsidRPr="00AA27B9" w:rsidRDefault="00AA27B9" w:rsidP="00AA27B9">
      <w:pPr>
        <w:rPr>
          <w:lang w:val="en-US"/>
        </w:rPr>
      </w:pPr>
      <w:r w:rsidRPr="00AA27B9">
        <w:t>Return on assets indicates the efficiency of the company in the utilisation of the assets to bring profit</w:t>
      </w:r>
      <w:r>
        <w:t xml:space="preserve"> </w:t>
      </w:r>
      <w:r w:rsidRPr="00C4430A">
        <w:t>(Ngo and Trinh, 2025)</w:t>
      </w:r>
      <w:r w:rsidRPr="00AA27B9">
        <w:t xml:space="preserve">. Year 1 Return on assets stood at </w:t>
      </w:r>
      <w:r w:rsidR="00392A53">
        <w:t>12.50%</w:t>
      </w:r>
      <w:r w:rsidRPr="00AA27B9">
        <w:t xml:space="preserve"> and rose to </w:t>
      </w:r>
      <w:r w:rsidR="00392A53">
        <w:t>16.67%</w:t>
      </w:r>
      <w:r w:rsidRPr="00AA27B9">
        <w:t>. The growth indicates that the firm has utilised its assets more efficiently in the second year. The company became efficient in its operations and made more profits out of the resources it has</w:t>
      </w:r>
      <w:r>
        <w:t>.</w:t>
      </w:r>
    </w:p>
    <w:p w14:paraId="6AAD24DC" w14:textId="77777777" w:rsidR="00AA27B9" w:rsidRPr="00AA27B9" w:rsidRDefault="00AA27B9" w:rsidP="00392A53">
      <w:pPr>
        <w:pStyle w:val="Heading3"/>
        <w:rPr>
          <w:lang w:val="en-US"/>
        </w:rPr>
      </w:pPr>
      <w:bookmarkStart w:id="21" w:name="_Toc225109995"/>
      <w:r w:rsidRPr="00AA27B9">
        <w:rPr>
          <w:lang w:val="en-US"/>
        </w:rPr>
        <w:t xml:space="preserve">Return </w:t>
      </w:r>
      <w:proofErr w:type="gramStart"/>
      <w:r w:rsidRPr="00AA27B9">
        <w:rPr>
          <w:lang w:val="en-US"/>
        </w:rPr>
        <w:t>on</w:t>
      </w:r>
      <w:proofErr w:type="gramEnd"/>
      <w:r w:rsidRPr="00AA27B9">
        <w:rPr>
          <w:lang w:val="en-US"/>
        </w:rPr>
        <w:t xml:space="preserve"> Equity (ROE)</w:t>
      </w:r>
      <w:bookmarkEnd w:id="21"/>
    </w:p>
    <w:p w14:paraId="0F6BFEA4" w14:textId="71D96B96" w:rsidR="00AA27B9" w:rsidRPr="00AA27B9" w:rsidRDefault="00AA27B9" w:rsidP="00AA27B9">
      <w:pPr>
        <w:rPr>
          <w:lang w:val="en-US"/>
        </w:rPr>
      </w:pPr>
      <w:r w:rsidRPr="00AA27B9">
        <w:t xml:space="preserve">Return on equity indicates the efficiency of the company in using the investment of shareholders to give returns </w:t>
      </w:r>
      <w:r w:rsidRPr="00B77AA8">
        <w:t>(</w:t>
      </w:r>
      <w:proofErr w:type="spellStart"/>
      <w:r w:rsidRPr="00B77AA8">
        <w:t>Belesis</w:t>
      </w:r>
      <w:proofErr w:type="spellEnd"/>
      <w:r w:rsidRPr="00B77AA8">
        <w:t xml:space="preserve"> et al., 2026)</w:t>
      </w:r>
      <w:r w:rsidRPr="00AA27B9">
        <w:t xml:space="preserve">. Year 1 had been </w:t>
      </w:r>
      <w:r w:rsidR="00392A53">
        <w:t>25.00%</w:t>
      </w:r>
      <w:r w:rsidRPr="00AA27B9">
        <w:t xml:space="preserve"> return on equity and the next year </w:t>
      </w:r>
      <w:r w:rsidRPr="00AA27B9">
        <w:lastRenderedPageBreak/>
        <w:t xml:space="preserve">rose to </w:t>
      </w:r>
      <w:r w:rsidR="00392A53">
        <w:t>33.33%</w:t>
      </w:r>
      <w:r w:rsidRPr="00AA27B9">
        <w:t>. The growth is an indication that the company offers greater returns on investors in the second year. The company enhanced financial performance and maximised funds of shareholders</w:t>
      </w:r>
      <w:r>
        <w:t>.</w:t>
      </w:r>
    </w:p>
    <w:p w14:paraId="682A8AF8" w14:textId="6D82A187" w:rsidR="00DB3FFA" w:rsidRPr="00531C9B" w:rsidRDefault="00DB3FFA" w:rsidP="00531C9B">
      <w:pPr>
        <w:pStyle w:val="Heading1"/>
      </w:pPr>
      <w:bookmarkStart w:id="22" w:name="_Toc224930089"/>
      <w:bookmarkStart w:id="23" w:name="_Toc225063252"/>
      <w:bookmarkStart w:id="24" w:name="_Toc225109996"/>
      <w:r w:rsidRPr="00DB3FFA">
        <w:t>3. Why Performance Changed</w:t>
      </w:r>
      <w:bookmarkEnd w:id="22"/>
      <w:bookmarkEnd w:id="23"/>
      <w:bookmarkEnd w:id="24"/>
    </w:p>
    <w:p w14:paraId="390426B2" w14:textId="77777777" w:rsidR="00FD117F" w:rsidRPr="00531C9B" w:rsidRDefault="00FD117F" w:rsidP="00531C9B">
      <w:pPr>
        <w:pStyle w:val="Heading2"/>
      </w:pPr>
      <w:bookmarkStart w:id="25" w:name="_Toc224930090"/>
      <w:bookmarkStart w:id="26" w:name="_Toc225063253"/>
      <w:bookmarkStart w:id="27" w:name="_Toc225109997"/>
      <w:r w:rsidRPr="00FD117F">
        <w:t>3.1 Strategic Initiatives</w:t>
      </w:r>
      <w:bookmarkEnd w:id="25"/>
      <w:bookmarkEnd w:id="26"/>
      <w:bookmarkEnd w:id="27"/>
    </w:p>
    <w:p w14:paraId="4D7281D0" w14:textId="5DF5D5E4" w:rsidR="008148F9" w:rsidRPr="008148F9" w:rsidRDefault="008148F9" w:rsidP="008148F9">
      <w:r w:rsidRPr="008148F9">
        <w:t xml:space="preserve">Tesco had strategic projects to improve the financial performance and positioning of the core retail business. </w:t>
      </w:r>
      <w:proofErr w:type="gramStart"/>
      <w:r w:rsidRPr="008148F9">
        <w:t>In order to</w:t>
      </w:r>
      <w:proofErr w:type="gramEnd"/>
      <w:r w:rsidRPr="008148F9">
        <w:t xml:space="preserve"> streamline the business structure, the company sold most of its banking services to Barclays. This sale had led to a profit of approximately </w:t>
      </w:r>
      <w:r w:rsidR="005F3EA2">
        <w:t>600</w:t>
      </w:r>
      <w:r w:rsidRPr="008148F9">
        <w:t xml:space="preserve"> million pounds, reducing the capital-intensive debts significantly (Wei, 2025). The move helped Tesco to focus on core retail and profit maximisation.</w:t>
      </w:r>
    </w:p>
    <w:p w14:paraId="3CEAE46D" w14:textId="77777777" w:rsidR="008148F9" w:rsidRPr="00531C9B" w:rsidRDefault="008148F9" w:rsidP="00531C9B">
      <w:pPr>
        <w:pStyle w:val="Heading2"/>
      </w:pPr>
      <w:bookmarkStart w:id="28" w:name="_Toc224930091"/>
      <w:bookmarkStart w:id="29" w:name="_Toc225063254"/>
      <w:bookmarkStart w:id="30" w:name="_Toc225109998"/>
      <w:r w:rsidRPr="008148F9">
        <w:t>3.2 Market Conditions</w:t>
      </w:r>
      <w:bookmarkEnd w:id="28"/>
      <w:bookmarkEnd w:id="29"/>
      <w:bookmarkEnd w:id="30"/>
    </w:p>
    <w:p w14:paraId="1A49F79A" w14:textId="71971C67" w:rsidR="008148F9" w:rsidRPr="008148F9" w:rsidRDefault="008148F9" w:rsidP="008148F9">
      <w:r w:rsidRPr="008148F9">
        <w:t>Consumer spending and demand in the United Kingdom retail market were supported by economic recovery. The low inflation lowered the cost push and improved the purchasing power of customers in different segments</w:t>
      </w:r>
      <w:r w:rsidR="00B4238E" w:rsidRPr="00B4238E">
        <w:t xml:space="preserve"> </w:t>
      </w:r>
      <w:r w:rsidR="00B4238E">
        <w:t>(Mattila, 2022)</w:t>
      </w:r>
      <w:r w:rsidRPr="008148F9">
        <w:t>. Demand growth and stable economic conditions assisted Tesco in raising sales volumes. Tesco was forced to compete with pricing because of the existence of strong rivals such as Aldi and Lidl. Prices and profitability were combined to maintain both market share and customer loyalty. Tesco launched loyalty programmes to retain customers and ensure they buy on a regular basis. The supply chain was optimised to enhance product supply and reduce operational interference across the store network.</w:t>
      </w:r>
    </w:p>
    <w:p w14:paraId="22AC85CC" w14:textId="77777777" w:rsidR="008148F9" w:rsidRPr="00531C9B" w:rsidRDefault="008148F9" w:rsidP="00531C9B">
      <w:pPr>
        <w:pStyle w:val="Heading2"/>
      </w:pPr>
      <w:bookmarkStart w:id="31" w:name="_Toc224930092"/>
      <w:bookmarkStart w:id="32" w:name="_Toc225063255"/>
      <w:bookmarkStart w:id="33" w:name="_Toc225109999"/>
      <w:r w:rsidRPr="008148F9">
        <w:t>3.3 Operational Efficiency</w:t>
      </w:r>
      <w:bookmarkEnd w:id="31"/>
      <w:bookmarkEnd w:id="32"/>
      <w:bookmarkEnd w:id="33"/>
    </w:p>
    <w:p w14:paraId="7CBB351C" w14:textId="0B1BECAD" w:rsidR="00DB3FFA" w:rsidRPr="00DB3FFA" w:rsidRDefault="008148F9" w:rsidP="00DB3FFA">
      <w:r w:rsidRPr="008148F9">
        <w:t>Tesco could increase its operational efficiency by investing heavily in the wages and working conditions of the staff. The high wages increased the morale of the staff and the overall productivity of the store's operation in the most optimal manner. Customer service quality was enhanced, leading to customer satisfaction and repeat visits (Dewi et al., 2025). It increased the efficiency of operations, resulting in reduced wastage and cost control in other business activities.</w:t>
      </w:r>
    </w:p>
    <w:p w14:paraId="34F174CD" w14:textId="26EB062F" w:rsidR="00DB3FFA" w:rsidRPr="00531C9B" w:rsidRDefault="00DB3FFA" w:rsidP="00531C9B">
      <w:pPr>
        <w:pStyle w:val="Heading1"/>
      </w:pPr>
      <w:bookmarkStart w:id="34" w:name="_Toc224930093"/>
      <w:bookmarkStart w:id="35" w:name="_Toc225063256"/>
      <w:bookmarkStart w:id="36" w:name="_Toc225110000"/>
      <w:r w:rsidRPr="00DB3FFA">
        <w:lastRenderedPageBreak/>
        <w:t>4. Recommendations for Future Sustainability</w:t>
      </w:r>
      <w:bookmarkEnd w:id="34"/>
      <w:bookmarkEnd w:id="35"/>
      <w:bookmarkEnd w:id="36"/>
    </w:p>
    <w:p w14:paraId="7BC9B58B" w14:textId="77777777" w:rsidR="001766C4" w:rsidRPr="001766C4" w:rsidRDefault="001766C4" w:rsidP="001766C4">
      <w:pPr>
        <w:pStyle w:val="Heading2"/>
      </w:pPr>
      <w:bookmarkStart w:id="37" w:name="_Toc224930094"/>
      <w:bookmarkStart w:id="38" w:name="_Toc225063257"/>
      <w:bookmarkStart w:id="39" w:name="_Toc225110001"/>
      <w:r w:rsidRPr="001766C4">
        <w:t>4.1 Strengthen Financial Position</w:t>
      </w:r>
      <w:bookmarkEnd w:id="37"/>
      <w:bookmarkEnd w:id="38"/>
      <w:bookmarkEnd w:id="39"/>
    </w:p>
    <w:p w14:paraId="0446916E" w14:textId="77777777" w:rsidR="001766C4" w:rsidRPr="001766C4" w:rsidRDefault="001766C4" w:rsidP="001766C4">
      <w:r w:rsidRPr="001766C4">
        <w:t>Tesco must integrate its financial platform through the disposal of debt financing in the long term. Having a balanced degree of borrowing would help the company to minimise the financial risk by improving credit ratings. Tesco should aim at stabilising the free cash flow by enhancing the working capital management practises (Yaremchuk, 2025). Improved inventory control will result in saving unnecessary costs and make the operations very effective. Financial growth and stability will be maintained in the long run by a well-managed cash flow.</w:t>
      </w:r>
    </w:p>
    <w:p w14:paraId="2245ED39" w14:textId="77777777" w:rsidR="001766C4" w:rsidRPr="001766C4" w:rsidRDefault="001766C4" w:rsidP="001766C4">
      <w:pPr>
        <w:pStyle w:val="Heading2"/>
      </w:pPr>
      <w:bookmarkStart w:id="40" w:name="_Toc224930095"/>
      <w:bookmarkStart w:id="41" w:name="_Toc225063258"/>
      <w:bookmarkStart w:id="42" w:name="_Toc225110002"/>
      <w:r w:rsidRPr="001766C4">
        <w:t>4.2 Operational Improvements</w:t>
      </w:r>
      <w:bookmarkEnd w:id="40"/>
      <w:bookmarkEnd w:id="41"/>
      <w:bookmarkEnd w:id="42"/>
    </w:p>
    <w:p w14:paraId="6FAA6963" w14:textId="7492EABA" w:rsidR="001766C4" w:rsidRPr="001766C4" w:rsidRDefault="001766C4" w:rsidP="001766C4">
      <w:r w:rsidRPr="001766C4">
        <w:t>Tesco must increase its digital retailing to effectively exploit online customer demand. It should invest in online shopping platforms to increase customer experience and accessibility. More activities online would increase brand loyalty and eventually more sales. The Tesco supply chains are efficient due to investment in automation technologies and logistics. Business operations should run on effective logistics systems that reduce operation costs and shorten delivery time</w:t>
      </w:r>
      <w:r w:rsidR="00B4238E" w:rsidRPr="00B4238E">
        <w:t xml:space="preserve"> </w:t>
      </w:r>
      <w:r w:rsidR="00B4238E">
        <w:t>(Oteri et al., 2023)</w:t>
      </w:r>
      <w:r w:rsidRPr="001766C4">
        <w:t>. These benefits are to enhance productivity and sustainability of business within competitive markets.</w:t>
      </w:r>
    </w:p>
    <w:p w14:paraId="7799F851" w14:textId="77777777" w:rsidR="001766C4" w:rsidRPr="001766C4" w:rsidRDefault="001766C4" w:rsidP="001766C4">
      <w:pPr>
        <w:pStyle w:val="Heading2"/>
      </w:pPr>
      <w:bookmarkStart w:id="43" w:name="_Toc224930096"/>
      <w:bookmarkStart w:id="44" w:name="_Toc225063259"/>
      <w:bookmarkStart w:id="45" w:name="_Toc225110003"/>
      <w:r w:rsidRPr="001766C4">
        <w:t>4.3 Sustainable Initiatives</w:t>
      </w:r>
      <w:bookmarkEnd w:id="43"/>
      <w:bookmarkEnd w:id="44"/>
      <w:bookmarkEnd w:id="45"/>
    </w:p>
    <w:p w14:paraId="3E6F2A6F" w14:textId="2F852787" w:rsidR="00DB3FFA" w:rsidRPr="00DB3FFA" w:rsidRDefault="001766C4" w:rsidP="00DB3FFA">
      <w:r w:rsidRPr="001766C4">
        <w:t xml:space="preserve">Tesco should also do more sustainability reporting to improve transparency and attract interested investors around the globe. This company </w:t>
      </w:r>
      <w:proofErr w:type="gramStart"/>
      <w:r w:rsidRPr="001766C4">
        <w:t>has to</w:t>
      </w:r>
      <w:proofErr w:type="gramEnd"/>
      <w:r w:rsidRPr="001766C4">
        <w:t xml:space="preserve"> factor in the environmental and social governance such that the stakeholders can trust this firm. Tesco must use energy efficiency programmes to reduce operational costs and environmental impact. Green energy use should be part of long-term sustainability and reduction of carbon in operations (Ramalingam et al., 2025). Waste reduction measures should improve corporate social responsibility performance and boost resource efficiency.</w:t>
      </w:r>
    </w:p>
    <w:p w14:paraId="49BBB818" w14:textId="7F7D5EB4" w:rsidR="00DB3FFA" w:rsidRPr="00531C9B" w:rsidRDefault="00DB3FFA" w:rsidP="00531C9B">
      <w:pPr>
        <w:pStyle w:val="Heading1"/>
      </w:pPr>
      <w:bookmarkStart w:id="46" w:name="_Toc224930097"/>
      <w:bookmarkStart w:id="47" w:name="_Toc225063260"/>
      <w:bookmarkStart w:id="48" w:name="_Toc225110004"/>
      <w:r w:rsidRPr="00DB3FFA">
        <w:lastRenderedPageBreak/>
        <w:t>Conclusion</w:t>
      </w:r>
      <w:bookmarkEnd w:id="46"/>
      <w:bookmarkEnd w:id="47"/>
      <w:bookmarkEnd w:id="48"/>
    </w:p>
    <w:p w14:paraId="0926094D" w14:textId="6405C564" w:rsidR="00604F68" w:rsidRPr="00310791" w:rsidRDefault="00310791">
      <w:r w:rsidRPr="00310791">
        <w:t xml:space="preserve">Lastly, the performance evaluation of Tesco is summarised and shows a consistent growth in profitability during the previous years. The company could provide shareholders with decent returns because of the low operation costs and effective management. Trends in profit and margins indicate successful focus on primary retail business and cost management. Tesco maximised its financial performance through strategic options and operational efficiencies, as well as through a consistent and continuously improving strategy (Terzis and Gotzamani, 2025). However, a high level of financial leverage means that the company should repay debt </w:t>
      </w:r>
      <w:proofErr w:type="gramStart"/>
      <w:r w:rsidRPr="00310791">
        <w:t>in order to</w:t>
      </w:r>
      <w:proofErr w:type="gramEnd"/>
      <w:r w:rsidRPr="00310791">
        <w:t xml:space="preserve"> increase financial stability. The discussion reveals that financial ratios play an important role in the analysis of business performance and decision-making. Financial ratios help in the appearance of operational effectiveness, profitability and company financial position. The findings suggest that Tesco is more financially sound but requires the focus on sustainability and efficiency. The future growth is to be consistent in growth and market competitiveness.</w:t>
      </w:r>
      <w:r w:rsidR="00604F68">
        <w:rPr>
          <w:b/>
          <w:bCs/>
        </w:rPr>
        <w:br w:type="page"/>
      </w:r>
    </w:p>
    <w:p w14:paraId="0D79501A" w14:textId="23DD6521" w:rsidR="00DB3FFA" w:rsidRPr="00DB3FFA" w:rsidRDefault="00DB3FFA" w:rsidP="00604F68">
      <w:pPr>
        <w:pStyle w:val="Heading1"/>
      </w:pPr>
      <w:bookmarkStart w:id="49" w:name="_Toc224930098"/>
      <w:bookmarkStart w:id="50" w:name="_Toc225063261"/>
      <w:bookmarkStart w:id="51" w:name="_Toc225110005"/>
      <w:r w:rsidRPr="00DB3FFA">
        <w:lastRenderedPageBreak/>
        <w:t>References</w:t>
      </w:r>
      <w:bookmarkEnd w:id="49"/>
      <w:bookmarkEnd w:id="50"/>
      <w:bookmarkEnd w:id="51"/>
    </w:p>
    <w:p w14:paraId="1FC7663B" w14:textId="77777777" w:rsidR="00BD18B6" w:rsidRPr="00BD18B6" w:rsidRDefault="00BD18B6" w:rsidP="00BD18B6">
      <w:proofErr w:type="spellStart"/>
      <w:r w:rsidRPr="00BD18B6">
        <w:t>Belesis</w:t>
      </w:r>
      <w:proofErr w:type="spellEnd"/>
      <w:r w:rsidRPr="00BD18B6">
        <w:t xml:space="preserve">, N., Kampouris, C., Andreas, F. and </w:t>
      </w:r>
      <w:proofErr w:type="spellStart"/>
      <w:r w:rsidRPr="00BD18B6">
        <w:t>Malliari</w:t>
      </w:r>
      <w:proofErr w:type="spellEnd"/>
      <w:r w:rsidRPr="00BD18B6">
        <w:t xml:space="preserve">, N. (2026) ‘The impact of marketing brand value on a company’s financial performance’, </w:t>
      </w:r>
      <w:r w:rsidRPr="00BD18B6">
        <w:rPr>
          <w:i/>
          <w:iCs/>
        </w:rPr>
        <w:t>International Review of Management and Marketing</w:t>
      </w:r>
      <w:r w:rsidRPr="00BD18B6">
        <w:t>, 16(2), p. 263.</w:t>
      </w:r>
    </w:p>
    <w:p w14:paraId="3FA9AC51" w14:textId="77777777" w:rsidR="00BD18B6" w:rsidRPr="00BD18B6" w:rsidRDefault="00BD18B6" w:rsidP="00BD18B6">
      <w:r w:rsidRPr="00BD18B6">
        <w:t xml:space="preserve">Dewi, P., Amelia, R., </w:t>
      </w:r>
      <w:proofErr w:type="spellStart"/>
      <w:r w:rsidRPr="00BD18B6">
        <w:t>Febrina</w:t>
      </w:r>
      <w:proofErr w:type="spellEnd"/>
      <w:r w:rsidRPr="00BD18B6">
        <w:t xml:space="preserve">, D., Kelana, J. and Tambunan, D. (2025) ‘Service quality and customer satisfaction in ethnic cuisine: Insights from a Nasi </w:t>
      </w:r>
      <w:proofErr w:type="spellStart"/>
      <w:r w:rsidRPr="00BD18B6">
        <w:t>Kebuli</w:t>
      </w:r>
      <w:proofErr w:type="spellEnd"/>
      <w:r w:rsidRPr="00BD18B6">
        <w:t xml:space="preserve"> Restaurant in Indonesia’, </w:t>
      </w:r>
      <w:r w:rsidRPr="00BD18B6">
        <w:rPr>
          <w:i/>
          <w:iCs/>
        </w:rPr>
        <w:t>Journal of Business Integration Competitive</w:t>
      </w:r>
      <w:r w:rsidRPr="00BD18B6">
        <w:t>, 1(2), pp. 42–54.</w:t>
      </w:r>
    </w:p>
    <w:p w14:paraId="6B4472D2" w14:textId="77777777" w:rsidR="00BD18B6" w:rsidRPr="00BD18B6" w:rsidRDefault="00BD18B6" w:rsidP="00BD18B6">
      <w:r w:rsidRPr="00BD18B6">
        <w:t xml:space="preserve">Han, Z., Wood, S., Coe, N.M. and Alexander, A. (2025) ‘Platform business groups and the omni‐channel transformation of food retailing in China’, </w:t>
      </w:r>
      <w:proofErr w:type="spellStart"/>
      <w:r w:rsidRPr="00BD18B6">
        <w:rPr>
          <w:i/>
          <w:iCs/>
        </w:rPr>
        <w:t>Tijdschrift</w:t>
      </w:r>
      <w:proofErr w:type="spellEnd"/>
      <w:r w:rsidRPr="00BD18B6">
        <w:rPr>
          <w:i/>
          <w:iCs/>
        </w:rPr>
        <w:t xml:space="preserve"> </w:t>
      </w:r>
      <w:proofErr w:type="spellStart"/>
      <w:r w:rsidRPr="00BD18B6">
        <w:rPr>
          <w:i/>
          <w:iCs/>
        </w:rPr>
        <w:t>voor</w:t>
      </w:r>
      <w:proofErr w:type="spellEnd"/>
      <w:r w:rsidRPr="00BD18B6">
        <w:rPr>
          <w:i/>
          <w:iCs/>
        </w:rPr>
        <w:t xml:space="preserve"> </w:t>
      </w:r>
      <w:proofErr w:type="spellStart"/>
      <w:r w:rsidRPr="00BD18B6">
        <w:rPr>
          <w:i/>
          <w:iCs/>
        </w:rPr>
        <w:t>Economische</w:t>
      </w:r>
      <w:proofErr w:type="spellEnd"/>
      <w:r w:rsidRPr="00BD18B6">
        <w:rPr>
          <w:i/>
          <w:iCs/>
        </w:rPr>
        <w:t xml:space="preserve"> </w:t>
      </w:r>
      <w:proofErr w:type="spellStart"/>
      <w:r w:rsidRPr="00BD18B6">
        <w:rPr>
          <w:i/>
          <w:iCs/>
        </w:rPr>
        <w:t>en</w:t>
      </w:r>
      <w:proofErr w:type="spellEnd"/>
      <w:r w:rsidRPr="00BD18B6">
        <w:rPr>
          <w:i/>
          <w:iCs/>
        </w:rPr>
        <w:t xml:space="preserve"> Sociale </w:t>
      </w:r>
      <w:proofErr w:type="spellStart"/>
      <w:r w:rsidRPr="00BD18B6">
        <w:rPr>
          <w:i/>
          <w:iCs/>
        </w:rPr>
        <w:t>Geografie</w:t>
      </w:r>
      <w:proofErr w:type="spellEnd"/>
      <w:r w:rsidRPr="00BD18B6">
        <w:t>, 116(1), pp. 4–25.</w:t>
      </w:r>
    </w:p>
    <w:p w14:paraId="3BF5C27F" w14:textId="77777777" w:rsidR="00BD18B6" w:rsidRPr="00BD18B6" w:rsidRDefault="00BD18B6" w:rsidP="00BD18B6">
      <w:r w:rsidRPr="00BD18B6">
        <w:t xml:space="preserve">Mehmood, S. (2025) </w:t>
      </w:r>
      <w:r w:rsidRPr="00BD18B6">
        <w:rPr>
          <w:i/>
          <w:iCs/>
        </w:rPr>
        <w:t>The transition that (almost) bankrupted a nation! From WAPDA to unbundled system – six decades of power sector management in Pakistan</w:t>
      </w:r>
      <w:r w:rsidRPr="00BD18B6">
        <w:t xml:space="preserve"> (October 10, 2025).</w:t>
      </w:r>
    </w:p>
    <w:p w14:paraId="5E3364AA" w14:textId="77777777" w:rsidR="00BD18B6" w:rsidRPr="00BD18B6" w:rsidRDefault="00BD18B6" w:rsidP="00BD18B6">
      <w:r w:rsidRPr="00BD18B6">
        <w:t xml:space="preserve">Majumder, R.Q. (2025) </w:t>
      </w:r>
      <w:r w:rsidRPr="00BD18B6">
        <w:rPr>
          <w:i/>
          <w:iCs/>
        </w:rPr>
        <w:t>Evaluating the correlation between leverage and profitability in the retail sector: A comparative study of listed companies across five years</w:t>
      </w:r>
      <w:r w:rsidRPr="00BD18B6">
        <w:t>. Available at: SSRN 5275498.</w:t>
      </w:r>
    </w:p>
    <w:p w14:paraId="74A9C87D" w14:textId="77777777" w:rsidR="00BD18B6" w:rsidRPr="00BD18B6" w:rsidRDefault="00BD18B6" w:rsidP="00BD18B6">
      <w:r w:rsidRPr="00BD18B6">
        <w:t xml:space="preserve">Ngo, H.K. and Trinh, H.T.T. (2025) ‘The impact of financial risks on bank performance: Evidence from Bayesian analysis in Vietnam's commercial banks’, </w:t>
      </w:r>
      <w:r w:rsidRPr="00BD18B6">
        <w:rPr>
          <w:i/>
          <w:iCs/>
        </w:rPr>
        <w:t>Discover Sustainability</w:t>
      </w:r>
      <w:r w:rsidRPr="00BD18B6">
        <w:t>, 6(1), p. 515.</w:t>
      </w:r>
    </w:p>
    <w:p w14:paraId="307D517B" w14:textId="77777777" w:rsidR="00BD18B6" w:rsidRPr="00BD18B6" w:rsidRDefault="00BD18B6" w:rsidP="00BD18B6">
      <w:r w:rsidRPr="00BD18B6">
        <w:t xml:space="preserve">Ramalingam, S., Hassan, W.H., Subramanian, M., </w:t>
      </w:r>
      <w:proofErr w:type="spellStart"/>
      <w:r w:rsidRPr="00BD18B6">
        <w:t>Elkamchouchi</w:t>
      </w:r>
      <w:proofErr w:type="spellEnd"/>
      <w:r w:rsidRPr="00BD18B6">
        <w:t xml:space="preserve">, D.H., </w:t>
      </w:r>
      <w:proofErr w:type="spellStart"/>
      <w:r w:rsidRPr="00BD18B6">
        <w:t>Tarakaramu</w:t>
      </w:r>
      <w:proofErr w:type="spellEnd"/>
      <w:r w:rsidRPr="00BD18B6">
        <w:t xml:space="preserve">, N. and Prashanth, K.K. (2025) ‘Synergies for sustainability: Renewable energy, urban planning, and green industry in carbon emission reduction’, </w:t>
      </w:r>
      <w:r w:rsidRPr="00BD18B6">
        <w:rPr>
          <w:i/>
          <w:iCs/>
        </w:rPr>
        <w:t>Sustainable Futures</w:t>
      </w:r>
      <w:r w:rsidRPr="00BD18B6">
        <w:t>, 10, p. 101222.</w:t>
      </w:r>
    </w:p>
    <w:p w14:paraId="52ABAF14" w14:textId="77777777" w:rsidR="00BD18B6" w:rsidRPr="00BD18B6" w:rsidRDefault="00BD18B6" w:rsidP="00BD18B6">
      <w:r w:rsidRPr="00BD18B6">
        <w:t xml:space="preserve">Terzis, M. and </w:t>
      </w:r>
      <w:proofErr w:type="spellStart"/>
      <w:r w:rsidRPr="00BD18B6">
        <w:t>Gotzamani</w:t>
      </w:r>
      <w:proofErr w:type="spellEnd"/>
      <w:r w:rsidRPr="00BD18B6">
        <w:t xml:space="preserve">, K. (2025) ‘Literature review on measuring sustainable performance in the retail sector: A review of energy efficiency strategies and their key performance indicators in supermarkets’, </w:t>
      </w:r>
      <w:r w:rsidRPr="00BD18B6">
        <w:rPr>
          <w:i/>
          <w:iCs/>
        </w:rPr>
        <w:t>Sustainability</w:t>
      </w:r>
      <w:r w:rsidRPr="00BD18B6">
        <w:t>, 17(24), p. 11358.</w:t>
      </w:r>
    </w:p>
    <w:p w14:paraId="1F68727A" w14:textId="77777777" w:rsidR="00BD18B6" w:rsidRPr="00BD18B6" w:rsidRDefault="00BD18B6" w:rsidP="00BD18B6">
      <w:r w:rsidRPr="00BD18B6">
        <w:t xml:space="preserve">Wei, L. (2025) ‘Optimizing cash flow management for ship financing leasing: Risk identification, risk assessment, and management strategies’, </w:t>
      </w:r>
      <w:r w:rsidRPr="00BD18B6">
        <w:rPr>
          <w:i/>
          <w:iCs/>
        </w:rPr>
        <w:t>Cogent Business &amp; Management</w:t>
      </w:r>
      <w:r w:rsidRPr="00BD18B6">
        <w:t>, 12(1), p. 2464941.</w:t>
      </w:r>
    </w:p>
    <w:p w14:paraId="02CF68E3" w14:textId="4343DBDA" w:rsidR="00817077" w:rsidRDefault="00BD18B6">
      <w:r w:rsidRPr="00BD18B6">
        <w:lastRenderedPageBreak/>
        <w:t xml:space="preserve">Yaremchuk, E. (2025) </w:t>
      </w:r>
      <w:r w:rsidRPr="00BD18B6">
        <w:rPr>
          <w:i/>
          <w:iCs/>
        </w:rPr>
        <w:t>Retail social responsibility as an efficiency driver: Panel evidence on working capital and cash-flow performance</w:t>
      </w:r>
      <w:r w:rsidRPr="00BD18B6">
        <w:t>. Available at: SSRN 6334003.</w:t>
      </w:r>
    </w:p>
    <w:p w14:paraId="64662784" w14:textId="77777777" w:rsidR="00B4238E" w:rsidRPr="00B4238E" w:rsidRDefault="00B4238E" w:rsidP="00B4238E">
      <w:pPr>
        <w:rPr>
          <w:lang w:val="en-US"/>
        </w:rPr>
      </w:pPr>
      <w:r w:rsidRPr="00B4238E">
        <w:rPr>
          <w:lang w:val="en-US"/>
        </w:rPr>
        <w:t xml:space="preserve">Oteri, O.J., </w:t>
      </w:r>
      <w:proofErr w:type="spellStart"/>
      <w:r w:rsidRPr="00B4238E">
        <w:rPr>
          <w:lang w:val="en-US"/>
        </w:rPr>
        <w:t>Onukwulu</w:t>
      </w:r>
      <w:proofErr w:type="spellEnd"/>
      <w:r w:rsidRPr="00B4238E">
        <w:rPr>
          <w:lang w:val="en-US"/>
        </w:rPr>
        <w:t xml:space="preserve">, E.C., Igwe, A.N., </w:t>
      </w:r>
      <w:proofErr w:type="spellStart"/>
      <w:r w:rsidRPr="00B4238E">
        <w:rPr>
          <w:lang w:val="en-US"/>
        </w:rPr>
        <w:t>Ewim</w:t>
      </w:r>
      <w:proofErr w:type="spellEnd"/>
      <w:r w:rsidRPr="00B4238E">
        <w:rPr>
          <w:lang w:val="en-US"/>
        </w:rPr>
        <w:t xml:space="preserve">, C.M., Ibeh, A.I. and </w:t>
      </w:r>
      <w:proofErr w:type="spellStart"/>
      <w:r w:rsidRPr="00B4238E">
        <w:rPr>
          <w:lang w:val="en-US"/>
        </w:rPr>
        <w:t>Sobowale</w:t>
      </w:r>
      <w:proofErr w:type="spellEnd"/>
      <w:r w:rsidRPr="00B4238E">
        <w:rPr>
          <w:lang w:val="en-US"/>
        </w:rPr>
        <w:t xml:space="preserve">, A., 2023. Cost optimization in logistics product management: strategies for operational efficiency and profitability. </w:t>
      </w:r>
      <w:r w:rsidRPr="00B4238E">
        <w:rPr>
          <w:i/>
          <w:iCs/>
          <w:lang w:val="en-US"/>
        </w:rPr>
        <w:t>International Journal of Business and Management</w:t>
      </w:r>
      <w:r w:rsidRPr="00B4238E">
        <w:rPr>
          <w:lang w:val="en-US"/>
        </w:rPr>
        <w:t>. Forthcoming.</w:t>
      </w:r>
    </w:p>
    <w:p w14:paraId="1D5624D2" w14:textId="1E4CC90E" w:rsidR="00B4238E" w:rsidRDefault="00B4238E">
      <w:r w:rsidRPr="00B4238E">
        <w:t>Mattila, M., 2022. Supporting consumer purchasing power under high inflation: competition and product market deregulation.</w:t>
      </w:r>
    </w:p>
    <w:p w14:paraId="02C9CD5F" w14:textId="55632D9A" w:rsidR="00B4238E" w:rsidRDefault="00B4238E">
      <w:r w:rsidRPr="00B4238E">
        <w:t xml:space="preserve">John-Akamelu, C.R., </w:t>
      </w:r>
      <w:proofErr w:type="spellStart"/>
      <w:r w:rsidRPr="00B4238E">
        <w:t>Amasiatu</w:t>
      </w:r>
      <w:proofErr w:type="spellEnd"/>
      <w:r w:rsidRPr="00B4238E">
        <w:t xml:space="preserve">, K.M. and Nworie, G.O., 2025. Chasing shareholder happiness at the expense of equity performance: A revisit of dividend–ROE trade-offs. </w:t>
      </w:r>
      <w:r w:rsidRPr="00B4238E">
        <w:rPr>
          <w:i/>
          <w:iCs/>
        </w:rPr>
        <w:t>World Journal of Finance and Investment Research</w:t>
      </w:r>
      <w:r w:rsidRPr="00B4238E">
        <w:t>, 9(8), pp.67–78.</w:t>
      </w:r>
    </w:p>
    <w:p w14:paraId="3AC535DA" w14:textId="77777777" w:rsidR="00B4238E" w:rsidRDefault="00B4238E"/>
    <w:sectPr w:rsidR="00B4238E" w:rsidSect="00406C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A4776"/>
    <w:multiLevelType w:val="multilevel"/>
    <w:tmpl w:val="67386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225450"/>
    <w:multiLevelType w:val="multilevel"/>
    <w:tmpl w:val="A6905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A56A4B"/>
    <w:multiLevelType w:val="multilevel"/>
    <w:tmpl w:val="21528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461828"/>
    <w:multiLevelType w:val="hybridMultilevel"/>
    <w:tmpl w:val="C7105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002041"/>
    <w:multiLevelType w:val="multilevel"/>
    <w:tmpl w:val="12FE0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532847"/>
    <w:multiLevelType w:val="multilevel"/>
    <w:tmpl w:val="DB76C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15420D"/>
    <w:multiLevelType w:val="multilevel"/>
    <w:tmpl w:val="7382C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AF3D5C"/>
    <w:multiLevelType w:val="multilevel"/>
    <w:tmpl w:val="768A0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547113">
    <w:abstractNumId w:val="7"/>
  </w:num>
  <w:num w:numId="2" w16cid:durableId="2081907347">
    <w:abstractNumId w:val="1"/>
  </w:num>
  <w:num w:numId="3" w16cid:durableId="491945446">
    <w:abstractNumId w:val="4"/>
  </w:num>
  <w:num w:numId="4" w16cid:durableId="1009212433">
    <w:abstractNumId w:val="2"/>
  </w:num>
  <w:num w:numId="5" w16cid:durableId="1408453902">
    <w:abstractNumId w:val="6"/>
  </w:num>
  <w:num w:numId="6" w16cid:durableId="1207988312">
    <w:abstractNumId w:val="0"/>
  </w:num>
  <w:num w:numId="7" w16cid:durableId="1298801939">
    <w:abstractNumId w:val="5"/>
  </w:num>
  <w:num w:numId="8" w16cid:durableId="14256883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5B0"/>
    <w:rsid w:val="000415E3"/>
    <w:rsid w:val="000F54F8"/>
    <w:rsid w:val="001400BF"/>
    <w:rsid w:val="00145A72"/>
    <w:rsid w:val="001766C4"/>
    <w:rsid w:val="001B5A49"/>
    <w:rsid w:val="001C69CD"/>
    <w:rsid w:val="002F15B0"/>
    <w:rsid w:val="002F6B8C"/>
    <w:rsid w:val="00310791"/>
    <w:rsid w:val="00321301"/>
    <w:rsid w:val="00327BAC"/>
    <w:rsid w:val="00343D3E"/>
    <w:rsid w:val="00377EF5"/>
    <w:rsid w:val="00392A53"/>
    <w:rsid w:val="003B01D1"/>
    <w:rsid w:val="00406C75"/>
    <w:rsid w:val="00407DD4"/>
    <w:rsid w:val="0043067B"/>
    <w:rsid w:val="004A3654"/>
    <w:rsid w:val="004E5C21"/>
    <w:rsid w:val="00531C9B"/>
    <w:rsid w:val="00566DEB"/>
    <w:rsid w:val="00570AC4"/>
    <w:rsid w:val="00583D38"/>
    <w:rsid w:val="005F3EA2"/>
    <w:rsid w:val="00604EFA"/>
    <w:rsid w:val="00604F68"/>
    <w:rsid w:val="0061287A"/>
    <w:rsid w:val="006341FE"/>
    <w:rsid w:val="00635391"/>
    <w:rsid w:val="006442C2"/>
    <w:rsid w:val="00645B52"/>
    <w:rsid w:val="006547E1"/>
    <w:rsid w:val="00671BA2"/>
    <w:rsid w:val="006B293E"/>
    <w:rsid w:val="0070178E"/>
    <w:rsid w:val="00784DDC"/>
    <w:rsid w:val="007E49A4"/>
    <w:rsid w:val="007F4283"/>
    <w:rsid w:val="008148F9"/>
    <w:rsid w:val="00817077"/>
    <w:rsid w:val="0081707E"/>
    <w:rsid w:val="008238CA"/>
    <w:rsid w:val="0083748D"/>
    <w:rsid w:val="008410B3"/>
    <w:rsid w:val="008541C4"/>
    <w:rsid w:val="00861B16"/>
    <w:rsid w:val="009835EE"/>
    <w:rsid w:val="009A646E"/>
    <w:rsid w:val="00A32C65"/>
    <w:rsid w:val="00A97D07"/>
    <w:rsid w:val="00AA27B9"/>
    <w:rsid w:val="00AA78C5"/>
    <w:rsid w:val="00AC3897"/>
    <w:rsid w:val="00B4238E"/>
    <w:rsid w:val="00B75734"/>
    <w:rsid w:val="00B77AA8"/>
    <w:rsid w:val="00BC0277"/>
    <w:rsid w:val="00BD18B6"/>
    <w:rsid w:val="00BE7F05"/>
    <w:rsid w:val="00BF40DF"/>
    <w:rsid w:val="00C4430A"/>
    <w:rsid w:val="00C61767"/>
    <w:rsid w:val="00CA5541"/>
    <w:rsid w:val="00CE7D88"/>
    <w:rsid w:val="00D20641"/>
    <w:rsid w:val="00DB3FFA"/>
    <w:rsid w:val="00E90C18"/>
    <w:rsid w:val="00EA0784"/>
    <w:rsid w:val="00F309D1"/>
    <w:rsid w:val="00F43F28"/>
    <w:rsid w:val="00F64445"/>
    <w:rsid w:val="00FC0EE1"/>
    <w:rsid w:val="00FC19EF"/>
    <w:rsid w:val="00FD117F"/>
    <w:rsid w:val="00FE7C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A0C5B"/>
  <w15:chartTrackingRefBased/>
  <w15:docId w15:val="{7EF89068-3A73-442C-A52D-B0C37DC63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FFA"/>
    <w:rPr>
      <w:rFonts w:ascii="Calibri" w:hAnsi="Calibri"/>
      <w:sz w:val="24"/>
    </w:rPr>
  </w:style>
  <w:style w:type="paragraph" w:styleId="Heading1">
    <w:name w:val="heading 1"/>
    <w:basedOn w:val="Normal"/>
    <w:next w:val="Normal"/>
    <w:link w:val="Heading1Char"/>
    <w:uiPriority w:val="9"/>
    <w:qFormat/>
    <w:rsid w:val="001B5A49"/>
    <w:pPr>
      <w:keepNext/>
      <w:keepLines/>
      <w:spacing w:line="24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B5A49"/>
    <w:pPr>
      <w:keepNext/>
      <w:keepLines/>
      <w:spacing w:line="240" w:lineRule="auto"/>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1B5A49"/>
    <w:pPr>
      <w:keepNext/>
      <w:keepLines/>
      <w:spacing w:line="240" w:lineRule="auto"/>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784DDC"/>
    <w:pPr>
      <w:keepNext/>
      <w:keepLines/>
      <w:spacing w:before="80" w:after="40"/>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2F15B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F15B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F15B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F15B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F15B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A49"/>
    <w:rPr>
      <w:rFonts w:ascii="Calibri" w:eastAsiaTheme="majorEastAsia" w:hAnsi="Calibri" w:cstheme="majorBidi"/>
      <w:b/>
      <w:sz w:val="28"/>
      <w:szCs w:val="32"/>
    </w:rPr>
  </w:style>
  <w:style w:type="character" w:customStyle="1" w:styleId="Heading2Char">
    <w:name w:val="Heading 2 Char"/>
    <w:basedOn w:val="DefaultParagraphFont"/>
    <w:link w:val="Heading2"/>
    <w:uiPriority w:val="9"/>
    <w:rsid w:val="001B5A49"/>
    <w:rPr>
      <w:rFonts w:ascii="Calibri" w:eastAsiaTheme="majorEastAsia" w:hAnsi="Calibri" w:cstheme="majorBidi"/>
      <w:b/>
      <w:i/>
      <w:sz w:val="24"/>
      <w:szCs w:val="26"/>
    </w:rPr>
  </w:style>
  <w:style w:type="character" w:customStyle="1" w:styleId="Heading3Char">
    <w:name w:val="Heading 3 Char"/>
    <w:basedOn w:val="DefaultParagraphFont"/>
    <w:link w:val="Heading3"/>
    <w:uiPriority w:val="9"/>
    <w:rsid w:val="001B5A49"/>
    <w:rPr>
      <w:rFonts w:ascii="Calibri" w:eastAsiaTheme="majorEastAsia" w:hAnsi="Calibri" w:cstheme="majorBidi"/>
      <w:b/>
      <w:sz w:val="24"/>
      <w:szCs w:val="24"/>
    </w:rPr>
  </w:style>
  <w:style w:type="character" w:customStyle="1" w:styleId="Heading4Char">
    <w:name w:val="Heading 4 Char"/>
    <w:basedOn w:val="DefaultParagraphFont"/>
    <w:link w:val="Heading4"/>
    <w:uiPriority w:val="9"/>
    <w:rsid w:val="00784DDC"/>
    <w:rPr>
      <w:rFonts w:ascii="Times New Roman" w:eastAsiaTheme="majorEastAsia" w:hAnsi="Times New Roman" w:cstheme="majorBidi"/>
      <w:b/>
      <w:i/>
      <w:iCs/>
      <w:sz w:val="24"/>
    </w:rPr>
  </w:style>
  <w:style w:type="paragraph" w:styleId="TOC1">
    <w:name w:val="toc 1"/>
    <w:basedOn w:val="Normal"/>
    <w:next w:val="Normal"/>
    <w:autoRedefine/>
    <w:uiPriority w:val="39"/>
    <w:unhideWhenUsed/>
    <w:rsid w:val="00145A72"/>
    <w:pPr>
      <w:spacing w:after="100"/>
    </w:pPr>
    <w:rPr>
      <w:color w:val="000000" w:themeColor="text1"/>
    </w:rPr>
  </w:style>
  <w:style w:type="paragraph" w:customStyle="1" w:styleId="Style1">
    <w:name w:val="Style1"/>
    <w:basedOn w:val="TOCHeading"/>
    <w:link w:val="Style1Char"/>
    <w:rsid w:val="00327BAC"/>
    <w:rPr>
      <w:rFonts w:ascii="Times New Roman" w:hAnsi="Times New Roman"/>
      <w:b/>
      <w:color w:val="000000" w:themeColor="text1"/>
      <w:kern w:val="0"/>
      <w:sz w:val="28"/>
      <w:lang w:val="en-US"/>
      <w14:ligatures w14:val="none"/>
    </w:rPr>
  </w:style>
  <w:style w:type="character" w:customStyle="1" w:styleId="Style1Char">
    <w:name w:val="Style1 Char"/>
    <w:basedOn w:val="DefaultParagraphFont"/>
    <w:link w:val="Style1"/>
    <w:rsid w:val="00327BAC"/>
    <w:rPr>
      <w:rFonts w:ascii="Times New Roman" w:eastAsiaTheme="majorEastAsia" w:hAnsi="Times New Roman" w:cstheme="majorBidi"/>
      <w:b/>
      <w:color w:val="000000" w:themeColor="text1"/>
      <w:kern w:val="0"/>
      <w:sz w:val="28"/>
      <w:szCs w:val="32"/>
      <w:lang w:val="en-US"/>
      <w14:ligatures w14:val="none"/>
    </w:rPr>
  </w:style>
  <w:style w:type="paragraph" w:styleId="TOCHeading">
    <w:name w:val="TOC Heading"/>
    <w:basedOn w:val="Heading1"/>
    <w:next w:val="Normal"/>
    <w:uiPriority w:val="39"/>
    <w:unhideWhenUsed/>
    <w:qFormat/>
    <w:rsid w:val="00327BAC"/>
    <w:pPr>
      <w:outlineLvl w:val="9"/>
    </w:pPr>
    <w:rPr>
      <w:rFonts w:asciiTheme="majorHAnsi" w:hAnsiTheme="majorHAnsi"/>
      <w:b w:val="0"/>
      <w:color w:val="2F5496" w:themeColor="accent1" w:themeShade="BF"/>
      <w:sz w:val="32"/>
    </w:rPr>
  </w:style>
  <w:style w:type="paragraph" w:customStyle="1" w:styleId="H">
    <w:name w:val="H"/>
    <w:basedOn w:val="Heading1"/>
    <w:link w:val="HChar"/>
    <w:rsid w:val="009835EE"/>
    <w:rPr>
      <w:b w:val="0"/>
      <w:color w:val="000000" w:themeColor="text1"/>
      <w:kern w:val="0"/>
      <w:lang w:val="en-US"/>
      <w14:ligatures w14:val="none"/>
    </w:rPr>
  </w:style>
  <w:style w:type="character" w:customStyle="1" w:styleId="HChar">
    <w:name w:val="H Char"/>
    <w:basedOn w:val="DefaultParagraphFont"/>
    <w:link w:val="H"/>
    <w:rsid w:val="009835EE"/>
    <w:rPr>
      <w:rFonts w:ascii="Times New Roman" w:eastAsiaTheme="majorEastAsia" w:hAnsi="Times New Roman" w:cstheme="majorBidi"/>
      <w:color w:val="000000" w:themeColor="text1"/>
      <w:kern w:val="0"/>
      <w:sz w:val="28"/>
      <w:szCs w:val="32"/>
      <w:lang w:val="en-US"/>
      <w14:ligatures w14:val="none"/>
    </w:rPr>
  </w:style>
  <w:style w:type="character" w:customStyle="1" w:styleId="Heading5Char">
    <w:name w:val="Heading 5 Char"/>
    <w:basedOn w:val="DefaultParagraphFont"/>
    <w:link w:val="Heading5"/>
    <w:uiPriority w:val="9"/>
    <w:semiHidden/>
    <w:rsid w:val="002F15B0"/>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2F15B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F15B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F15B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F15B0"/>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F15B0"/>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5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5B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5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5B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15B0"/>
    <w:rPr>
      <w:rFonts w:ascii="Times New Roman" w:hAnsi="Times New Roman"/>
      <w:i/>
      <w:iCs/>
      <w:color w:val="404040" w:themeColor="text1" w:themeTint="BF"/>
      <w:sz w:val="24"/>
    </w:rPr>
  </w:style>
  <w:style w:type="paragraph" w:styleId="ListParagraph">
    <w:name w:val="List Paragraph"/>
    <w:basedOn w:val="Normal"/>
    <w:uiPriority w:val="34"/>
    <w:qFormat/>
    <w:rsid w:val="002F15B0"/>
    <w:pPr>
      <w:ind w:left="720"/>
      <w:contextualSpacing/>
    </w:pPr>
  </w:style>
  <w:style w:type="character" w:styleId="IntenseEmphasis">
    <w:name w:val="Intense Emphasis"/>
    <w:basedOn w:val="DefaultParagraphFont"/>
    <w:uiPriority w:val="21"/>
    <w:qFormat/>
    <w:rsid w:val="002F15B0"/>
    <w:rPr>
      <w:i/>
      <w:iCs/>
      <w:color w:val="2F5496" w:themeColor="accent1" w:themeShade="BF"/>
    </w:rPr>
  </w:style>
  <w:style w:type="paragraph" w:styleId="IntenseQuote">
    <w:name w:val="Intense Quote"/>
    <w:basedOn w:val="Normal"/>
    <w:next w:val="Normal"/>
    <w:link w:val="IntenseQuoteChar"/>
    <w:uiPriority w:val="30"/>
    <w:qFormat/>
    <w:rsid w:val="002F15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15B0"/>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2F15B0"/>
    <w:rPr>
      <w:b/>
      <w:bCs/>
      <w:smallCaps/>
      <w:color w:val="2F5496" w:themeColor="accent1" w:themeShade="BF"/>
      <w:spacing w:val="5"/>
    </w:rPr>
  </w:style>
  <w:style w:type="paragraph" w:styleId="NormalWeb">
    <w:name w:val="Normal (Web)"/>
    <w:basedOn w:val="Normal"/>
    <w:uiPriority w:val="99"/>
    <w:semiHidden/>
    <w:unhideWhenUsed/>
    <w:rsid w:val="006442C2"/>
    <w:rPr>
      <w:rFonts w:ascii="Times New Roman" w:hAnsi="Times New Roman" w:cs="Times New Roman"/>
      <w:szCs w:val="24"/>
    </w:rPr>
  </w:style>
  <w:style w:type="table" w:styleId="TableGrid">
    <w:name w:val="Table Grid"/>
    <w:basedOn w:val="TableNormal"/>
    <w:uiPriority w:val="39"/>
    <w:rsid w:val="009A646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766C4"/>
    <w:pPr>
      <w:spacing w:after="100"/>
      <w:ind w:left="240"/>
    </w:pPr>
  </w:style>
  <w:style w:type="character" w:styleId="Hyperlink">
    <w:name w:val="Hyperlink"/>
    <w:basedOn w:val="DefaultParagraphFont"/>
    <w:uiPriority w:val="99"/>
    <w:unhideWhenUsed/>
    <w:rsid w:val="001766C4"/>
    <w:rPr>
      <w:color w:val="0563C1" w:themeColor="hyperlink"/>
      <w:u w:val="single"/>
    </w:rPr>
  </w:style>
  <w:style w:type="paragraph" w:styleId="TOC3">
    <w:name w:val="toc 3"/>
    <w:basedOn w:val="Normal"/>
    <w:next w:val="Normal"/>
    <w:autoRedefine/>
    <w:uiPriority w:val="39"/>
    <w:unhideWhenUsed/>
    <w:rsid w:val="0070178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6880238">
      <w:bodyDiv w:val="1"/>
      <w:marLeft w:val="0"/>
      <w:marRight w:val="0"/>
      <w:marTop w:val="0"/>
      <w:marBottom w:val="0"/>
      <w:divBdr>
        <w:top w:val="none" w:sz="0" w:space="0" w:color="auto"/>
        <w:left w:val="none" w:sz="0" w:space="0" w:color="auto"/>
        <w:bottom w:val="none" w:sz="0" w:space="0" w:color="auto"/>
        <w:right w:val="none" w:sz="0" w:space="0" w:color="auto"/>
      </w:divBdr>
    </w:div>
    <w:div w:id="702755212">
      <w:bodyDiv w:val="1"/>
      <w:marLeft w:val="0"/>
      <w:marRight w:val="0"/>
      <w:marTop w:val="0"/>
      <w:marBottom w:val="0"/>
      <w:divBdr>
        <w:top w:val="none" w:sz="0" w:space="0" w:color="auto"/>
        <w:left w:val="none" w:sz="0" w:space="0" w:color="auto"/>
        <w:bottom w:val="none" w:sz="0" w:space="0" w:color="auto"/>
        <w:right w:val="none" w:sz="0" w:space="0" w:color="auto"/>
      </w:divBdr>
    </w:div>
    <w:div w:id="735975056">
      <w:bodyDiv w:val="1"/>
      <w:marLeft w:val="0"/>
      <w:marRight w:val="0"/>
      <w:marTop w:val="0"/>
      <w:marBottom w:val="0"/>
      <w:divBdr>
        <w:top w:val="none" w:sz="0" w:space="0" w:color="auto"/>
        <w:left w:val="none" w:sz="0" w:space="0" w:color="auto"/>
        <w:bottom w:val="none" w:sz="0" w:space="0" w:color="auto"/>
        <w:right w:val="none" w:sz="0" w:space="0" w:color="auto"/>
      </w:divBdr>
    </w:div>
    <w:div w:id="933434746">
      <w:bodyDiv w:val="1"/>
      <w:marLeft w:val="0"/>
      <w:marRight w:val="0"/>
      <w:marTop w:val="0"/>
      <w:marBottom w:val="0"/>
      <w:divBdr>
        <w:top w:val="none" w:sz="0" w:space="0" w:color="auto"/>
        <w:left w:val="none" w:sz="0" w:space="0" w:color="auto"/>
        <w:bottom w:val="none" w:sz="0" w:space="0" w:color="auto"/>
        <w:right w:val="none" w:sz="0" w:space="0" w:color="auto"/>
      </w:divBdr>
    </w:div>
    <w:div w:id="974259489">
      <w:bodyDiv w:val="1"/>
      <w:marLeft w:val="0"/>
      <w:marRight w:val="0"/>
      <w:marTop w:val="0"/>
      <w:marBottom w:val="0"/>
      <w:divBdr>
        <w:top w:val="none" w:sz="0" w:space="0" w:color="auto"/>
        <w:left w:val="none" w:sz="0" w:space="0" w:color="auto"/>
        <w:bottom w:val="none" w:sz="0" w:space="0" w:color="auto"/>
        <w:right w:val="none" w:sz="0" w:space="0" w:color="auto"/>
      </w:divBdr>
    </w:div>
    <w:div w:id="1131097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2B3F1-5034-461F-96D2-B59B989BB7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1854</Words>
  <Characters>10572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Lidia Antonache (2025569)</cp:lastModifiedBy>
  <cp:revision>2</cp:revision>
  <dcterms:created xsi:type="dcterms:W3CDTF">2026-04-28T17:43:00Z</dcterms:created>
  <dcterms:modified xsi:type="dcterms:W3CDTF">2026-04-28T17:43:00Z</dcterms:modified>
</cp:coreProperties>
</file>