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95010" w14:textId="77777777" w:rsidR="00F84CF6" w:rsidRPr="00BA158F" w:rsidRDefault="00F84CF6" w:rsidP="00F84CF6">
      <w:pPr>
        <w:jc w:val="center"/>
        <w:rPr>
          <w:rStyle w:val="Strong"/>
          <w:u w:val="single"/>
        </w:rPr>
      </w:pPr>
      <w:r w:rsidRPr="00BA158F">
        <w:rPr>
          <w:rStyle w:val="Strong"/>
          <w:u w:val="single"/>
        </w:rPr>
        <w:t>Hannah Jones</w:t>
      </w:r>
    </w:p>
    <w:p w14:paraId="029156C6" w14:textId="77777777" w:rsidR="00F84CF6" w:rsidRDefault="00F84CF6" w:rsidP="00F84CF6">
      <w:pPr>
        <w:jc w:val="center"/>
        <w:rPr>
          <w:rStyle w:val="Strong"/>
          <w:u w:val="single"/>
        </w:rPr>
      </w:pPr>
      <w:r w:rsidRPr="00BA158F">
        <w:rPr>
          <w:rStyle w:val="Strong"/>
          <w:u w:val="single"/>
        </w:rPr>
        <w:t>Student Number: 2203446</w:t>
      </w:r>
    </w:p>
    <w:p w14:paraId="1CBA9F0E" w14:textId="77777777" w:rsidR="00F84CF6" w:rsidRPr="00BA158F" w:rsidRDefault="00F84CF6" w:rsidP="00F84CF6">
      <w:pPr>
        <w:jc w:val="center"/>
        <w:rPr>
          <w:b/>
          <w:bCs/>
          <w:u w:val="single"/>
        </w:rPr>
      </w:pPr>
    </w:p>
    <w:p w14:paraId="3E74AD9C" w14:textId="1926A513" w:rsidR="00F84CF6" w:rsidRDefault="00F84CF6" w:rsidP="00F84CF6">
      <w:pPr>
        <w:pStyle w:val="Title"/>
        <w:jc w:val="center"/>
        <w:rPr>
          <w:b/>
          <w:bCs/>
          <w:sz w:val="36"/>
          <w:szCs w:val="36"/>
          <w:u w:val="single"/>
        </w:rPr>
      </w:pPr>
      <w:r>
        <w:rPr>
          <w:b/>
          <w:bCs/>
          <w:sz w:val="36"/>
          <w:szCs w:val="36"/>
          <w:u w:val="single"/>
        </w:rPr>
        <w:t>The English Legal System is based upon common law principles. Explain what this means</w:t>
      </w:r>
    </w:p>
    <w:p w14:paraId="7A9796C7" w14:textId="24803812" w:rsidR="00F84CF6" w:rsidRDefault="00F84CF6" w:rsidP="00114031">
      <w:pPr>
        <w:spacing w:after="0"/>
        <w:rPr>
          <w:sz w:val="24"/>
          <w:szCs w:val="24"/>
        </w:rPr>
      </w:pPr>
    </w:p>
    <w:p w14:paraId="3185AC4B" w14:textId="25E09F50" w:rsidR="00114031" w:rsidRDefault="00932395" w:rsidP="00114031">
      <w:pPr>
        <w:spacing w:after="0"/>
        <w:rPr>
          <w:sz w:val="24"/>
          <w:szCs w:val="24"/>
        </w:rPr>
      </w:pPr>
      <w:r>
        <w:rPr>
          <w:sz w:val="24"/>
          <w:szCs w:val="24"/>
        </w:rPr>
        <w:t>A common law system is developed through cases determined in the higher court</w:t>
      </w:r>
      <w:r w:rsidR="001B3E77">
        <w:rPr>
          <w:sz w:val="24"/>
          <w:szCs w:val="24"/>
        </w:rPr>
        <w:t>.</w:t>
      </w:r>
      <w:r>
        <w:rPr>
          <w:sz w:val="24"/>
          <w:szCs w:val="24"/>
        </w:rPr>
        <w:t xml:space="preserve"> This means that future cases make their decisions based on the verdict of similar cases from the past; also known as precedent, (Partington, 2021). </w:t>
      </w:r>
    </w:p>
    <w:p w14:paraId="15FC4148" w14:textId="49CE51F4" w:rsidR="00A378F9" w:rsidRDefault="00932395" w:rsidP="003F4021">
      <w:pPr>
        <w:spacing w:after="0"/>
        <w:rPr>
          <w:sz w:val="24"/>
          <w:szCs w:val="24"/>
        </w:rPr>
      </w:pPr>
      <w:r>
        <w:rPr>
          <w:sz w:val="24"/>
          <w:szCs w:val="24"/>
        </w:rPr>
        <w:t xml:space="preserve">Whereas the civil justice system </w:t>
      </w:r>
      <w:r w:rsidR="00114031">
        <w:rPr>
          <w:sz w:val="24"/>
          <w:szCs w:val="24"/>
        </w:rPr>
        <w:t>relies</w:t>
      </w:r>
      <w:r>
        <w:rPr>
          <w:sz w:val="24"/>
          <w:szCs w:val="24"/>
        </w:rPr>
        <w:t xml:space="preserve"> on a codified system. This means that </w:t>
      </w:r>
      <w:r w:rsidR="006230C6">
        <w:rPr>
          <w:sz w:val="24"/>
          <w:szCs w:val="24"/>
        </w:rPr>
        <w:t>a legal act and all its amendment</w:t>
      </w:r>
      <w:r w:rsidR="008733FE">
        <w:rPr>
          <w:sz w:val="24"/>
          <w:szCs w:val="24"/>
        </w:rPr>
        <w:t xml:space="preserve">s are brought together and arranged into a singular </w:t>
      </w:r>
      <w:r w:rsidR="003F4021">
        <w:rPr>
          <w:sz w:val="24"/>
          <w:szCs w:val="24"/>
        </w:rPr>
        <w:t>new act</w:t>
      </w:r>
      <w:r w:rsidR="006230C6">
        <w:rPr>
          <w:sz w:val="24"/>
          <w:szCs w:val="24"/>
        </w:rPr>
        <w:t>, this system is designed to solve disputes between individuals or organisations</w:t>
      </w:r>
      <w:r w:rsidR="00AF0EAE">
        <w:rPr>
          <w:sz w:val="24"/>
          <w:szCs w:val="24"/>
        </w:rPr>
        <w:t>, (Elliot and Quinn, 201</w:t>
      </w:r>
      <w:r w:rsidR="00635DC5">
        <w:rPr>
          <w:sz w:val="24"/>
          <w:szCs w:val="24"/>
        </w:rPr>
        <w:t>5)</w:t>
      </w:r>
      <w:r w:rsidR="00114031">
        <w:rPr>
          <w:sz w:val="24"/>
          <w:szCs w:val="24"/>
        </w:rPr>
        <w:t>.</w:t>
      </w:r>
    </w:p>
    <w:p w14:paraId="0F1C2DAD" w14:textId="75D90AB6" w:rsidR="00E706C9" w:rsidRPr="003F4021" w:rsidRDefault="00AE45F1" w:rsidP="003F4021">
      <w:pPr>
        <w:spacing w:after="0"/>
        <w:rPr>
          <w:sz w:val="24"/>
          <w:szCs w:val="24"/>
        </w:rPr>
      </w:pPr>
      <w:r>
        <w:rPr>
          <w:sz w:val="24"/>
          <w:szCs w:val="24"/>
        </w:rPr>
        <w:t xml:space="preserve">The legal system in England and Wales </w:t>
      </w:r>
      <w:r w:rsidR="002C62B3">
        <w:rPr>
          <w:sz w:val="24"/>
          <w:szCs w:val="24"/>
        </w:rPr>
        <w:t>is based more upon common law principles</w:t>
      </w:r>
      <w:r w:rsidR="0013731A">
        <w:rPr>
          <w:sz w:val="24"/>
          <w:szCs w:val="24"/>
        </w:rPr>
        <w:t>.</w:t>
      </w:r>
    </w:p>
    <w:p w14:paraId="531052D4" w14:textId="0B2AD84F" w:rsidR="00114031" w:rsidRDefault="00114031"/>
    <w:p w14:paraId="0297EF90" w14:textId="3C078C65" w:rsidR="00047788" w:rsidRDefault="00047788" w:rsidP="00222DDD">
      <w:pPr>
        <w:spacing w:after="0"/>
        <w:rPr>
          <w:sz w:val="24"/>
          <w:szCs w:val="24"/>
        </w:rPr>
      </w:pPr>
      <w:r>
        <w:rPr>
          <w:sz w:val="24"/>
          <w:szCs w:val="24"/>
        </w:rPr>
        <w:t xml:space="preserve">Different areas of England used to be governed by different law systems, that was until William the Conqueror gained the english throne in 1066. He established a strong government and began to standardise the law. </w:t>
      </w:r>
    </w:p>
    <w:p w14:paraId="247E2E6E" w14:textId="5CD4FBA9" w:rsidR="002D7A1A" w:rsidRDefault="00047788" w:rsidP="00222DDD">
      <w:pPr>
        <w:spacing w:after="0"/>
        <w:rPr>
          <w:sz w:val="24"/>
          <w:szCs w:val="24"/>
        </w:rPr>
      </w:pPr>
      <w:r>
        <w:rPr>
          <w:sz w:val="24"/>
          <w:szCs w:val="24"/>
        </w:rPr>
        <w:t xml:space="preserve">The king sent out representatives to check the local administrations and report back to him </w:t>
      </w:r>
      <w:r w:rsidR="00097E9E">
        <w:rPr>
          <w:sz w:val="24"/>
          <w:szCs w:val="24"/>
        </w:rPr>
        <w:t>which type of</w:t>
      </w:r>
      <w:r>
        <w:rPr>
          <w:sz w:val="24"/>
          <w:szCs w:val="24"/>
        </w:rPr>
        <w:t xml:space="preserve"> </w:t>
      </w:r>
      <w:r w:rsidR="00097E9E">
        <w:rPr>
          <w:sz w:val="24"/>
          <w:szCs w:val="24"/>
        </w:rPr>
        <w:t xml:space="preserve">legal </w:t>
      </w:r>
      <w:r>
        <w:rPr>
          <w:sz w:val="24"/>
          <w:szCs w:val="24"/>
        </w:rPr>
        <w:t xml:space="preserve">systems </w:t>
      </w:r>
      <w:r w:rsidR="00097E9E">
        <w:rPr>
          <w:sz w:val="24"/>
          <w:szCs w:val="24"/>
        </w:rPr>
        <w:t xml:space="preserve">were </w:t>
      </w:r>
      <w:r>
        <w:rPr>
          <w:sz w:val="24"/>
          <w:szCs w:val="24"/>
        </w:rPr>
        <w:t xml:space="preserve">being used in </w:t>
      </w:r>
      <w:r w:rsidR="002D7A1A">
        <w:rPr>
          <w:sz w:val="24"/>
          <w:szCs w:val="24"/>
        </w:rPr>
        <w:t xml:space="preserve">separate </w:t>
      </w:r>
      <w:r>
        <w:rPr>
          <w:sz w:val="24"/>
          <w:szCs w:val="24"/>
        </w:rPr>
        <w:t xml:space="preserve">parts of the country. </w:t>
      </w:r>
      <w:r w:rsidR="00222DDD">
        <w:rPr>
          <w:sz w:val="24"/>
          <w:szCs w:val="24"/>
        </w:rPr>
        <w:t xml:space="preserve">By doing this, he started a discussion to decide which systems are deemed unreasonable and which are deemed as rational, based on this information he was able to form a consistent body of rules; this continued for 2 centuries. </w:t>
      </w:r>
    </w:p>
    <w:p w14:paraId="08A1DD68" w14:textId="5FC4D7C7" w:rsidR="00047788" w:rsidRDefault="00222DDD" w:rsidP="00222DDD">
      <w:pPr>
        <w:spacing w:after="0"/>
        <w:rPr>
          <w:sz w:val="24"/>
          <w:szCs w:val="24"/>
        </w:rPr>
      </w:pPr>
      <w:r w:rsidRPr="00222DDD">
        <w:rPr>
          <w:sz w:val="24"/>
          <w:szCs w:val="24"/>
        </w:rPr>
        <w:t xml:space="preserve">Every time a new legal issue needed to be resolved, the ruling established a guideline to be followed in </w:t>
      </w:r>
      <w:r w:rsidR="0076279F">
        <w:rPr>
          <w:sz w:val="24"/>
          <w:szCs w:val="24"/>
        </w:rPr>
        <w:t>cases</w:t>
      </w:r>
      <w:r w:rsidRPr="00222DDD">
        <w:rPr>
          <w:sz w:val="24"/>
          <w:szCs w:val="24"/>
        </w:rPr>
        <w:t xml:space="preserve"> that were similar, making the law more predictable</w:t>
      </w:r>
      <w:r>
        <w:rPr>
          <w:sz w:val="24"/>
          <w:szCs w:val="24"/>
        </w:rPr>
        <w:t>, (Elliot and Quinn, 2015).</w:t>
      </w:r>
    </w:p>
    <w:p w14:paraId="0A802093" w14:textId="7781076E" w:rsidR="00097E9E" w:rsidRDefault="00EE6124" w:rsidP="00222DDD">
      <w:pPr>
        <w:spacing w:after="0"/>
        <w:rPr>
          <w:sz w:val="24"/>
          <w:szCs w:val="24"/>
        </w:rPr>
      </w:pPr>
      <w:r>
        <w:rPr>
          <w:sz w:val="24"/>
          <w:szCs w:val="24"/>
        </w:rPr>
        <w:t xml:space="preserve">When king Henry II gained the throne, he introduced a series of reforms which brought about the common law system. </w:t>
      </w:r>
    </w:p>
    <w:p w14:paraId="2C070EF5" w14:textId="1D96DB24" w:rsidR="009A40C1" w:rsidRDefault="009A40C1" w:rsidP="00222DDD">
      <w:pPr>
        <w:spacing w:after="0"/>
        <w:rPr>
          <w:sz w:val="24"/>
          <w:szCs w:val="24"/>
        </w:rPr>
      </w:pPr>
      <w:r>
        <w:rPr>
          <w:sz w:val="24"/>
          <w:szCs w:val="24"/>
        </w:rPr>
        <w:t xml:space="preserve">By the thirteenth century three senior courts existed, those being the Common Pleas, the Kings Bench, and the Exchequer. The judicial decisions in these cases produced ‘common law’ which eventually took over the other sources of law. </w:t>
      </w:r>
      <w:r w:rsidR="0076279F">
        <w:rPr>
          <w:sz w:val="24"/>
          <w:szCs w:val="24"/>
        </w:rPr>
        <w:t xml:space="preserve">(Gillespie and Weare, 2021). </w:t>
      </w:r>
      <w:r>
        <w:rPr>
          <w:sz w:val="24"/>
          <w:szCs w:val="24"/>
        </w:rPr>
        <w:t>Common law remains strong today.</w:t>
      </w:r>
    </w:p>
    <w:p w14:paraId="717E483B" w14:textId="704E01FD" w:rsidR="00162EE6" w:rsidRDefault="000D19F6" w:rsidP="00222DDD">
      <w:pPr>
        <w:spacing w:after="0"/>
        <w:rPr>
          <w:sz w:val="24"/>
          <w:szCs w:val="24"/>
        </w:rPr>
      </w:pPr>
      <w:r>
        <w:rPr>
          <w:sz w:val="24"/>
          <w:szCs w:val="24"/>
        </w:rPr>
        <w:t xml:space="preserve">An example case that </w:t>
      </w:r>
      <w:r w:rsidR="005026E9">
        <w:rPr>
          <w:sz w:val="24"/>
          <w:szCs w:val="24"/>
        </w:rPr>
        <w:t xml:space="preserve">had significant effect on how common law is shaped </w:t>
      </w:r>
      <w:r w:rsidR="0051649F">
        <w:rPr>
          <w:sz w:val="24"/>
          <w:szCs w:val="24"/>
        </w:rPr>
        <w:t>today</w:t>
      </w:r>
      <w:r w:rsidR="00E63FD1">
        <w:rPr>
          <w:sz w:val="24"/>
          <w:szCs w:val="24"/>
        </w:rPr>
        <w:t xml:space="preserve"> is the case of Donoghue v Stevenson </w:t>
      </w:r>
      <w:r w:rsidR="00B97F47">
        <w:rPr>
          <w:sz w:val="24"/>
          <w:szCs w:val="24"/>
        </w:rPr>
        <w:t xml:space="preserve">(1932). </w:t>
      </w:r>
      <w:r w:rsidR="00336FC1">
        <w:rPr>
          <w:sz w:val="24"/>
          <w:szCs w:val="24"/>
        </w:rPr>
        <w:t xml:space="preserve">Lord Atkin </w:t>
      </w:r>
      <w:r w:rsidR="00A37B54">
        <w:rPr>
          <w:sz w:val="24"/>
          <w:szCs w:val="24"/>
        </w:rPr>
        <w:t xml:space="preserve">handed down a judgment </w:t>
      </w:r>
      <w:r w:rsidR="005F102B">
        <w:rPr>
          <w:sz w:val="24"/>
          <w:szCs w:val="24"/>
        </w:rPr>
        <w:t>stating that</w:t>
      </w:r>
      <w:r w:rsidR="00F3020F">
        <w:rPr>
          <w:sz w:val="24"/>
          <w:szCs w:val="24"/>
        </w:rPr>
        <w:t xml:space="preserve"> </w:t>
      </w:r>
      <w:r w:rsidR="001C6ECD">
        <w:rPr>
          <w:sz w:val="24"/>
          <w:szCs w:val="24"/>
        </w:rPr>
        <w:t>“y</w:t>
      </w:r>
      <w:r w:rsidR="001C6ECD">
        <w:rPr>
          <w:rFonts w:ascii="Arial" w:hAnsi="Arial" w:cs="Arial"/>
          <w:color w:val="202124"/>
          <w:shd w:val="clear" w:color="auto" w:fill="FFFFFF"/>
        </w:rPr>
        <w:t>ou must take reasonable care to avoid acts or omissions which you can reasonably foresee would be likely to injure your neighbour</w:t>
      </w:r>
      <w:r w:rsidR="001C6ECD">
        <w:rPr>
          <w:rFonts w:ascii="Arial" w:hAnsi="Arial" w:cs="Arial"/>
          <w:color w:val="202124"/>
          <w:shd w:val="clear" w:color="auto" w:fill="FFFFFF"/>
        </w:rPr>
        <w:t>”</w:t>
      </w:r>
      <w:r w:rsidR="001C6ECD">
        <w:rPr>
          <w:rFonts w:ascii="Arial" w:hAnsi="Arial" w:cs="Arial"/>
          <w:color w:val="202124"/>
          <w:shd w:val="clear" w:color="auto" w:fill="FFFFFF"/>
        </w:rPr>
        <w:t>.</w:t>
      </w:r>
      <w:r w:rsidR="001C6ECD">
        <w:rPr>
          <w:rFonts w:ascii="Arial" w:hAnsi="Arial" w:cs="Arial"/>
          <w:color w:val="202124"/>
          <w:shd w:val="clear" w:color="auto" w:fill="FFFFFF"/>
        </w:rPr>
        <w:t xml:space="preserve"> </w:t>
      </w:r>
      <w:r w:rsidR="003A699E">
        <w:rPr>
          <w:sz w:val="24"/>
          <w:szCs w:val="24"/>
        </w:rPr>
        <w:t>After his ruling this case developed the negligence law, also known as duty of care</w:t>
      </w:r>
      <w:r w:rsidR="00746191">
        <w:rPr>
          <w:sz w:val="24"/>
          <w:szCs w:val="24"/>
        </w:rPr>
        <w:t>, which is followed in cases today.</w:t>
      </w:r>
    </w:p>
    <w:p w14:paraId="3F61B27E" w14:textId="22097161" w:rsidR="0076279F" w:rsidRDefault="0076279F" w:rsidP="00222DDD">
      <w:pPr>
        <w:spacing w:after="0"/>
        <w:rPr>
          <w:sz w:val="24"/>
          <w:szCs w:val="24"/>
        </w:rPr>
      </w:pPr>
    </w:p>
    <w:p w14:paraId="15EF35AA" w14:textId="7E517CDB" w:rsidR="007669C9" w:rsidRDefault="00764CED" w:rsidP="00222DDD">
      <w:pPr>
        <w:spacing w:after="0"/>
        <w:rPr>
          <w:sz w:val="24"/>
          <w:szCs w:val="24"/>
        </w:rPr>
      </w:pPr>
      <w:r>
        <w:rPr>
          <w:sz w:val="24"/>
          <w:szCs w:val="24"/>
        </w:rPr>
        <w:t>Civil Law</w:t>
      </w:r>
      <w:r w:rsidR="00924FAF">
        <w:rPr>
          <w:sz w:val="24"/>
          <w:szCs w:val="24"/>
        </w:rPr>
        <w:t xml:space="preserve"> historically </w:t>
      </w:r>
      <w:r w:rsidR="0079506B">
        <w:rPr>
          <w:sz w:val="24"/>
          <w:szCs w:val="24"/>
        </w:rPr>
        <w:t>derives</w:t>
      </w:r>
      <w:r w:rsidR="00924FAF">
        <w:rPr>
          <w:sz w:val="24"/>
          <w:szCs w:val="24"/>
        </w:rPr>
        <w:t xml:space="preserve"> from the Romans </w:t>
      </w:r>
      <w:r w:rsidR="00A65D81">
        <w:rPr>
          <w:sz w:val="24"/>
          <w:szCs w:val="24"/>
        </w:rPr>
        <w:t>commissioned by the emperor Justinian</w:t>
      </w:r>
      <w:r w:rsidR="0072140F">
        <w:rPr>
          <w:sz w:val="24"/>
          <w:szCs w:val="24"/>
        </w:rPr>
        <w:t xml:space="preserve"> in the sixth century</w:t>
      </w:r>
      <w:r w:rsidR="003D74AB">
        <w:rPr>
          <w:sz w:val="24"/>
          <w:szCs w:val="24"/>
        </w:rPr>
        <w:t xml:space="preserve">. </w:t>
      </w:r>
      <w:r w:rsidR="00CA08EB" w:rsidRPr="00CA08EB">
        <w:rPr>
          <w:sz w:val="24"/>
          <w:szCs w:val="24"/>
        </w:rPr>
        <w:t xml:space="preserve">By the end of the eighteenth century, numerous separate serious courts were handling civil issues; the three main courts, along with the court of chancery, handled </w:t>
      </w:r>
      <w:r w:rsidR="004913DF" w:rsidRPr="00CA08EB">
        <w:rPr>
          <w:sz w:val="24"/>
          <w:szCs w:val="24"/>
        </w:rPr>
        <w:t>most</w:t>
      </w:r>
      <w:r w:rsidR="00CA08EB" w:rsidRPr="00CA08EB">
        <w:rPr>
          <w:sz w:val="24"/>
          <w:szCs w:val="24"/>
        </w:rPr>
        <w:t xml:space="preserve"> of the work</w:t>
      </w:r>
      <w:r w:rsidR="00377F32">
        <w:rPr>
          <w:sz w:val="24"/>
          <w:szCs w:val="24"/>
        </w:rPr>
        <w:t xml:space="preserve">. </w:t>
      </w:r>
      <w:r w:rsidR="007669C9" w:rsidRPr="007669C9">
        <w:rPr>
          <w:sz w:val="24"/>
          <w:szCs w:val="24"/>
        </w:rPr>
        <w:t xml:space="preserve">Because the increasingly complicated judicial systems were not coordinated, </w:t>
      </w:r>
      <w:r w:rsidR="007669C9" w:rsidRPr="007669C9">
        <w:rPr>
          <w:sz w:val="24"/>
          <w:szCs w:val="24"/>
        </w:rPr>
        <w:lastRenderedPageBreak/>
        <w:t>inefficiency, ineptitude, and delays were frequent, and the courts developed a reputation for becoming bogged down in onerous procedural regulations</w:t>
      </w:r>
    </w:p>
    <w:p w14:paraId="0C6DAAB3" w14:textId="261FF2A0" w:rsidR="00746191" w:rsidRDefault="00EE4DEB" w:rsidP="00222DDD">
      <w:pPr>
        <w:spacing w:after="0"/>
        <w:rPr>
          <w:sz w:val="24"/>
          <w:szCs w:val="24"/>
        </w:rPr>
      </w:pPr>
      <w:r w:rsidRPr="00EE4DEB">
        <w:rPr>
          <w:sz w:val="24"/>
          <w:szCs w:val="24"/>
        </w:rPr>
        <w:t>Up until the nineteenth century, higher court litigation was an indulgence that could only be financed by the wealthy</w:t>
      </w:r>
      <w:r w:rsidR="003C1E17">
        <w:rPr>
          <w:sz w:val="24"/>
          <w:szCs w:val="24"/>
        </w:rPr>
        <w:t xml:space="preserve">. </w:t>
      </w:r>
      <w:r w:rsidR="004913DF" w:rsidRPr="004913DF">
        <w:rPr>
          <w:sz w:val="24"/>
          <w:szCs w:val="24"/>
        </w:rPr>
        <w:t>Judges and the legal field benefited from this significantly more than plaintiffs did. A countrywide system of country courts was established in 1846 as the first step towards reform. These courts were intended to provide local businesspeople with quicker, less expensive justice. A single supreme court made up of the high courts, court of appeals, and crown court was established in 1870 as a result. The procedure was made quicker and more effective in 1881 when these three courts replaced the previous five</w:t>
      </w:r>
      <w:r w:rsidR="004913DF">
        <w:rPr>
          <w:sz w:val="24"/>
          <w:szCs w:val="24"/>
        </w:rPr>
        <w:t>, (</w:t>
      </w:r>
      <w:r w:rsidR="00EB380F">
        <w:rPr>
          <w:sz w:val="24"/>
          <w:szCs w:val="24"/>
        </w:rPr>
        <w:t>Elliot and Quinn, 2015).</w:t>
      </w:r>
    </w:p>
    <w:p w14:paraId="45D313ED" w14:textId="77777777" w:rsidR="004913DF" w:rsidRDefault="004913DF" w:rsidP="00222DDD">
      <w:pPr>
        <w:spacing w:after="0"/>
        <w:rPr>
          <w:sz w:val="24"/>
          <w:szCs w:val="24"/>
        </w:rPr>
      </w:pPr>
    </w:p>
    <w:p w14:paraId="656F495C" w14:textId="1A51BFFB" w:rsidR="00746191" w:rsidRDefault="00EB380F" w:rsidP="00222DDD">
      <w:pPr>
        <w:spacing w:after="0"/>
        <w:rPr>
          <w:sz w:val="24"/>
          <w:szCs w:val="24"/>
        </w:rPr>
      </w:pPr>
      <w:r>
        <w:rPr>
          <w:sz w:val="24"/>
          <w:szCs w:val="24"/>
        </w:rPr>
        <w:t>The common and Civil law systems have the same goal but contrast in numerous ways</w:t>
      </w:r>
      <w:r w:rsidR="0084755E">
        <w:rPr>
          <w:sz w:val="24"/>
          <w:szCs w:val="24"/>
        </w:rPr>
        <w:t xml:space="preserve">, </w:t>
      </w:r>
      <w:r w:rsidR="005668FD">
        <w:rPr>
          <w:sz w:val="24"/>
          <w:szCs w:val="24"/>
        </w:rPr>
        <w:t>(</w:t>
      </w:r>
      <w:proofErr w:type="spellStart"/>
      <w:r w:rsidR="005668FD">
        <w:rPr>
          <w:sz w:val="24"/>
          <w:szCs w:val="24"/>
        </w:rPr>
        <w:t>Orrantia</w:t>
      </w:r>
      <w:proofErr w:type="spellEnd"/>
      <w:r w:rsidR="005668FD">
        <w:rPr>
          <w:sz w:val="24"/>
          <w:szCs w:val="24"/>
        </w:rPr>
        <w:t>, 1990).</w:t>
      </w:r>
    </w:p>
    <w:p w14:paraId="2913FE84" w14:textId="60D7DC63" w:rsidR="00B12872" w:rsidRDefault="00EB380F" w:rsidP="00222DDD">
      <w:pPr>
        <w:spacing w:after="0"/>
        <w:rPr>
          <w:rFonts w:ascii="Arial" w:hAnsi="Arial" w:cs="Arial"/>
          <w:color w:val="000000"/>
        </w:rPr>
      </w:pPr>
      <w:r>
        <w:rPr>
          <w:sz w:val="24"/>
          <w:szCs w:val="24"/>
        </w:rPr>
        <w:t>For example</w:t>
      </w:r>
      <w:r w:rsidR="00037E62">
        <w:rPr>
          <w:sz w:val="24"/>
          <w:szCs w:val="24"/>
        </w:rPr>
        <w:t>,</w:t>
      </w:r>
      <w:r>
        <w:rPr>
          <w:sz w:val="24"/>
          <w:szCs w:val="24"/>
        </w:rPr>
        <w:t xml:space="preserve"> the common law system </w:t>
      </w:r>
      <w:r w:rsidR="005712DF">
        <w:rPr>
          <w:sz w:val="24"/>
          <w:szCs w:val="24"/>
        </w:rPr>
        <w:t xml:space="preserve">follows the decisions made by the judges before them whereas </w:t>
      </w:r>
      <w:r w:rsidR="00BD1C92">
        <w:rPr>
          <w:sz w:val="24"/>
          <w:szCs w:val="24"/>
        </w:rPr>
        <w:t xml:space="preserve">the civil court follows a </w:t>
      </w:r>
      <w:r w:rsidR="00F67D94">
        <w:rPr>
          <w:sz w:val="24"/>
          <w:szCs w:val="24"/>
        </w:rPr>
        <w:t>singular set of rules</w:t>
      </w:r>
      <w:r w:rsidR="00C31428">
        <w:rPr>
          <w:sz w:val="24"/>
          <w:szCs w:val="24"/>
        </w:rPr>
        <w:t>, (</w:t>
      </w:r>
      <w:proofErr w:type="spellStart"/>
      <w:r w:rsidR="00C31428">
        <w:rPr>
          <w:sz w:val="24"/>
          <w:szCs w:val="24"/>
        </w:rPr>
        <w:t>Messite</w:t>
      </w:r>
      <w:proofErr w:type="spellEnd"/>
      <w:r w:rsidR="00274936">
        <w:rPr>
          <w:sz w:val="24"/>
          <w:szCs w:val="24"/>
        </w:rPr>
        <w:t>, 1999)</w:t>
      </w:r>
      <w:r w:rsidR="00037E62">
        <w:rPr>
          <w:sz w:val="24"/>
          <w:szCs w:val="24"/>
        </w:rPr>
        <w:t xml:space="preserve">. </w:t>
      </w:r>
      <w:r w:rsidR="00FC2FED">
        <w:rPr>
          <w:sz w:val="24"/>
          <w:szCs w:val="24"/>
        </w:rPr>
        <w:t xml:space="preserve">Another example is that </w:t>
      </w:r>
      <w:r w:rsidR="007357CE">
        <w:rPr>
          <w:sz w:val="24"/>
          <w:szCs w:val="24"/>
        </w:rPr>
        <w:t>i</w:t>
      </w:r>
      <w:r w:rsidR="007357CE">
        <w:rPr>
          <w:rFonts w:ascii="Arial" w:hAnsi="Arial" w:cs="Arial"/>
          <w:color w:val="000000"/>
        </w:rPr>
        <w:t xml:space="preserve">n a civil law system, </w:t>
      </w:r>
      <w:r w:rsidR="00952C6E">
        <w:rPr>
          <w:rFonts w:ascii="Arial" w:hAnsi="Arial" w:cs="Arial"/>
          <w:color w:val="000000"/>
        </w:rPr>
        <w:t>t</w:t>
      </w:r>
      <w:r w:rsidR="00952C6E" w:rsidRPr="00952C6E">
        <w:rPr>
          <w:rFonts w:ascii="Arial" w:hAnsi="Arial" w:cs="Arial"/>
          <w:color w:val="000000"/>
        </w:rPr>
        <w:t xml:space="preserve">he </w:t>
      </w:r>
      <w:r w:rsidR="00B12872" w:rsidRPr="00952C6E">
        <w:rPr>
          <w:rFonts w:ascii="Arial" w:hAnsi="Arial" w:cs="Arial"/>
          <w:color w:val="000000"/>
        </w:rPr>
        <w:t>judge’s</w:t>
      </w:r>
      <w:r w:rsidR="00952C6E" w:rsidRPr="00952C6E">
        <w:rPr>
          <w:rFonts w:ascii="Arial" w:hAnsi="Arial" w:cs="Arial"/>
          <w:color w:val="000000"/>
        </w:rPr>
        <w:t xml:space="preserve"> job is to apply the relevant articles of the code and establish the facts of the case</w:t>
      </w:r>
      <w:r w:rsidR="00952C6E">
        <w:rPr>
          <w:rFonts w:ascii="Arial" w:hAnsi="Arial" w:cs="Arial"/>
          <w:color w:val="000000"/>
        </w:rPr>
        <w:t xml:space="preserve">, </w:t>
      </w:r>
      <w:r w:rsidR="00B12872">
        <w:rPr>
          <w:rFonts w:ascii="Arial" w:hAnsi="Arial" w:cs="Arial"/>
          <w:color w:val="000000"/>
        </w:rPr>
        <w:t>whereas</w:t>
      </w:r>
      <w:r w:rsidR="00952C6E">
        <w:rPr>
          <w:rFonts w:ascii="Arial" w:hAnsi="Arial" w:cs="Arial"/>
          <w:color w:val="000000"/>
        </w:rPr>
        <w:t xml:space="preserve"> the </w:t>
      </w:r>
      <w:r w:rsidR="00B12872">
        <w:rPr>
          <w:rFonts w:ascii="Arial" w:hAnsi="Arial" w:cs="Arial"/>
          <w:color w:val="000000"/>
        </w:rPr>
        <w:t>judges</w:t>
      </w:r>
      <w:r w:rsidR="00952C6E">
        <w:rPr>
          <w:rFonts w:ascii="Arial" w:hAnsi="Arial" w:cs="Arial"/>
          <w:color w:val="000000"/>
        </w:rPr>
        <w:t xml:space="preserve"> in a common law system make the law, (</w:t>
      </w:r>
      <w:proofErr w:type="spellStart"/>
      <w:r w:rsidR="000D4769">
        <w:rPr>
          <w:rFonts w:ascii="Arial" w:hAnsi="Arial" w:cs="Arial"/>
          <w:color w:val="000000"/>
        </w:rPr>
        <w:t>Diffen</w:t>
      </w:r>
      <w:proofErr w:type="spellEnd"/>
      <w:r w:rsidR="000D4769">
        <w:rPr>
          <w:rFonts w:ascii="Arial" w:hAnsi="Arial" w:cs="Arial"/>
          <w:color w:val="000000"/>
        </w:rPr>
        <w:t>,</w:t>
      </w:r>
      <w:r w:rsidR="00B12872">
        <w:rPr>
          <w:rFonts w:ascii="Arial" w:hAnsi="Arial" w:cs="Arial"/>
          <w:color w:val="000000"/>
        </w:rPr>
        <w:t xml:space="preserve"> 2023).</w:t>
      </w:r>
    </w:p>
    <w:p w14:paraId="1F29B0D3" w14:textId="77777777" w:rsidR="00C41228" w:rsidRDefault="00C41228" w:rsidP="00222DDD">
      <w:pPr>
        <w:spacing w:after="0"/>
        <w:rPr>
          <w:rFonts w:ascii="Arial" w:hAnsi="Arial" w:cs="Arial"/>
          <w:color w:val="000000"/>
        </w:rPr>
      </w:pPr>
    </w:p>
    <w:p w14:paraId="26825C91" w14:textId="4D48978E" w:rsidR="007C74B3" w:rsidRDefault="00CF7AD6" w:rsidP="00222DDD">
      <w:pPr>
        <w:spacing w:after="0"/>
        <w:rPr>
          <w:rFonts w:ascii="Arial" w:hAnsi="Arial" w:cs="Arial"/>
          <w:color w:val="000000"/>
        </w:rPr>
      </w:pPr>
      <w:r>
        <w:rPr>
          <w:rFonts w:ascii="Arial" w:hAnsi="Arial" w:cs="Arial"/>
          <w:color w:val="000000"/>
        </w:rPr>
        <w:t xml:space="preserve">England and Wales use more common law principles in comparison to </w:t>
      </w:r>
      <w:r w:rsidR="00934C54">
        <w:rPr>
          <w:rFonts w:ascii="Arial" w:hAnsi="Arial" w:cs="Arial"/>
          <w:color w:val="000000"/>
        </w:rPr>
        <w:t xml:space="preserve">civil law. </w:t>
      </w:r>
      <w:r w:rsidR="001B0397">
        <w:rPr>
          <w:rFonts w:ascii="Arial" w:hAnsi="Arial" w:cs="Arial"/>
          <w:color w:val="000000"/>
        </w:rPr>
        <w:t xml:space="preserve">According to </w:t>
      </w:r>
      <w:proofErr w:type="spellStart"/>
      <w:r w:rsidR="00894384">
        <w:rPr>
          <w:rFonts w:ascii="Arial" w:hAnsi="Arial" w:cs="Arial"/>
          <w:color w:val="000000"/>
        </w:rPr>
        <w:t>Rab</w:t>
      </w:r>
      <w:proofErr w:type="spellEnd"/>
      <w:r w:rsidR="00894384">
        <w:rPr>
          <w:rFonts w:ascii="Arial" w:hAnsi="Arial" w:cs="Arial"/>
          <w:color w:val="000000"/>
        </w:rPr>
        <w:t xml:space="preserve"> (2022), t</w:t>
      </w:r>
      <w:r w:rsidR="001B0397" w:rsidRPr="001B0397">
        <w:rPr>
          <w:rFonts w:ascii="Arial" w:hAnsi="Arial" w:cs="Arial"/>
          <w:color w:val="000000"/>
        </w:rPr>
        <w:t>here is no singular written document in the UK that outlines the rights of every person and how the government should conduct itself, hence the country has an unwritten constitution.</w:t>
      </w:r>
      <w:r w:rsidR="001256CC">
        <w:rPr>
          <w:rFonts w:ascii="Arial" w:hAnsi="Arial" w:cs="Arial"/>
          <w:color w:val="000000"/>
        </w:rPr>
        <w:t xml:space="preserve"> This complies with the principles of the civil law system rather than the common law system which makes it evident that England and </w:t>
      </w:r>
      <w:r w:rsidR="007C66F9">
        <w:rPr>
          <w:rFonts w:ascii="Arial" w:hAnsi="Arial" w:cs="Arial"/>
          <w:color w:val="000000"/>
        </w:rPr>
        <w:t>Wales</w:t>
      </w:r>
      <w:r w:rsidR="001256CC">
        <w:rPr>
          <w:rFonts w:ascii="Arial" w:hAnsi="Arial" w:cs="Arial"/>
          <w:color w:val="000000"/>
        </w:rPr>
        <w:t xml:space="preserve"> </w:t>
      </w:r>
      <w:r w:rsidR="007C66F9">
        <w:rPr>
          <w:rFonts w:ascii="Arial" w:hAnsi="Arial" w:cs="Arial"/>
          <w:color w:val="000000"/>
        </w:rPr>
        <w:t>do</w:t>
      </w:r>
      <w:r w:rsidR="001256CC">
        <w:rPr>
          <w:rFonts w:ascii="Arial" w:hAnsi="Arial" w:cs="Arial"/>
          <w:color w:val="000000"/>
        </w:rPr>
        <w:t xml:space="preserve"> not use a common law system. </w:t>
      </w:r>
      <w:r w:rsidR="007C66F9">
        <w:rPr>
          <w:rFonts w:ascii="Arial" w:hAnsi="Arial" w:cs="Arial"/>
          <w:color w:val="000000"/>
        </w:rPr>
        <w:t>Furthermore</w:t>
      </w:r>
      <w:r w:rsidR="00D01695">
        <w:rPr>
          <w:rFonts w:ascii="Arial" w:hAnsi="Arial" w:cs="Arial"/>
          <w:color w:val="000000"/>
        </w:rPr>
        <w:t>,</w:t>
      </w:r>
      <w:r w:rsidR="007C66F9">
        <w:rPr>
          <w:rFonts w:ascii="Arial" w:hAnsi="Arial" w:cs="Arial"/>
          <w:color w:val="000000"/>
        </w:rPr>
        <w:t xml:space="preserve"> </w:t>
      </w:r>
      <w:r w:rsidR="00D838A2">
        <w:rPr>
          <w:rFonts w:ascii="Arial" w:hAnsi="Arial" w:cs="Arial"/>
          <w:color w:val="000000"/>
        </w:rPr>
        <w:t xml:space="preserve">example cases from today evidently use the common law system to decide their verdict. </w:t>
      </w:r>
      <w:r w:rsidR="00D01695" w:rsidRPr="00D01695">
        <w:rPr>
          <w:rFonts w:ascii="Arial" w:hAnsi="Arial" w:cs="Arial"/>
          <w:color w:val="000000"/>
        </w:rPr>
        <w:t xml:space="preserve">Gina Miller filed a lawsuit against the UK government in 2016, arguing that without a parliamentary act, the government was unable to start the Brexit process by invoking Article 50. The Supreme Court referenced the proclamations case from 1610 while ruling in Miller's favour in 2017. </w:t>
      </w:r>
      <w:r w:rsidR="007E3B4E">
        <w:rPr>
          <w:rFonts w:ascii="Arial" w:hAnsi="Arial" w:cs="Arial"/>
          <w:color w:val="000000"/>
        </w:rPr>
        <w:t>This proves that the UK is still using a common law system</w:t>
      </w:r>
      <w:r w:rsidR="0000586D">
        <w:rPr>
          <w:rFonts w:ascii="Arial" w:hAnsi="Arial" w:cs="Arial"/>
          <w:color w:val="000000"/>
        </w:rPr>
        <w:t xml:space="preserve"> decades later</w:t>
      </w:r>
      <w:r w:rsidR="00D01695" w:rsidRPr="00D01695">
        <w:rPr>
          <w:rFonts w:ascii="Arial" w:hAnsi="Arial" w:cs="Arial"/>
          <w:color w:val="000000"/>
        </w:rPr>
        <w:t>.</w:t>
      </w:r>
    </w:p>
    <w:p w14:paraId="7707E613" w14:textId="77777777" w:rsidR="0000586D" w:rsidRDefault="0000586D" w:rsidP="00222DDD">
      <w:pPr>
        <w:spacing w:after="0"/>
        <w:rPr>
          <w:rFonts w:ascii="Arial" w:hAnsi="Arial" w:cs="Arial"/>
          <w:color w:val="000000"/>
        </w:rPr>
      </w:pPr>
    </w:p>
    <w:p w14:paraId="2E38467D" w14:textId="5EDFB25E" w:rsidR="0000586D" w:rsidRDefault="0000586D" w:rsidP="00222DDD">
      <w:pPr>
        <w:spacing w:after="0"/>
        <w:rPr>
          <w:sz w:val="24"/>
          <w:szCs w:val="24"/>
        </w:rPr>
      </w:pPr>
      <w:r>
        <w:rPr>
          <w:rFonts w:ascii="Arial" w:hAnsi="Arial" w:cs="Arial"/>
          <w:color w:val="000000"/>
        </w:rPr>
        <w:t xml:space="preserve">To conclude </w:t>
      </w:r>
      <w:r w:rsidR="00163D42">
        <w:rPr>
          <w:rFonts w:ascii="Arial" w:hAnsi="Arial" w:cs="Arial"/>
          <w:color w:val="000000"/>
        </w:rPr>
        <w:t xml:space="preserve">It is evident that </w:t>
      </w:r>
      <w:r w:rsidR="00FD3D08">
        <w:rPr>
          <w:rFonts w:ascii="Arial" w:hAnsi="Arial" w:cs="Arial"/>
          <w:color w:val="000000"/>
        </w:rPr>
        <w:t xml:space="preserve">England and Wales </w:t>
      </w:r>
      <w:r w:rsidR="00447877">
        <w:rPr>
          <w:rFonts w:ascii="Arial" w:hAnsi="Arial" w:cs="Arial"/>
          <w:color w:val="000000"/>
        </w:rPr>
        <w:t>are</w:t>
      </w:r>
      <w:r w:rsidR="00FD3D08">
        <w:rPr>
          <w:rFonts w:ascii="Arial" w:hAnsi="Arial" w:cs="Arial"/>
          <w:color w:val="000000"/>
        </w:rPr>
        <w:t xml:space="preserve"> based upon a common law system. </w:t>
      </w:r>
      <w:r w:rsidR="00FC0A5E">
        <w:rPr>
          <w:rFonts w:ascii="Arial" w:hAnsi="Arial" w:cs="Arial"/>
          <w:color w:val="000000"/>
        </w:rPr>
        <w:t>Judges are still creating laws and following decisions that were made in the past.</w:t>
      </w:r>
      <w:r w:rsidR="00DD068D">
        <w:rPr>
          <w:rFonts w:ascii="Arial" w:hAnsi="Arial" w:cs="Arial"/>
          <w:color w:val="000000"/>
        </w:rPr>
        <w:t xml:space="preserve"> </w:t>
      </w:r>
    </w:p>
    <w:p w14:paraId="35E345A7" w14:textId="77777777" w:rsidR="007C74B3" w:rsidRDefault="007C74B3" w:rsidP="00222DDD">
      <w:pPr>
        <w:spacing w:after="0"/>
        <w:rPr>
          <w:sz w:val="24"/>
          <w:szCs w:val="24"/>
        </w:rPr>
      </w:pPr>
    </w:p>
    <w:p w14:paraId="70BD1201" w14:textId="2068B0CB" w:rsidR="00A51B1B" w:rsidRDefault="00A51B1B" w:rsidP="00222DDD">
      <w:pPr>
        <w:spacing w:after="0"/>
        <w:rPr>
          <w:sz w:val="24"/>
          <w:szCs w:val="24"/>
        </w:rPr>
      </w:pPr>
    </w:p>
    <w:p w14:paraId="0FAECEF1" w14:textId="4045AA40" w:rsidR="00114031" w:rsidRDefault="00114031"/>
    <w:p w14:paraId="00BE8058" w14:textId="77777777" w:rsidR="00DD068D" w:rsidRDefault="00DD068D"/>
    <w:p w14:paraId="05219FE7" w14:textId="77777777" w:rsidR="00DD068D" w:rsidRDefault="00DD068D"/>
    <w:p w14:paraId="7AE91622" w14:textId="77777777" w:rsidR="00DD068D" w:rsidRDefault="00DD068D"/>
    <w:p w14:paraId="201D9BFE" w14:textId="77777777" w:rsidR="00DD068D" w:rsidRDefault="00DD068D"/>
    <w:p w14:paraId="3D70BEF7" w14:textId="77777777" w:rsidR="00DD068D" w:rsidRDefault="00DD068D"/>
    <w:p w14:paraId="4BA123A7" w14:textId="7FE1A5AA" w:rsidR="00114031" w:rsidRDefault="00114031"/>
    <w:p w14:paraId="0E9D6F76" w14:textId="71346EB6" w:rsidR="00114031" w:rsidRDefault="00114031" w:rsidP="00114031">
      <w:pPr>
        <w:pStyle w:val="Heading1"/>
      </w:pPr>
      <w:r>
        <w:lastRenderedPageBreak/>
        <w:t>References</w:t>
      </w:r>
    </w:p>
    <w:p w14:paraId="03882DB6" w14:textId="1A4E60AF" w:rsidR="00114031" w:rsidRDefault="00114031" w:rsidP="00114031"/>
    <w:p w14:paraId="4BDFCA94" w14:textId="156EDB47" w:rsidR="00114031" w:rsidRDefault="00114031" w:rsidP="00114031">
      <w:pPr>
        <w:rPr>
          <w:sz w:val="24"/>
          <w:szCs w:val="24"/>
        </w:rPr>
      </w:pPr>
      <w:r w:rsidRPr="00114031">
        <w:rPr>
          <w:sz w:val="24"/>
          <w:szCs w:val="24"/>
        </w:rPr>
        <w:t xml:space="preserve">  </w:t>
      </w:r>
      <w:r w:rsidRPr="00114031">
        <w:rPr>
          <w:sz w:val="24"/>
          <w:szCs w:val="24"/>
        </w:rPr>
        <w:t>Elliot, C. and Quinn, F. (2015) </w:t>
      </w:r>
      <w:r w:rsidRPr="00114031">
        <w:rPr>
          <w:i/>
          <w:iCs/>
          <w:sz w:val="24"/>
          <w:szCs w:val="24"/>
        </w:rPr>
        <w:t>English Legal System</w:t>
      </w:r>
      <w:r w:rsidRPr="00114031">
        <w:rPr>
          <w:sz w:val="24"/>
          <w:szCs w:val="24"/>
        </w:rPr>
        <w:t>. 16th edn. London: Pearson. </w:t>
      </w:r>
    </w:p>
    <w:p w14:paraId="58DEDF00" w14:textId="30F27E3A" w:rsidR="00114031" w:rsidRDefault="00114031" w:rsidP="00114031">
      <w:pPr>
        <w:rPr>
          <w:sz w:val="24"/>
          <w:szCs w:val="24"/>
        </w:rPr>
      </w:pPr>
      <w:r>
        <w:rPr>
          <w:sz w:val="24"/>
          <w:szCs w:val="24"/>
        </w:rPr>
        <w:t xml:space="preserve">  </w:t>
      </w:r>
      <w:r w:rsidRPr="00114031">
        <w:rPr>
          <w:sz w:val="24"/>
          <w:szCs w:val="24"/>
        </w:rPr>
        <w:t>Partington, M. (2021) </w:t>
      </w:r>
      <w:r w:rsidRPr="00114031">
        <w:rPr>
          <w:i/>
          <w:iCs/>
          <w:sz w:val="24"/>
          <w:szCs w:val="24"/>
        </w:rPr>
        <w:t>Introduction to the English Legal System</w:t>
      </w:r>
      <w:r w:rsidRPr="00114031">
        <w:rPr>
          <w:sz w:val="24"/>
          <w:szCs w:val="24"/>
        </w:rPr>
        <w:t>. 15th edn. U</w:t>
      </w:r>
      <w:r w:rsidR="002D7A1A">
        <w:rPr>
          <w:sz w:val="24"/>
          <w:szCs w:val="24"/>
        </w:rPr>
        <w:t>SA</w:t>
      </w:r>
      <w:r w:rsidRPr="00114031">
        <w:rPr>
          <w:sz w:val="24"/>
          <w:szCs w:val="24"/>
        </w:rPr>
        <w:t>: Oxford University Press. </w:t>
      </w:r>
    </w:p>
    <w:p w14:paraId="4696E6A1" w14:textId="7E7FC44F" w:rsidR="00222DDD" w:rsidRDefault="00222DDD" w:rsidP="00114031">
      <w:pPr>
        <w:rPr>
          <w:sz w:val="24"/>
          <w:szCs w:val="24"/>
        </w:rPr>
      </w:pPr>
      <w:r>
        <w:rPr>
          <w:sz w:val="24"/>
          <w:szCs w:val="24"/>
        </w:rPr>
        <w:t xml:space="preserve">  Gillespie</w:t>
      </w:r>
      <w:r w:rsidR="002D7A1A">
        <w:rPr>
          <w:sz w:val="24"/>
          <w:szCs w:val="24"/>
        </w:rPr>
        <w:t>,</w:t>
      </w:r>
      <w:r>
        <w:rPr>
          <w:sz w:val="24"/>
          <w:szCs w:val="24"/>
        </w:rPr>
        <w:t xml:space="preserve"> </w:t>
      </w:r>
      <w:r w:rsidR="002D7A1A">
        <w:rPr>
          <w:sz w:val="24"/>
          <w:szCs w:val="24"/>
        </w:rPr>
        <w:t xml:space="preserve">A. and Weare, S. (2021) </w:t>
      </w:r>
      <w:r w:rsidR="002D7A1A" w:rsidRPr="002D7A1A">
        <w:rPr>
          <w:i/>
          <w:iCs/>
          <w:sz w:val="24"/>
          <w:szCs w:val="24"/>
        </w:rPr>
        <w:t>The English Legal System</w:t>
      </w:r>
      <w:r w:rsidR="002D7A1A">
        <w:rPr>
          <w:sz w:val="24"/>
          <w:szCs w:val="24"/>
        </w:rPr>
        <w:t>. 8th edn. USA: Oxford University Press.</w:t>
      </w:r>
    </w:p>
    <w:p w14:paraId="5D10B3A7" w14:textId="40E3CC65" w:rsidR="00D62737" w:rsidRDefault="00D62737" w:rsidP="00114031">
      <w:pPr>
        <w:rPr>
          <w:sz w:val="24"/>
          <w:szCs w:val="24"/>
        </w:rPr>
      </w:pPr>
      <w:r>
        <w:rPr>
          <w:sz w:val="24"/>
          <w:szCs w:val="24"/>
        </w:rPr>
        <w:t xml:space="preserve">  Donoghue v Stevenson (1932) </w:t>
      </w:r>
      <w:r w:rsidR="00CF62C5">
        <w:rPr>
          <w:sz w:val="24"/>
          <w:szCs w:val="24"/>
        </w:rPr>
        <w:t>UKHL 100</w:t>
      </w:r>
    </w:p>
    <w:p w14:paraId="5217249B" w14:textId="31250B8C" w:rsidR="00274936" w:rsidRDefault="00274936" w:rsidP="00114031">
      <w:pPr>
        <w:rPr>
          <w:sz w:val="24"/>
          <w:szCs w:val="24"/>
        </w:rPr>
      </w:pPr>
      <w:r>
        <w:rPr>
          <w:sz w:val="24"/>
          <w:szCs w:val="24"/>
        </w:rPr>
        <w:t xml:space="preserve">  </w:t>
      </w:r>
      <w:proofErr w:type="spellStart"/>
      <w:r>
        <w:rPr>
          <w:sz w:val="24"/>
          <w:szCs w:val="24"/>
        </w:rPr>
        <w:t>Messite</w:t>
      </w:r>
      <w:proofErr w:type="spellEnd"/>
      <w:r w:rsidR="00785A15">
        <w:rPr>
          <w:sz w:val="24"/>
          <w:szCs w:val="24"/>
        </w:rPr>
        <w:t xml:space="preserve">, P. (1999) </w:t>
      </w:r>
      <w:r w:rsidR="00364E4E">
        <w:rPr>
          <w:sz w:val="24"/>
          <w:szCs w:val="24"/>
        </w:rPr>
        <w:t>‘</w:t>
      </w:r>
      <w:r w:rsidR="0003592A">
        <w:rPr>
          <w:sz w:val="24"/>
          <w:szCs w:val="24"/>
        </w:rPr>
        <w:t xml:space="preserve">Common v Civil </w:t>
      </w:r>
      <w:r w:rsidR="00364E4E">
        <w:rPr>
          <w:sz w:val="24"/>
          <w:szCs w:val="24"/>
        </w:rPr>
        <w:t xml:space="preserve">Law Systems’ </w:t>
      </w:r>
      <w:r w:rsidR="00E94549">
        <w:rPr>
          <w:i/>
          <w:iCs/>
          <w:sz w:val="24"/>
          <w:szCs w:val="24"/>
        </w:rPr>
        <w:t xml:space="preserve">USIS E-JOURNALS. </w:t>
      </w:r>
      <w:r w:rsidR="00E94549" w:rsidRPr="00E94549">
        <w:rPr>
          <w:sz w:val="24"/>
          <w:szCs w:val="24"/>
        </w:rPr>
        <w:t>Available at:</w:t>
      </w:r>
      <w:r w:rsidR="00E94549">
        <w:rPr>
          <w:sz w:val="24"/>
          <w:szCs w:val="24"/>
        </w:rPr>
        <w:t xml:space="preserve"> </w:t>
      </w:r>
      <w:hyperlink r:id="rId4" w:history="1">
        <w:r w:rsidR="00037E62" w:rsidRPr="00761CE4">
          <w:rPr>
            <w:rStyle w:val="Hyperlink"/>
            <w:sz w:val="24"/>
            <w:szCs w:val="24"/>
          </w:rPr>
          <w:t>https://web.ntpu.edu.tw/~markliu/common_v_civil.pdf</w:t>
        </w:r>
      </w:hyperlink>
      <w:r w:rsidR="00037E62">
        <w:rPr>
          <w:sz w:val="24"/>
          <w:szCs w:val="24"/>
        </w:rPr>
        <w:t>. (Accessed: 9</w:t>
      </w:r>
      <w:r w:rsidR="00037E62" w:rsidRPr="00037E62">
        <w:rPr>
          <w:sz w:val="24"/>
          <w:szCs w:val="24"/>
          <w:vertAlign w:val="superscript"/>
        </w:rPr>
        <w:t>th</w:t>
      </w:r>
      <w:r w:rsidR="00037E62">
        <w:rPr>
          <w:sz w:val="24"/>
          <w:szCs w:val="24"/>
        </w:rPr>
        <w:t xml:space="preserve"> March 2023)</w:t>
      </w:r>
    </w:p>
    <w:p w14:paraId="7E2B0D44" w14:textId="2A3501A1" w:rsidR="005668FD" w:rsidRDefault="005668FD" w:rsidP="00114031">
      <w:pPr>
        <w:rPr>
          <w:sz w:val="24"/>
          <w:szCs w:val="24"/>
        </w:rPr>
      </w:pPr>
      <w:r>
        <w:rPr>
          <w:sz w:val="24"/>
          <w:szCs w:val="24"/>
        </w:rPr>
        <w:t xml:space="preserve">  </w:t>
      </w:r>
      <w:proofErr w:type="spellStart"/>
      <w:r>
        <w:rPr>
          <w:sz w:val="24"/>
          <w:szCs w:val="24"/>
        </w:rPr>
        <w:t>Orri</w:t>
      </w:r>
      <w:r w:rsidR="001A6E02">
        <w:rPr>
          <w:sz w:val="24"/>
          <w:szCs w:val="24"/>
        </w:rPr>
        <w:t>antia</w:t>
      </w:r>
      <w:proofErr w:type="spellEnd"/>
      <w:r w:rsidR="001A6E02">
        <w:rPr>
          <w:sz w:val="24"/>
          <w:szCs w:val="24"/>
        </w:rPr>
        <w:t>, F (1990) ‘</w:t>
      </w:r>
      <w:r w:rsidR="007D273D" w:rsidRPr="007D273D">
        <w:rPr>
          <w:sz w:val="24"/>
          <w:szCs w:val="24"/>
        </w:rPr>
        <w:t>Conceptual Differences between the Civil Law System and the Common Law System</w:t>
      </w:r>
      <w:r w:rsidR="007D273D">
        <w:rPr>
          <w:sz w:val="24"/>
          <w:szCs w:val="24"/>
        </w:rPr>
        <w:t xml:space="preserve">’ </w:t>
      </w:r>
      <w:r w:rsidR="00D27F87">
        <w:rPr>
          <w:i/>
          <w:iCs/>
          <w:sz w:val="24"/>
          <w:szCs w:val="24"/>
        </w:rPr>
        <w:t xml:space="preserve">HEINONLINE. </w:t>
      </w:r>
      <w:r w:rsidR="00D27F87">
        <w:rPr>
          <w:sz w:val="24"/>
          <w:szCs w:val="24"/>
        </w:rPr>
        <w:t xml:space="preserve">Available at: </w:t>
      </w:r>
      <w:hyperlink r:id="rId5" w:history="1">
        <w:r w:rsidR="00FC2FED" w:rsidRPr="00761CE4">
          <w:rPr>
            <w:rStyle w:val="Hyperlink"/>
            <w:sz w:val="24"/>
            <w:szCs w:val="24"/>
          </w:rPr>
          <w:t>https://heinonline.org/HOL/LandingPage?handle=hein.journals/swulr19&amp;div=27&amp;id=&amp;page=</w:t>
        </w:r>
      </w:hyperlink>
      <w:r w:rsidR="00FC2FED">
        <w:rPr>
          <w:sz w:val="24"/>
          <w:szCs w:val="24"/>
        </w:rPr>
        <w:t>. (Accessed: 9</w:t>
      </w:r>
      <w:r w:rsidR="00FC2FED" w:rsidRPr="00FC2FED">
        <w:rPr>
          <w:sz w:val="24"/>
          <w:szCs w:val="24"/>
          <w:vertAlign w:val="superscript"/>
        </w:rPr>
        <w:t>th</w:t>
      </w:r>
      <w:r w:rsidR="00FC2FED">
        <w:rPr>
          <w:sz w:val="24"/>
          <w:szCs w:val="24"/>
        </w:rPr>
        <w:t xml:space="preserve"> March 2023)</w:t>
      </w:r>
    </w:p>
    <w:p w14:paraId="00D36596" w14:textId="33B93EB8" w:rsidR="00530989" w:rsidRDefault="00B12872" w:rsidP="00530989">
      <w:pPr>
        <w:rPr>
          <w:sz w:val="24"/>
          <w:szCs w:val="24"/>
        </w:rPr>
      </w:pPr>
      <w:r>
        <w:rPr>
          <w:sz w:val="24"/>
          <w:szCs w:val="24"/>
        </w:rPr>
        <w:t xml:space="preserve">  </w:t>
      </w:r>
      <w:proofErr w:type="spellStart"/>
      <w:r>
        <w:rPr>
          <w:sz w:val="24"/>
          <w:szCs w:val="24"/>
        </w:rPr>
        <w:t>Diffen</w:t>
      </w:r>
      <w:proofErr w:type="spellEnd"/>
      <w:r w:rsidR="00530989">
        <w:rPr>
          <w:sz w:val="24"/>
          <w:szCs w:val="24"/>
        </w:rPr>
        <w:t xml:space="preserve"> (2023) </w:t>
      </w:r>
      <w:r w:rsidR="00530989" w:rsidRPr="00530989">
        <w:rPr>
          <w:sz w:val="24"/>
          <w:szCs w:val="24"/>
        </w:rPr>
        <w:t>Civil Law vs. Common Law</w:t>
      </w:r>
      <w:r w:rsidR="00530989">
        <w:rPr>
          <w:sz w:val="24"/>
          <w:szCs w:val="24"/>
        </w:rPr>
        <w:t xml:space="preserve">. Available at: </w:t>
      </w:r>
      <w:hyperlink r:id="rId6" w:history="1">
        <w:r w:rsidR="00875121" w:rsidRPr="00761CE4">
          <w:rPr>
            <w:rStyle w:val="Hyperlink"/>
            <w:sz w:val="24"/>
            <w:szCs w:val="24"/>
          </w:rPr>
          <w:t>https://www.diffen.com/difference/Civil_Law_vs_Common_Law</w:t>
        </w:r>
      </w:hyperlink>
      <w:r w:rsidR="00875121">
        <w:rPr>
          <w:sz w:val="24"/>
          <w:szCs w:val="24"/>
        </w:rPr>
        <w:t>. (Accessed: 10</w:t>
      </w:r>
      <w:r w:rsidR="00875121" w:rsidRPr="00875121">
        <w:rPr>
          <w:sz w:val="24"/>
          <w:szCs w:val="24"/>
          <w:vertAlign w:val="superscript"/>
        </w:rPr>
        <w:t>th</w:t>
      </w:r>
      <w:r w:rsidR="00875121">
        <w:rPr>
          <w:sz w:val="24"/>
          <w:szCs w:val="24"/>
        </w:rPr>
        <w:t xml:space="preserve"> March)</w:t>
      </w:r>
    </w:p>
    <w:p w14:paraId="20F0B556" w14:textId="0532391A" w:rsidR="00100BA1" w:rsidRPr="00100BA1" w:rsidRDefault="007C66F9" w:rsidP="00100BA1">
      <w:pPr>
        <w:rPr>
          <w:b/>
          <w:bCs/>
          <w:sz w:val="24"/>
          <w:szCs w:val="24"/>
        </w:rPr>
      </w:pPr>
      <w:r>
        <w:rPr>
          <w:sz w:val="24"/>
          <w:szCs w:val="24"/>
        </w:rPr>
        <w:t xml:space="preserve">  </w:t>
      </w:r>
      <w:proofErr w:type="spellStart"/>
      <w:r>
        <w:rPr>
          <w:sz w:val="24"/>
          <w:szCs w:val="24"/>
        </w:rPr>
        <w:t>Rab</w:t>
      </w:r>
      <w:proofErr w:type="spellEnd"/>
      <w:r>
        <w:rPr>
          <w:sz w:val="24"/>
          <w:szCs w:val="24"/>
        </w:rPr>
        <w:t xml:space="preserve">, S. (2022) </w:t>
      </w:r>
      <w:r w:rsidR="00100BA1" w:rsidRPr="00100BA1">
        <w:rPr>
          <w:sz w:val="24"/>
          <w:szCs w:val="24"/>
        </w:rPr>
        <w:t>Legal Systems in the UK (England and Wales): Overview</w:t>
      </w:r>
      <w:r w:rsidR="00100BA1">
        <w:rPr>
          <w:sz w:val="24"/>
          <w:szCs w:val="24"/>
        </w:rPr>
        <w:t xml:space="preserve">. Available at: </w:t>
      </w:r>
      <w:hyperlink r:id="rId7" w:history="1">
        <w:r w:rsidR="00100BA1" w:rsidRPr="00761CE4">
          <w:rPr>
            <w:rStyle w:val="Hyperlink"/>
            <w:sz w:val="24"/>
            <w:szCs w:val="24"/>
          </w:rPr>
          <w:t>https://uk.practicallaw.thomsonreuters.com/5-636-2498?transitionType=Default&amp;contextData=(sc.Default)&amp;firstPage=true</w:t>
        </w:r>
      </w:hyperlink>
      <w:r w:rsidR="00100BA1">
        <w:rPr>
          <w:sz w:val="24"/>
          <w:szCs w:val="24"/>
        </w:rPr>
        <w:t>. (Accessed: 10</w:t>
      </w:r>
      <w:r w:rsidR="00100BA1" w:rsidRPr="00100BA1">
        <w:rPr>
          <w:sz w:val="24"/>
          <w:szCs w:val="24"/>
          <w:vertAlign w:val="superscript"/>
        </w:rPr>
        <w:t>th</w:t>
      </w:r>
      <w:r w:rsidR="00100BA1">
        <w:rPr>
          <w:sz w:val="24"/>
          <w:szCs w:val="24"/>
        </w:rPr>
        <w:t xml:space="preserve"> March) </w:t>
      </w:r>
    </w:p>
    <w:p w14:paraId="03E2EE71" w14:textId="4D69643B" w:rsidR="007C66F9" w:rsidRPr="00530989" w:rsidRDefault="007C66F9" w:rsidP="00530989">
      <w:pPr>
        <w:rPr>
          <w:sz w:val="24"/>
          <w:szCs w:val="24"/>
        </w:rPr>
      </w:pPr>
    </w:p>
    <w:p w14:paraId="11740CF4" w14:textId="48ECEC4E" w:rsidR="00B12872" w:rsidRPr="00D27F87" w:rsidRDefault="00B12872" w:rsidP="00114031">
      <w:pPr>
        <w:rPr>
          <w:sz w:val="24"/>
          <w:szCs w:val="24"/>
        </w:rPr>
      </w:pPr>
    </w:p>
    <w:p w14:paraId="562D0AA6" w14:textId="732731D5" w:rsidR="0084755E" w:rsidRDefault="0084755E" w:rsidP="00114031">
      <w:pPr>
        <w:rPr>
          <w:sz w:val="24"/>
          <w:szCs w:val="24"/>
        </w:rPr>
      </w:pPr>
      <w:r>
        <w:rPr>
          <w:sz w:val="24"/>
          <w:szCs w:val="24"/>
        </w:rPr>
        <w:t xml:space="preserve">  </w:t>
      </w:r>
    </w:p>
    <w:p w14:paraId="1C3BB873" w14:textId="77777777" w:rsidR="00037E62" w:rsidRPr="00E94549" w:rsidRDefault="00037E62" w:rsidP="00114031">
      <w:pPr>
        <w:rPr>
          <w:i/>
          <w:iCs/>
          <w:sz w:val="24"/>
          <w:szCs w:val="24"/>
        </w:rPr>
      </w:pPr>
    </w:p>
    <w:sectPr w:rsidR="00037E62" w:rsidRPr="00E945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CF6"/>
    <w:rsid w:val="0000586D"/>
    <w:rsid w:val="0003592A"/>
    <w:rsid w:val="00037E62"/>
    <w:rsid w:val="00047658"/>
    <w:rsid w:val="00047788"/>
    <w:rsid w:val="00062B46"/>
    <w:rsid w:val="00097E9E"/>
    <w:rsid w:val="000D19F6"/>
    <w:rsid w:val="000D2BD9"/>
    <w:rsid w:val="000D4769"/>
    <w:rsid w:val="00100BA1"/>
    <w:rsid w:val="00114031"/>
    <w:rsid w:val="001256CC"/>
    <w:rsid w:val="0013731A"/>
    <w:rsid w:val="00162EE6"/>
    <w:rsid w:val="00163D42"/>
    <w:rsid w:val="001A6E02"/>
    <w:rsid w:val="001B0397"/>
    <w:rsid w:val="001B3E77"/>
    <w:rsid w:val="001C3BAC"/>
    <w:rsid w:val="001C6ECD"/>
    <w:rsid w:val="00200409"/>
    <w:rsid w:val="00222DDD"/>
    <w:rsid w:val="00274936"/>
    <w:rsid w:val="002C62B3"/>
    <w:rsid w:val="002C71F7"/>
    <w:rsid w:val="002D7A1A"/>
    <w:rsid w:val="002E2FB7"/>
    <w:rsid w:val="00311F1C"/>
    <w:rsid w:val="00336FC1"/>
    <w:rsid w:val="0034578A"/>
    <w:rsid w:val="00364E4E"/>
    <w:rsid w:val="00377F32"/>
    <w:rsid w:val="00385FF2"/>
    <w:rsid w:val="003A699E"/>
    <w:rsid w:val="003C1E17"/>
    <w:rsid w:val="003D74AB"/>
    <w:rsid w:val="003F4021"/>
    <w:rsid w:val="00430AF7"/>
    <w:rsid w:val="00447877"/>
    <w:rsid w:val="004913DF"/>
    <w:rsid w:val="005026E9"/>
    <w:rsid w:val="0051649F"/>
    <w:rsid w:val="00522B5B"/>
    <w:rsid w:val="00530989"/>
    <w:rsid w:val="005668FD"/>
    <w:rsid w:val="005712DF"/>
    <w:rsid w:val="005C769E"/>
    <w:rsid w:val="005E041A"/>
    <w:rsid w:val="005E0950"/>
    <w:rsid w:val="005F102B"/>
    <w:rsid w:val="006230C6"/>
    <w:rsid w:val="00635DC5"/>
    <w:rsid w:val="006E205E"/>
    <w:rsid w:val="00710762"/>
    <w:rsid w:val="0072140F"/>
    <w:rsid w:val="007357CE"/>
    <w:rsid w:val="00746191"/>
    <w:rsid w:val="0076279F"/>
    <w:rsid w:val="00764CED"/>
    <w:rsid w:val="007669C9"/>
    <w:rsid w:val="00780041"/>
    <w:rsid w:val="00785A15"/>
    <w:rsid w:val="0079506B"/>
    <w:rsid w:val="007C66F9"/>
    <w:rsid w:val="007C74B3"/>
    <w:rsid w:val="007D0703"/>
    <w:rsid w:val="007D273D"/>
    <w:rsid w:val="007E3B4E"/>
    <w:rsid w:val="008362A8"/>
    <w:rsid w:val="00844733"/>
    <w:rsid w:val="0084755E"/>
    <w:rsid w:val="008733FE"/>
    <w:rsid w:val="00875121"/>
    <w:rsid w:val="00894384"/>
    <w:rsid w:val="008C008B"/>
    <w:rsid w:val="00903B17"/>
    <w:rsid w:val="00924FAF"/>
    <w:rsid w:val="00932395"/>
    <w:rsid w:val="009344A1"/>
    <w:rsid w:val="00934C54"/>
    <w:rsid w:val="00952C6E"/>
    <w:rsid w:val="009A40C1"/>
    <w:rsid w:val="009F7A87"/>
    <w:rsid w:val="00A378F9"/>
    <w:rsid w:val="00A37B54"/>
    <w:rsid w:val="00A51B1B"/>
    <w:rsid w:val="00A65D81"/>
    <w:rsid w:val="00A964AE"/>
    <w:rsid w:val="00AE45F1"/>
    <w:rsid w:val="00AF0EAE"/>
    <w:rsid w:val="00AF15AF"/>
    <w:rsid w:val="00B12872"/>
    <w:rsid w:val="00B97F47"/>
    <w:rsid w:val="00BD1C92"/>
    <w:rsid w:val="00BE1C7C"/>
    <w:rsid w:val="00C31428"/>
    <w:rsid w:val="00C41228"/>
    <w:rsid w:val="00CA08EB"/>
    <w:rsid w:val="00CF62C5"/>
    <w:rsid w:val="00CF7AD6"/>
    <w:rsid w:val="00D01695"/>
    <w:rsid w:val="00D07758"/>
    <w:rsid w:val="00D27F87"/>
    <w:rsid w:val="00D53608"/>
    <w:rsid w:val="00D57F8E"/>
    <w:rsid w:val="00D62737"/>
    <w:rsid w:val="00D838A2"/>
    <w:rsid w:val="00DB03E4"/>
    <w:rsid w:val="00DD068D"/>
    <w:rsid w:val="00E029DC"/>
    <w:rsid w:val="00E45621"/>
    <w:rsid w:val="00E63FD1"/>
    <w:rsid w:val="00E706C9"/>
    <w:rsid w:val="00E94549"/>
    <w:rsid w:val="00EB380F"/>
    <w:rsid w:val="00EE22D7"/>
    <w:rsid w:val="00EE4DEB"/>
    <w:rsid w:val="00EE6124"/>
    <w:rsid w:val="00EE6922"/>
    <w:rsid w:val="00F13235"/>
    <w:rsid w:val="00F3020F"/>
    <w:rsid w:val="00F67D94"/>
    <w:rsid w:val="00F75683"/>
    <w:rsid w:val="00F84CF6"/>
    <w:rsid w:val="00FC0A5E"/>
    <w:rsid w:val="00FC2FED"/>
    <w:rsid w:val="00FD3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56D7F"/>
  <w15:chartTrackingRefBased/>
  <w15:docId w15:val="{2E1FE165-CF07-439F-A806-E0B2FDD6A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CF6"/>
  </w:style>
  <w:style w:type="paragraph" w:styleId="Heading1">
    <w:name w:val="heading 1"/>
    <w:basedOn w:val="Normal"/>
    <w:next w:val="Normal"/>
    <w:link w:val="Heading1Char"/>
    <w:uiPriority w:val="9"/>
    <w:qFormat/>
    <w:rsid w:val="001140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84CF6"/>
    <w:rPr>
      <w:b/>
      <w:bCs/>
    </w:rPr>
  </w:style>
  <w:style w:type="paragraph" w:styleId="Title">
    <w:name w:val="Title"/>
    <w:basedOn w:val="Normal"/>
    <w:next w:val="Normal"/>
    <w:link w:val="TitleChar"/>
    <w:uiPriority w:val="10"/>
    <w:qFormat/>
    <w:rsid w:val="00F84C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4CF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1403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B3E77"/>
    <w:rPr>
      <w:color w:val="0563C1" w:themeColor="hyperlink"/>
      <w:u w:val="single"/>
    </w:rPr>
  </w:style>
  <w:style w:type="character" w:styleId="UnresolvedMention">
    <w:name w:val="Unresolved Mention"/>
    <w:basedOn w:val="DefaultParagraphFont"/>
    <w:uiPriority w:val="99"/>
    <w:semiHidden/>
    <w:unhideWhenUsed/>
    <w:rsid w:val="001B3E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093084">
      <w:bodyDiv w:val="1"/>
      <w:marLeft w:val="0"/>
      <w:marRight w:val="0"/>
      <w:marTop w:val="0"/>
      <w:marBottom w:val="0"/>
      <w:divBdr>
        <w:top w:val="none" w:sz="0" w:space="0" w:color="auto"/>
        <w:left w:val="none" w:sz="0" w:space="0" w:color="auto"/>
        <w:bottom w:val="none" w:sz="0" w:space="0" w:color="auto"/>
        <w:right w:val="none" w:sz="0" w:space="0" w:color="auto"/>
      </w:divBdr>
    </w:div>
    <w:div w:id="623121575">
      <w:bodyDiv w:val="1"/>
      <w:marLeft w:val="0"/>
      <w:marRight w:val="0"/>
      <w:marTop w:val="0"/>
      <w:marBottom w:val="0"/>
      <w:divBdr>
        <w:top w:val="none" w:sz="0" w:space="0" w:color="auto"/>
        <w:left w:val="none" w:sz="0" w:space="0" w:color="auto"/>
        <w:bottom w:val="none" w:sz="0" w:space="0" w:color="auto"/>
        <w:right w:val="none" w:sz="0" w:space="0" w:color="auto"/>
      </w:divBdr>
    </w:div>
    <w:div w:id="880551764">
      <w:bodyDiv w:val="1"/>
      <w:marLeft w:val="0"/>
      <w:marRight w:val="0"/>
      <w:marTop w:val="0"/>
      <w:marBottom w:val="0"/>
      <w:divBdr>
        <w:top w:val="none" w:sz="0" w:space="0" w:color="auto"/>
        <w:left w:val="none" w:sz="0" w:space="0" w:color="auto"/>
        <w:bottom w:val="none" w:sz="0" w:space="0" w:color="auto"/>
        <w:right w:val="none" w:sz="0" w:space="0" w:color="auto"/>
      </w:divBdr>
    </w:div>
    <w:div w:id="1585261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uk.practicallaw.thomsonreuters.com/5-636-2498?transitionType=Default&amp;contextData=(sc.Default)&amp;firstPage=tru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iffen.com/difference/Civil_Law_vs_Common_Law" TargetMode="External"/><Relationship Id="rId5" Type="http://schemas.openxmlformats.org/officeDocument/2006/relationships/hyperlink" Target="https://heinonline.org/HOL/LandingPage?handle=hein.journals/swulr19&amp;div=27&amp;id=&amp;page=" TargetMode="External"/><Relationship Id="rId4" Type="http://schemas.openxmlformats.org/officeDocument/2006/relationships/hyperlink" Target="https://web.ntpu.edu.tw/~markliu/common_v_civil.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983</Words>
  <Characters>5609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marea jones</dc:creator>
  <cp:keywords/>
  <dc:description/>
  <cp:lastModifiedBy>marea jones</cp:lastModifiedBy>
  <cp:revision>2</cp:revision>
  <dcterms:created xsi:type="dcterms:W3CDTF">2023-03-10T23:51:00Z</dcterms:created>
  <dcterms:modified xsi:type="dcterms:W3CDTF">2023-03-10T23:51:00Z</dcterms:modified>
</cp:coreProperties>
</file>