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038E6B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D867A3">
              <w:rPr>
                <w:b/>
                <w:color w:val="auto"/>
                <w:sz w:val="32"/>
              </w:rPr>
              <w:t xml:space="preserve"> Michael McNally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4E0328D" w:rsidR="005A1BA3" w:rsidRDefault="00D867A3" w:rsidP="00340E9A">
            <w:pPr>
              <w:overflowPunct/>
              <w:autoSpaceDE/>
              <w:autoSpaceDN/>
              <w:adjustRightInd/>
              <w:ind w:right="237"/>
              <w:textAlignment w:val="auto"/>
              <w:rPr>
                <w:b/>
                <w:color w:val="auto"/>
                <w:sz w:val="32"/>
              </w:rPr>
            </w:pPr>
            <w:r>
              <w:rPr>
                <w:b/>
                <w:color w:val="auto"/>
                <w:sz w:val="32"/>
              </w:rPr>
              <w:t>2023881</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F827BA"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671F7D98" w:rsidR="00AA666E" w:rsidRDefault="00025650" w:rsidP="00340E9A">
      <w:pPr>
        <w:ind w:right="237"/>
        <w:jc w:val="both"/>
        <w:rPr>
          <w:b/>
          <w:sz w:val="24"/>
          <w:szCs w:val="24"/>
        </w:rPr>
      </w:pPr>
      <w:r w:rsidRPr="00025650">
        <w:rPr>
          <w:b/>
          <w:sz w:val="24"/>
          <w:szCs w:val="24"/>
        </w:rPr>
        <w:t>ANSWER:</w:t>
      </w:r>
    </w:p>
    <w:p w14:paraId="3E2227BB" w14:textId="7A271C23" w:rsidR="005D0EFA" w:rsidRDefault="005D0EFA" w:rsidP="00623547">
      <w:pPr>
        <w:spacing w:line="360" w:lineRule="auto"/>
        <w:ind w:right="237"/>
        <w:jc w:val="both"/>
        <w:rPr>
          <w:b/>
          <w:sz w:val="24"/>
          <w:szCs w:val="24"/>
        </w:rPr>
      </w:pPr>
      <w:bookmarkStart w:id="0" w:name="_GoBack"/>
    </w:p>
    <w:p w14:paraId="1D03836A" w14:textId="77777777" w:rsidR="00623547" w:rsidRPr="00623547" w:rsidRDefault="00623547" w:rsidP="00623547">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623547">
        <w:rPr>
          <w:rFonts w:ascii="Calibri" w:eastAsia="Calibri" w:hAnsi="Calibri" w:cs="Times New Roman"/>
          <w:color w:val="auto"/>
          <w:sz w:val="22"/>
          <w:szCs w:val="22"/>
          <w:lang w:eastAsia="en-US"/>
        </w:rPr>
        <w:t xml:space="preserve">This essay will reflect my own coping strategies that I have applied, to minimise stress and build resilience while adapting to a role of a Police constable. I will be concentrating specifically on my tutorship period and using the Gibbs reflective cycle (1988) to review and analyse this period. </w:t>
      </w:r>
    </w:p>
    <w:p w14:paraId="2AD543EA" w14:textId="77777777" w:rsidR="00623547" w:rsidRPr="00623547" w:rsidRDefault="00623547" w:rsidP="00623547">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623547">
        <w:rPr>
          <w:rFonts w:ascii="Calibri" w:eastAsia="Calibri" w:hAnsi="Calibri" w:cs="Times New Roman"/>
          <w:color w:val="auto"/>
          <w:sz w:val="22"/>
          <w:szCs w:val="22"/>
          <w:lang w:eastAsia="en-US"/>
        </w:rPr>
        <w:t xml:space="preserve">Daily life as a Police constable can be demanding. There have been many adjustments required to my coping strategies over the tutorship period in comparison to the initial six month training period. During </w:t>
      </w:r>
      <w:r w:rsidRPr="00623547">
        <w:rPr>
          <w:rFonts w:ascii="Calibri" w:eastAsia="Calibri" w:hAnsi="Calibri" w:cs="Times New Roman"/>
          <w:color w:val="auto"/>
          <w:sz w:val="22"/>
          <w:szCs w:val="22"/>
          <w:lang w:eastAsia="en-US"/>
        </w:rPr>
        <w:tab/>
        <w:t>the initial six month I was able to plan ahead easily as the work period was set at 08:00hrs to 16:00hrs each day Monday to Friday. The tutorship period however follows the same shift pattern as a regular police constable, this consists of two day shifts, two evenings and two nights, followed by four rest days. Additionally, now that I am in the tutorship period I am actively attending real calls and incident as opposed to real life scenarios set by the training staff. Despite the preparation for this dealing with real incidents is a whole different dynamic. “Research based on self‐report data alone, demonstrate that police officers experience both physical and psycho‐social stress on the job, anticipating stress as they go about their work, while suffering anticipatory stress at the start of each shift. The results demonstrated that the highest levels of stress occur just prior to and during critical incidents, and that officers do not fully recover from that stress before leaving their shift”, (Gregory S. Anderson , Robin Litzenberger , Darryl Plecas 2002).</w:t>
      </w:r>
    </w:p>
    <w:p w14:paraId="529B29A5" w14:textId="77777777" w:rsidR="00623547" w:rsidRPr="00623547" w:rsidRDefault="00623547" w:rsidP="00623547">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623547">
        <w:rPr>
          <w:rFonts w:ascii="Calibri" w:eastAsia="Calibri" w:hAnsi="Calibri" w:cs="Times New Roman"/>
          <w:color w:val="auto"/>
          <w:sz w:val="22"/>
          <w:szCs w:val="22"/>
          <w:lang w:eastAsia="en-US"/>
        </w:rPr>
        <w:t xml:space="preserve">To counteract the adjustments in my shift pattern I have been experimenting with different sleep patterns.  I have endeavoured to get a full 8hrs sleep between each shift, to do this I have utilised a smart watch and sleep app to allow me to monitor my sleeping pattern. I feel this allows for better recovery and in turn prevents tiredness and exhaustion during the day. Not only do I feel that this coping strategy allows me to be more effective in work, but allows me relieve stress and be more </w:t>
      </w:r>
      <w:r w:rsidRPr="00623547">
        <w:rPr>
          <w:rFonts w:ascii="Calibri" w:eastAsia="Calibri" w:hAnsi="Calibri" w:cs="Times New Roman"/>
          <w:color w:val="auto"/>
          <w:sz w:val="22"/>
          <w:szCs w:val="22"/>
          <w:lang w:eastAsia="en-US"/>
        </w:rPr>
        <w:lastRenderedPageBreak/>
        <w:t xml:space="preserve">productive at home. </w:t>
      </w:r>
      <w:r w:rsidRPr="00623547">
        <w:rPr>
          <w:rFonts w:ascii="Calibri" w:eastAsia="Calibri" w:hAnsi="Calibri" w:cs="Times New Roman"/>
          <w:i/>
          <w:color w:val="auto"/>
          <w:sz w:val="22"/>
          <w:szCs w:val="22"/>
          <w:lang w:eastAsia="en-US"/>
        </w:rPr>
        <w:t>There is considerable research examining the link between sleep and health-related outcomes. For example, insufficient sleep has been linked to increased psychological stress (Cruess et al., 2003) and lower self-rated health (Steptoe, Peacey, &amp; Wardle, 2006).</w:t>
      </w:r>
    </w:p>
    <w:p w14:paraId="25997D47" w14:textId="77777777" w:rsidR="00623547" w:rsidRPr="00623547" w:rsidRDefault="00623547" w:rsidP="00623547">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623547">
        <w:rPr>
          <w:rFonts w:ascii="Calibri" w:eastAsia="Calibri" w:hAnsi="Calibri" w:cs="Times New Roman"/>
          <w:color w:val="auto"/>
          <w:sz w:val="22"/>
          <w:szCs w:val="22"/>
          <w:lang w:eastAsia="en-US"/>
        </w:rPr>
        <w:t xml:space="preserve">In theory I believe this strategy is valuable but in reality it is rather difficult to execute. I have found that sleeping after a regular day shift allows me to fully recover overnight, but allowing for a full 8hrs sleep after a late evening shift or nights is more difficult due to external factors, such as other family members going about their daily business during the morning/day, or simply the summer day heat. I also have to compromise on sleep after my final night shift, to allow me to return to my regular sleep pattern on my first rest day. Otherwise I lose the ability to sleep in the nigh on my rest days, losing valuable time with my family and increasing the stress factors on the whole household. </w:t>
      </w:r>
    </w:p>
    <w:p w14:paraId="0C67DA92" w14:textId="77777777" w:rsidR="00623547" w:rsidRPr="00623547" w:rsidRDefault="00623547" w:rsidP="00623547">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623547">
        <w:rPr>
          <w:rFonts w:ascii="Calibri" w:eastAsia="Calibri" w:hAnsi="Calibri" w:cs="Times New Roman"/>
          <w:color w:val="auto"/>
          <w:sz w:val="22"/>
          <w:szCs w:val="22"/>
          <w:lang w:eastAsia="en-US"/>
        </w:rPr>
        <w:t xml:space="preserve">Using the analysis provided by the smart watch app has allowed me to see where I am achieving my gaols and where I need to improve or change tact to achieve this. Although the accuracy of the technology is not exact it still provides me with a good base line data to make adjustments. </w:t>
      </w:r>
    </w:p>
    <w:p w14:paraId="0738DB59" w14:textId="77777777" w:rsidR="00623547" w:rsidRPr="00623547" w:rsidRDefault="00623547" w:rsidP="00623547">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623547">
        <w:rPr>
          <w:rFonts w:ascii="Calibri" w:eastAsia="Calibri" w:hAnsi="Calibri" w:cs="Times New Roman"/>
          <w:color w:val="auto"/>
          <w:sz w:val="22"/>
          <w:szCs w:val="22"/>
          <w:lang w:eastAsia="en-US"/>
        </w:rPr>
        <w:t xml:space="preserve">In conclusion I believe that this coping strategy has been effective in allowing me to develop resilience and minimise stress. The ability to have data has allowed me see where I am achieving my gaols and where I need to make adjustments. </w:t>
      </w:r>
    </w:p>
    <w:p w14:paraId="2B43A3AD" w14:textId="77777777" w:rsidR="00623547" w:rsidRPr="00623547" w:rsidRDefault="00623547" w:rsidP="00623547">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623547">
        <w:rPr>
          <w:rFonts w:ascii="Calibri" w:eastAsia="Calibri" w:hAnsi="Calibri" w:cs="Times New Roman"/>
          <w:color w:val="auto"/>
          <w:sz w:val="22"/>
          <w:szCs w:val="22"/>
          <w:lang w:eastAsia="en-US"/>
        </w:rPr>
        <w:t>Going forward I will benefit by continuing this coping strategy. Having my full time shift schedule after I finish my tutorship will allow me to plan and adjust this in more detail. Simple adjustment can be made to make this method more effective, such purchasing a fan/heater for the days where my sleep may be effected by the temperature, and discussing with the family how they could compromise their daily routine to allow me to sleep better after night shift.  I could possibly enhance the effectiveness of my sleep by using a sleep meditation recording, “</w:t>
      </w:r>
      <w:r w:rsidRPr="00623547">
        <w:rPr>
          <w:rFonts w:ascii="Calibri" w:eastAsia="Calibri" w:hAnsi="Calibri" w:cs="Times New Roman"/>
          <w:i/>
          <w:color w:val="auto"/>
          <w:sz w:val="22"/>
          <w:szCs w:val="22"/>
          <w:lang w:eastAsia="en-US"/>
        </w:rPr>
        <w:t>Meditation has been shown to improve the quality of sleep and also positively affect different medical conditions that are known to produce sleep disturbances, and thus improves overall quality of life”, (International Journal of Health Sciences &amp; Research (www.ijhsr.org) 368 Vol.7; Issue: 5; May 2017).</w:t>
      </w:r>
    </w:p>
    <w:bookmarkEnd w:id="0"/>
    <w:p w14:paraId="496F5ABB" w14:textId="77777777" w:rsidR="005D0EFA" w:rsidRPr="00025650" w:rsidRDefault="005D0EFA" w:rsidP="005D0EFA">
      <w:pPr>
        <w:spacing w:line="360" w:lineRule="auto"/>
        <w:ind w:right="237"/>
        <w:jc w:val="both"/>
        <w:rPr>
          <w:b/>
          <w:sz w:val="24"/>
          <w:szCs w:val="24"/>
        </w:rPr>
      </w:pPr>
    </w:p>
    <w:p w14:paraId="6D79F382" w14:textId="77777777" w:rsidR="005D0EFA" w:rsidRDefault="005D0EFA" w:rsidP="005D0EFA">
      <w:pPr>
        <w:spacing w:line="360" w:lineRule="auto"/>
      </w:pPr>
    </w:p>
    <w:p w14:paraId="616003F9" w14:textId="119F7C4F" w:rsidR="00FF7784" w:rsidRPr="005D0EFA" w:rsidRDefault="005D0EFA" w:rsidP="005D0EFA">
      <w:pPr>
        <w:spacing w:line="360" w:lineRule="auto"/>
        <w:ind w:right="237"/>
        <w:jc w:val="both"/>
      </w:pPr>
      <w:r w:rsidRPr="005D0EFA">
        <w:t>Word count 752</w:t>
      </w:r>
    </w:p>
    <w:p w14:paraId="3B855813" w14:textId="77777777" w:rsidR="00FF7784" w:rsidRPr="00270EEB" w:rsidRDefault="00FF7784" w:rsidP="005D0EFA">
      <w:pPr>
        <w:spacing w:line="360" w:lineRule="auto"/>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732B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20598AC9" w:rsidR="00450C83" w:rsidRDefault="00450C83" w:rsidP="00340E9A">
      <w:pPr>
        <w:ind w:right="237"/>
        <w:jc w:val="both"/>
        <w:rPr>
          <w:b/>
          <w:sz w:val="24"/>
          <w:szCs w:val="24"/>
        </w:rPr>
      </w:pPr>
      <w:r w:rsidRPr="00450C83">
        <w:rPr>
          <w:b/>
          <w:sz w:val="24"/>
          <w:szCs w:val="24"/>
        </w:rPr>
        <w:t>ANSWER:</w:t>
      </w:r>
    </w:p>
    <w:p w14:paraId="262E15FD" w14:textId="17C74652" w:rsidR="00D17A46" w:rsidRDefault="00D17A46" w:rsidP="00340E9A">
      <w:pPr>
        <w:ind w:right="237"/>
        <w:jc w:val="both"/>
        <w:rPr>
          <w:b/>
          <w:sz w:val="24"/>
          <w:szCs w:val="24"/>
        </w:rPr>
      </w:pPr>
    </w:p>
    <w:p w14:paraId="52E16E90" w14:textId="77777777" w:rsidR="00D17A46" w:rsidRPr="00450C83" w:rsidRDefault="00D17A46" w:rsidP="00340E9A">
      <w:pPr>
        <w:ind w:right="237"/>
        <w:jc w:val="both"/>
        <w:rPr>
          <w:b/>
          <w:sz w:val="24"/>
          <w:szCs w:val="24"/>
        </w:rPr>
      </w:pPr>
    </w:p>
    <w:p w14:paraId="62FA9579"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 xml:space="preserve">During this essay I will be using the Gibbs reflective cycle 1988 to analyse a policing incident that I was involved in where vulnerability and risk, understanding the police role, communication skills, decision making and discretion, and public protection were key factors. </w:t>
      </w:r>
    </w:p>
    <w:p w14:paraId="424527BC"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D17A46">
        <w:rPr>
          <w:rFonts w:ascii="Calibri" w:eastAsia="Calibri" w:hAnsi="Calibri" w:cs="Times New Roman"/>
          <w:color w:val="auto"/>
          <w:sz w:val="22"/>
          <w:szCs w:val="22"/>
          <w:lang w:eastAsia="en-US"/>
        </w:rPr>
        <w:t xml:space="preserve">I was asked to attend a call whereby a Romanian female had asked for police attendance to her place of work. She had received a text message from her partner stating that if she did not pay him money, he would kill her. The female had stated to the call handler that her partner was planning to pick her up from work as he typically does, and she feared that he would carry out the threat as he </w:t>
      </w:r>
      <w:r w:rsidRPr="00D17A46">
        <w:rPr>
          <w:rFonts w:ascii="Calibri" w:eastAsia="Calibri" w:hAnsi="Calibri" w:cs="Times New Roman"/>
          <w:color w:val="auto"/>
          <w:sz w:val="22"/>
          <w:szCs w:val="22"/>
          <w:lang w:eastAsia="en-US"/>
        </w:rPr>
        <w:lastRenderedPageBreak/>
        <w:t xml:space="preserve">has recently become more violent at home. During the statement the female disclosed that her partner had also been sexually assaulting her and suggested that she should sleep with other men for money. Messages on her phone also confirmed this and suggested that her partner was willing to organise and facilitate these meetings. </w:t>
      </w:r>
      <w:r w:rsidRPr="00D17A46">
        <w:rPr>
          <w:rFonts w:ascii="Calibri" w:eastAsia="Calibri" w:hAnsi="Calibri" w:cs="Times New Roman"/>
          <w:i/>
          <w:color w:val="auto"/>
          <w:sz w:val="22"/>
          <w:szCs w:val="22"/>
          <w:lang w:eastAsia="en-US"/>
        </w:rPr>
        <w:t>Frontline organisations described the factors that can make Romanian women and girls vulnerable to traffickers. Factors included childhood sexual abuse, domestic violence, economic difficulties, addiction and a lack of support networks. Women are often recruited into sexual exploitation by partners who coerce and groom them, (“Close This Market” Report on tackling the sexual exploitation of Romanian women by men in the UK)</w:t>
      </w:r>
    </w:p>
    <w:p w14:paraId="72123CE6"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D17A46">
        <w:rPr>
          <w:rFonts w:ascii="Calibri" w:eastAsia="Calibri" w:hAnsi="Calibri" w:cs="Times New Roman"/>
          <w:i/>
          <w:color w:val="auto"/>
          <w:sz w:val="22"/>
          <w:szCs w:val="22"/>
          <w:lang w:eastAsia="en-US"/>
        </w:rPr>
        <w:t>.</w:t>
      </w:r>
    </w:p>
    <w:p w14:paraId="40B72915"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 xml:space="preserve">Through this disclosure it was apparent that at least three potential crimes had been committed that violated UK legislation. Threats to kill (under s.16 of the Offences Against the Person Act 1861) domestic violence and the possible use of coercive control (under s.76 of the Serious Crime Act 2015), as the text from the partner demonstrated the use of blackmail for his gain, intimidation and attempts of controlling the victim’s finances (Woman’s AID, n.d.). This treatment was also breaching the victims Human Rights according to Article 3 of the Human Rights Act </w:t>
      </w:r>
      <w:r w:rsidRPr="00D17A46">
        <w:rPr>
          <w:rFonts w:ascii="Calibri" w:eastAsia="Calibri" w:hAnsi="Calibri" w:cs="Times New Roman"/>
          <w:bCs/>
          <w:color w:val="auto"/>
          <w:sz w:val="22"/>
          <w:szCs w:val="22"/>
          <w:lang w:eastAsia="en-US"/>
        </w:rPr>
        <w:t>this</w:t>
      </w:r>
      <w:r w:rsidRPr="00D17A46">
        <w:rPr>
          <w:rFonts w:ascii="Calibri" w:eastAsia="Calibri" w:hAnsi="Calibri" w:cs="Times New Roman"/>
          <w:b/>
          <w:bCs/>
          <w:color w:val="auto"/>
          <w:sz w:val="22"/>
          <w:szCs w:val="22"/>
          <w:lang w:eastAsia="en-US"/>
        </w:rPr>
        <w:t xml:space="preserve"> </w:t>
      </w:r>
      <w:r w:rsidRPr="00D17A46">
        <w:rPr>
          <w:rFonts w:ascii="Calibri" w:eastAsia="Calibri" w:hAnsi="Calibri" w:cs="Times New Roman"/>
          <w:bCs/>
          <w:color w:val="auto"/>
          <w:sz w:val="22"/>
          <w:szCs w:val="22"/>
          <w:lang w:eastAsia="en-US"/>
        </w:rPr>
        <w:t>right protects against very serious harm, including abuse and neglect.</w:t>
      </w:r>
    </w:p>
    <w:p w14:paraId="4DAFE943"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 xml:space="preserve">Due to the information provided and using the THRIVE risk assessment (Threat, Harm, Risk, Investigation, Vulnerability and Engagement), the control room allocated this call as an immediate response. Control informed me that the female spoke broken English and there was a severe communication barrier. This was confirmed upon arrival to the incident, where communication was difficult and challenging. Considering this factor and the potential risk to the female, it was decided that the investigation would benefit from the female being relocated to the police station. This allowed for victim statement to be obtained, using an interpreter, to resolve the communication barrier and provide clear and precise information on the incident. Conducting the investigation in this manner also provided a safe environment for the female, while permanent safeguarding measures were put in place. </w:t>
      </w:r>
    </w:p>
    <w:p w14:paraId="709498FC"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 xml:space="preserve">Although the female spoke very little English, it was clear to see that she was in distress. Her body language and demeanour suggested that she was frightened and vulnerable. This was particularly important as the female confessed to being the victim of sexual assault and sexual exploitation and I and my colleague are men. I attempted to change my body language, by smiling, moving slower and talking in a gentler voice, to non-verbally communicate that I was approachable and friendly. I felt </w:t>
      </w:r>
      <w:r w:rsidRPr="00D17A46">
        <w:rPr>
          <w:rFonts w:ascii="Calibri" w:eastAsia="Calibri" w:hAnsi="Calibri" w:cs="Times New Roman"/>
          <w:color w:val="auto"/>
          <w:sz w:val="22"/>
          <w:szCs w:val="22"/>
          <w:lang w:eastAsia="en-US"/>
        </w:rPr>
        <w:lastRenderedPageBreak/>
        <w:t xml:space="preserve">that this eased some of her fear and made her more comfortable around me, further building a rapport (College of Policing, 2021a). </w:t>
      </w:r>
    </w:p>
    <w:p w14:paraId="0FBE0019"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 xml:space="preserve">This disclosure changed the dynamic of the investigation. At this point I felt that I was unprepared for the severity of the investigation required, as the crimes presented were of a serious nature and I was still in the infancy of my career. It was important to show the female that I had genuine empathy for her situation, and not to give any signs that I felt out of my depth. I achieved this by actively listening, nodding my head when she replied to questions and asking the interpreter to relay a message that she was brave in her responses as it was a difficult subject to discuss (College of Policing, 2021a). I was also aware that I would need to relay these disclosures further up the chain of command. I went to seek advice from my Sargent who in turn contacted CID who would later take over the investigation. </w:t>
      </w:r>
    </w:p>
    <w:p w14:paraId="07167F00"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The fact that CID were going to take over the investigation made me feel at ease and would enable me to concentrate on safeguarding the female. This began by tasking other team members to initiate arrest enquiries for the male, there was enough evidence to justify an arrest with the female’s disclosure and the text messages on her phone. I utilised the Golden Hour Principles as I believed that the suspect would now be aware that we were investigating him, and allow us to retrieve any evidence before it was destroyed. This would also allow for the suspect to give his explanation of events, although the evidence so far had suggested he had committed a crime, it could not be ruled out that he was innocent and there was a justifiable excuse and I had to remain impartial and objective.</w:t>
      </w:r>
    </w:p>
    <w:p w14:paraId="0512D428"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I felt that it would be in the female’s interest for me to stay at the station as we had already gained a rapport, this would help with her cooperation with the CID officers when they arrived. I also used the time to organise accommodation at a women’s refuge through Women’s AID as her returning to home risked further harm. As this was my first time contacting the service, I felt great disappointment and embarrassment when I had to explain to the female that she would be required to pay for her accommodation after the initial 24hr stay, as she was working full time and not claiming any government benefits. Her situation, due to her accounts of the control her partner had over her finances, demonstrated that this may be challenging and difficult for her to afford. Nevertheless, it was a relief that the victim would have a refuge to attend and could seek further professional advice from Women’s Aid for her situation and future safeguarding.</w:t>
      </w:r>
    </w:p>
    <w:p w14:paraId="3E61BC00"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 xml:space="preserve">The experience of this incident gave me an insight in to crime that typically is not dealt with by response officers, and allowed me to be part of a much broader investigation than I have typically </w:t>
      </w:r>
      <w:r w:rsidRPr="00D17A46">
        <w:rPr>
          <w:rFonts w:ascii="Calibri" w:eastAsia="Calibri" w:hAnsi="Calibri" w:cs="Times New Roman"/>
          <w:color w:val="auto"/>
          <w:sz w:val="22"/>
          <w:szCs w:val="22"/>
          <w:lang w:eastAsia="en-US"/>
        </w:rPr>
        <w:lastRenderedPageBreak/>
        <w:t xml:space="preserve">dealt with. There were difficulties with communication and this may have been easier to deal with providing both the victim and I spoke the same language, but with the use of the interpreter the same outcome was achieved. The frustration with the victim having to pay for refuge is still to this day disappointing but the fact that she had a place of safety to attend, and other police actions such as the arrest enquiries benefit both the victim and the public. </w:t>
      </w:r>
    </w:p>
    <w:p w14:paraId="4676320D"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 xml:space="preserve">Considering the initial call compared to what the investigation later revealed, it showed that the dynamics of a situation can change massively. This incident seemed to be a relatively simple, a concern for safety call, that as a response officer I would attend on a weekly basis, but I was not expecting to explore the routes of exploitation and sexual abuse. </w:t>
      </w:r>
    </w:p>
    <w:p w14:paraId="3F6B05B3" w14:textId="77777777" w:rsidR="00D17A46" w:rsidRPr="00D17A46" w:rsidRDefault="00D17A46" w:rsidP="00D17A46">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D17A46">
        <w:rPr>
          <w:rFonts w:ascii="Calibri" w:eastAsia="Calibri" w:hAnsi="Calibri" w:cs="Times New Roman"/>
          <w:color w:val="auto"/>
          <w:sz w:val="22"/>
          <w:szCs w:val="22"/>
          <w:lang w:eastAsia="en-US"/>
        </w:rPr>
        <w:t>During this incident I learnt the importance of a continuous dynamic risk assessment. Not only had it been important for gathering evidence it was also important for securing the safety of the victim and possibly other members of the community that may be involved. It also highlighted areas of my own policing knowledge that required improvement, such as contacting other agencies and working with other departments within the police. However, this experience will give me the confidence to deal with similar incident more effectively. I will be able to offer greater advice to the victims now I know how other organisations work, and will know where and when to seek assistance from departments/organisations.</w:t>
      </w:r>
    </w:p>
    <w:p w14:paraId="6A73DBDF" w14:textId="06643336" w:rsidR="00AA666E" w:rsidRPr="00D17A46" w:rsidRDefault="00D17A46" w:rsidP="00340E9A">
      <w:pPr>
        <w:ind w:right="237"/>
        <w:jc w:val="both"/>
      </w:pPr>
      <w:r w:rsidRPr="00D17A46">
        <w:t>Word count 1323</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3AF2A7B8" w:rsidR="00025650" w:rsidRDefault="00025650" w:rsidP="00340E9A">
      <w:pPr>
        <w:ind w:right="237"/>
        <w:jc w:val="both"/>
        <w:rPr>
          <w:sz w:val="24"/>
          <w:szCs w:val="24"/>
        </w:rPr>
      </w:pPr>
    </w:p>
    <w:p w14:paraId="1200DEFB"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During this essay I will be using the Gibbs reflective cycle to analyse a suspect interview that I was involved with. The key aspects I will be concentrating on are conducting investigations, communication skills and decision making and discretion, I will also be demonstrating how I used the PEACE model for interviewing to assist in planning and conducting the an interview and followed the investigating and interviewing principles as laid out by the collage of policing. </w:t>
      </w:r>
    </w:p>
    <w:p w14:paraId="4676F529"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I had been asked to conduct an interview on a suspect of domestic violence. I had played no part in the arrest and initially unaware of the circumstances or allegations. After reviewing the brief circumstances, as part of the handover package from the arresting officer I could see that the suspect was a pregnant female who had been accused of punching her partner, causing minor injury to his face. This was the first time during my policing that I had personally come across a case where the suspect was a woman and the victim a male. It shocked me, as women in domestic abuse incidents, are disproportionately more likely to be victims rather than perpetrators (Perryman &amp; Appleton, 2016). </w:t>
      </w:r>
    </w:p>
    <w:p w14:paraId="5CA805A7"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lastRenderedPageBreak/>
        <w:t xml:space="preserve">On further investigation I discovered that I had previously dealt with the suspect and the victim for other domestic related incidents. In all past occasions that had been reported to the police, the suspect was the victim, but as is common in domestic incidents she had refused to peruse a complaint against her partner and no further action was taken due to lack of evidence (Turner et al., 2019). The victim on this occasion had a long history of being the domestic abuse aggressor in not only this relationship but also his previous relationships. He was also well known to the police for other offences. </w:t>
      </w:r>
    </w:p>
    <w:p w14:paraId="34EDB6C1"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To prepare for the interview I reviewed all the available statements from officers at the scene, and also their body worn video footage, along with statement and results of the house-to-house enquiries that officers had conducted. The victim himself refused to provide a statement or provide any photographs of the injury, and had only given a brief disclosure of the incident to officers at the scene. After gathering all relevant information to the case, I began to prepare my interview questions following the first stage of the PEACE interview framework: planning and preparation (College of Policing, 2021b). The line of enquiry for questioning would cover the events of that incident. I also covered the history of their relationship, to establish a possible motive, and give the suspect her opportunity to relay her series of events and possible defences. </w:t>
      </w:r>
    </w:p>
    <w:p w14:paraId="1E88D0D9"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Before conducting the interview, it was important to review the welfare of the suspect. She was heavily pregnant and under a considerable amount of stress due to the allegations and arrest. This deemed the suspect to be a very vulnerable person. Considering these factors, I firstly introduced myself to the suspect and explained the process that was ahead. I ensured that the custody nurse conducted a health check and she was fit for interview, this is in accordance with s.9 of the PACE Act 1984 Code C (Home Office, 2019). All suspects need to be fit for interview prior to conducting the interview but specifically in this case as the additional stress could have serious implications on the suspects health and her baby (ibid).</w:t>
      </w:r>
    </w:p>
    <w:p w14:paraId="01C0DA4B"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There was no forensic evidence and no victim statement, which increased the difficulty of the case (Birdsall et al., 2020). As a result, the case was heavily dependent on the interview with the suspect. These factors were highlighted by the solicitor during the disclosure, and the solicitor was aware that if his client made ‘no comment’ during the interview, that it was highly unlikely that a prosecution would not be perused as there would be a lack of evidence to convict. During the interview the suspect had taken on board her solicitors’ advice and exercised her rights under caution not to comment on all questions put forward. This give difficulty to the challenging faze of the PEACE interview process. As a result of this and the lack of forensic evidence or evidence in general no </w:t>
      </w:r>
      <w:r w:rsidRPr="00E03DFD">
        <w:rPr>
          <w:rFonts w:ascii="Calibri" w:eastAsia="Calibri" w:hAnsi="Calibri" w:cs="Times New Roman"/>
          <w:color w:val="auto"/>
          <w:sz w:val="22"/>
          <w:szCs w:val="22"/>
          <w:lang w:eastAsia="en-US"/>
        </w:rPr>
        <w:lastRenderedPageBreak/>
        <w:t>prosecution was perused. She was then conveyed to her designated place of safety and advised not to contact the victim. This made engaging with the account, clarify and challenge part of the PEACE interview framework (College of Policing, 2021b) difficult and highlighted my need to improve my technique in this area of the interviewing process.</w:t>
      </w:r>
    </w:p>
    <w:p w14:paraId="5E833155"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When I was assigned this case, I remember feeling anxious about conducting the interview, as I had only conducted several simple interviews over the tutorship, and had very little experience. I felt extra pressure as the suspect was in such a vulnerable position with her pregnancy and was unsure if I was ready to take on the interview. The process of preparing for the interview was less daunting, the majority of the work had been done by the arresting officers and all I had to do was make sense of the situation.</w:t>
      </w:r>
    </w:p>
    <w:p w14:paraId="6A086BA9"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When I discovered that I had previous dealings with the suspect I felt this would give me and advantage in the interview, as I hoped she would feel comfortable enough to talk freely with me. I also believe I felt an unconscious bias towards the suspect due to my previous dealings with her partner. Although this was the case it did not impact my decision making in the process as I remained professional and objective to the context and facts of the case following the police values of being impartial and fair. Generally, if a suspect gives answers during the interview, it can open other avenues of investigation and questioning. Despite the suspect making no comment, I found that the preparation of questions before hand assisted with the flow of the interview. </w:t>
      </w:r>
    </w:p>
    <w:p w14:paraId="601724CF"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During the interview, the solicitor at one point had his head in his hands, at the time I thought that the interview was going badly and this was his reaction. I tried not to let it affect the interview and continued with my questioning, I rationalised in my own mind that it was the early hours in the morning and he was tired. I later learnt that solicitors can use all sorts of manipulations and reactions to throw police officers off their trail of thought when questioning their client**. On a positive note, this experience has given me the confidence to overlook what the solicitor is doing during the interview and concentrate on my role during the interview process. </w:t>
      </w:r>
    </w:p>
    <w:p w14:paraId="72EC010C"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In conclusion the outcome of the interview did not assist with pursuing the case further. It would not have been in the public interest to charge the suspect despite the allegations. In retrospect I welcomed the outcome of the case, as I believed the suspect had been wrongly accused and knowing the history of both parties it was likely that she was again the victim in this situation. </w:t>
      </w:r>
    </w:p>
    <w:p w14:paraId="62F1201E"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I have no doubt that I will likely deal with this kind of situation in the future. I would have to consider each case individually but if the time is available, I would prefer to play a larger part in the initial investigation, and speak with victims and witnesses myself. This would provide me with a first-hand </w:t>
      </w:r>
      <w:r w:rsidRPr="00E03DFD">
        <w:rPr>
          <w:rFonts w:ascii="Calibri" w:eastAsia="Calibri" w:hAnsi="Calibri" w:cs="Times New Roman"/>
          <w:color w:val="auto"/>
          <w:sz w:val="22"/>
          <w:szCs w:val="22"/>
          <w:lang w:eastAsia="en-US"/>
        </w:rPr>
        <w:lastRenderedPageBreak/>
        <w:t>account of events and give me the ability to broaden my questioning. As I have conducted more interviews since I am now aware that being confident during the interview can affect the response from the suspect. Going forward, maintaining a confidence during the Interview will be a key focus for me, even if I do not feel confident I will have to portray someone who does.</w:t>
      </w:r>
    </w:p>
    <w:p w14:paraId="06E36970" w14:textId="4C6D7AC1" w:rsidR="00F827BA" w:rsidRDefault="00F827BA" w:rsidP="00E03DFD">
      <w:pPr>
        <w:spacing w:line="360" w:lineRule="auto"/>
      </w:pPr>
    </w:p>
    <w:p w14:paraId="1F0B11F6" w14:textId="58DFB161" w:rsidR="00F827BA" w:rsidRDefault="00F827BA" w:rsidP="00E03DFD">
      <w:pPr>
        <w:spacing w:line="360" w:lineRule="auto"/>
      </w:pPr>
      <w:r>
        <w:t>Word count 1286</w:t>
      </w:r>
    </w:p>
    <w:p w14:paraId="33DFA4F7" w14:textId="77777777" w:rsidR="00F827BA" w:rsidRPr="00270EEB" w:rsidRDefault="00F827BA" w:rsidP="00E03DFD">
      <w:pPr>
        <w:spacing w:line="360" w:lineRule="auto"/>
        <w:ind w:right="237"/>
        <w:jc w:val="both"/>
        <w:rPr>
          <w:sz w:val="24"/>
          <w:szCs w:val="24"/>
        </w:rPr>
      </w:pPr>
    </w:p>
    <w:p w14:paraId="4E9085BF" w14:textId="77777777" w:rsidR="00025650" w:rsidRPr="00270EEB" w:rsidRDefault="00025650" w:rsidP="00E03DFD">
      <w:pPr>
        <w:spacing w:line="360" w:lineRule="auto"/>
        <w:ind w:right="237"/>
        <w:jc w:val="both"/>
        <w:rPr>
          <w:sz w:val="24"/>
          <w:szCs w:val="24"/>
        </w:rPr>
      </w:pPr>
    </w:p>
    <w:p w14:paraId="1967E2A8" w14:textId="77777777" w:rsidR="00025650" w:rsidRPr="00270EEB" w:rsidRDefault="00025650" w:rsidP="00E03DFD">
      <w:pPr>
        <w:spacing w:line="360" w:lineRule="auto"/>
        <w:ind w:right="237"/>
        <w:jc w:val="both"/>
        <w:rPr>
          <w:sz w:val="24"/>
          <w:szCs w:val="24"/>
        </w:rPr>
      </w:pPr>
    </w:p>
    <w:p w14:paraId="416EFA95" w14:textId="77777777" w:rsidR="00025650" w:rsidRPr="00270EEB" w:rsidRDefault="00025650" w:rsidP="00E03DFD">
      <w:pPr>
        <w:spacing w:line="360" w:lineRule="auto"/>
        <w:ind w:right="237"/>
        <w:jc w:val="both"/>
        <w:rPr>
          <w:sz w:val="24"/>
          <w:szCs w:val="24"/>
        </w:rPr>
      </w:pPr>
    </w:p>
    <w:p w14:paraId="598FFEC5" w14:textId="77777777" w:rsidR="00025650" w:rsidRPr="00270EEB" w:rsidRDefault="00025650" w:rsidP="00E03DFD">
      <w:pPr>
        <w:spacing w:line="360" w:lineRule="auto"/>
        <w:ind w:right="237"/>
        <w:jc w:val="both"/>
        <w:rPr>
          <w:sz w:val="24"/>
          <w:szCs w:val="24"/>
        </w:rPr>
      </w:pPr>
    </w:p>
    <w:p w14:paraId="042DA0D7" w14:textId="77777777" w:rsidR="00025650" w:rsidRPr="00270EEB" w:rsidRDefault="00025650" w:rsidP="00E03DFD">
      <w:pPr>
        <w:spacing w:line="360" w:lineRule="auto"/>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2456BDEA" w:rsidR="00025650" w:rsidRDefault="00025650" w:rsidP="00340E9A">
      <w:pPr>
        <w:ind w:right="237"/>
        <w:jc w:val="both"/>
        <w:rPr>
          <w:sz w:val="24"/>
          <w:szCs w:val="24"/>
        </w:rPr>
      </w:pPr>
    </w:p>
    <w:p w14:paraId="2EC06DB6" w14:textId="073FCA3A" w:rsidR="00724CFF" w:rsidRDefault="00724CFF" w:rsidP="00340E9A">
      <w:pPr>
        <w:ind w:right="237"/>
        <w:jc w:val="both"/>
        <w:rPr>
          <w:sz w:val="24"/>
          <w:szCs w:val="24"/>
        </w:rPr>
      </w:pPr>
    </w:p>
    <w:p w14:paraId="496BC9B7" w14:textId="349BC163"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In this essay I will be reflecting on an incident that I was involved with, that is part of wider operation to tackle anti-social behaviour in the area. I will be using the Gibbs reflective cycle</w:t>
      </w:r>
      <w:r w:rsidR="00BB7D32">
        <w:rPr>
          <w:rFonts w:ascii="Calibri" w:eastAsia="Calibri" w:hAnsi="Calibri" w:cs="Times New Roman"/>
          <w:color w:val="auto"/>
          <w:sz w:val="22"/>
          <w:szCs w:val="22"/>
          <w:lang w:eastAsia="en-US"/>
        </w:rPr>
        <w:t xml:space="preserve"> (1988)</w:t>
      </w:r>
      <w:r w:rsidRPr="00724CFF">
        <w:rPr>
          <w:rFonts w:ascii="Calibri" w:eastAsia="Calibri" w:hAnsi="Calibri" w:cs="Times New Roman"/>
          <w:color w:val="auto"/>
          <w:sz w:val="22"/>
          <w:szCs w:val="22"/>
          <w:lang w:eastAsia="en-US"/>
        </w:rPr>
        <w:t xml:space="preserve"> to achieve and understand my strengths and weaknesses in order</w:t>
      </w:r>
      <w:r w:rsidR="00BB7D32">
        <w:rPr>
          <w:rFonts w:ascii="Calibri" w:eastAsia="Calibri" w:hAnsi="Calibri" w:cs="Times New Roman"/>
          <w:color w:val="auto"/>
          <w:sz w:val="22"/>
          <w:szCs w:val="22"/>
          <w:lang w:eastAsia="en-US"/>
        </w:rPr>
        <w:t xml:space="preserve"> improve my future performance.</w:t>
      </w:r>
    </w:p>
    <w:p w14:paraId="47263C1C" w14:textId="774BD854"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lastRenderedPageBreak/>
        <w:t xml:space="preserve">In the area that I work there is an overwhelming issue with drug and alcohol abuse among the homeless population near the town centre. This issue has been exasperated unfortunately by the availability of charity services for the homeless that have opened in the area. Due to the benefits of these services it may have drawn a number of homeless people from other areas to the town centre. </w:t>
      </w:r>
      <w:r w:rsidR="00BB7D32">
        <w:rPr>
          <w:rFonts w:ascii="Calibri" w:eastAsia="Calibri" w:hAnsi="Calibri" w:cs="Times New Roman"/>
          <w:color w:val="auto"/>
          <w:sz w:val="22"/>
          <w:szCs w:val="22"/>
          <w:lang w:eastAsia="en-US"/>
        </w:rPr>
        <w:t xml:space="preserve">Although this has not been proven, with regular interactions and discussion with these people this has been identified as the main contributor to them frequenting the area. </w:t>
      </w:r>
      <w:r w:rsidRPr="00724CFF">
        <w:rPr>
          <w:rFonts w:ascii="Calibri" w:eastAsia="Calibri" w:hAnsi="Calibri" w:cs="Times New Roman"/>
          <w:color w:val="auto"/>
          <w:sz w:val="22"/>
          <w:szCs w:val="22"/>
          <w:lang w:eastAsia="en-US"/>
        </w:rPr>
        <w:t>While it is unfair to discriminate against the homeless people, due to their circumstances and in my experience so far they are more likely commit crime and cause unnecessary harassment to the public.</w:t>
      </w:r>
    </w:p>
    <w:p w14:paraId="20DCD4B7"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724CFF">
        <w:rPr>
          <w:rFonts w:ascii="Calibri" w:eastAsia="Calibri" w:hAnsi="Calibri" w:cs="Times New Roman"/>
          <w:color w:val="auto"/>
          <w:sz w:val="22"/>
          <w:szCs w:val="22"/>
          <w:lang w:eastAsia="en-US"/>
        </w:rPr>
        <w:t>The type of crime that is committed can range from shoplifting and petty theft to more serious crimes such as assault and prostitution. It’s not always the homeless that commit the crime, there have been many occasions where they have become victims of crime. Typically they become targets of abuse from youths, where they have been physically or verbally assaulted, “</w:t>
      </w:r>
      <w:r w:rsidRPr="00724CFF">
        <w:rPr>
          <w:rFonts w:ascii="Calibri" w:eastAsia="Calibri" w:hAnsi="Calibri" w:cs="Times New Roman"/>
          <w:i/>
          <w:color w:val="auto"/>
          <w:sz w:val="22"/>
          <w:szCs w:val="22"/>
          <w:lang w:eastAsia="en-US"/>
        </w:rPr>
        <w:t>Nearly four in every five people sleeping rough in the UK had been a victim of crim”, (Ballintyne, S. (1999) Unsafe streets)</w:t>
      </w:r>
    </w:p>
    <w:p w14:paraId="52D94274"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724CFF">
        <w:rPr>
          <w:rFonts w:ascii="Calibri" w:eastAsia="Calibri" w:hAnsi="Calibri" w:cs="Times New Roman"/>
          <w:color w:val="auto"/>
          <w:sz w:val="22"/>
          <w:szCs w:val="22"/>
          <w:lang w:eastAsia="en-US"/>
        </w:rPr>
        <w:t>The impact of this increase in crime has led to members of the public avoiding the town centre as they fear becoming a victim of crime. This has also had a negative effect on local business as the daytime economy has dwindled. This is known as the Broken window theory, ”</w:t>
      </w:r>
      <w:r w:rsidRPr="00724CFF">
        <w:rPr>
          <w:rFonts w:ascii="Calibri" w:eastAsia="Calibri" w:hAnsi="Calibri" w:cs="Times New Roman"/>
          <w:i/>
          <w:color w:val="auto"/>
          <w:sz w:val="22"/>
          <w:szCs w:val="22"/>
          <w:lang w:eastAsia="en-US"/>
        </w:rPr>
        <w:t>According to broken windows theory, heightened perceptions of disorder, increased fear of crime and diminished community social control are significant inhibitors of public participation in crime prevention arising directly from concerns for personal safety and sense of futility associated with the effort required”.(</w:t>
      </w:r>
      <w:r w:rsidRPr="00724CFF">
        <w:rPr>
          <w:rFonts w:ascii="Calibri" w:eastAsia="Calibri" w:hAnsi="Calibri" w:cs="Times New Roman"/>
          <w:color w:val="auto"/>
          <w:sz w:val="22"/>
          <w:szCs w:val="22"/>
          <w:lang w:eastAsia="en-US"/>
        </w:rPr>
        <w:t xml:space="preserve"> Ren, L., Zhao, J.S. and He, N.P., 2019).</w:t>
      </w:r>
    </w:p>
    <w:p w14:paraId="73D72B0A"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As a result, police have initiated new strategies in an attempt to reduce crime and prevent reoccurring offences. The police have utilised evidence based policing strategies that have been implemented in other areas of the country such as extra visible patrols in the town centre, additional CCTV and issuing fixed penalty notices to offenders that are caught drinking in public. In certain cases the police have requested specific banning orders for more prolific offenders to stay away from the area. The use of the SARA policing model derived from problem oriented policing has provided the structure to base these strategies on.</w:t>
      </w:r>
    </w:p>
    <w:p w14:paraId="209B02BD"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724CFF">
        <w:rPr>
          <w:rFonts w:ascii="Calibri" w:eastAsia="Calibri" w:hAnsi="Calibri" w:cs="Times New Roman"/>
          <w:i/>
          <w:color w:val="auto"/>
          <w:sz w:val="22"/>
          <w:szCs w:val="22"/>
          <w:lang w:eastAsia="en-US"/>
        </w:rPr>
        <w:t>The SARA model employs four stages:</w:t>
      </w:r>
    </w:p>
    <w:p w14:paraId="75C4D9E9" w14:textId="77777777" w:rsidR="00724CFF" w:rsidRPr="00724CFF" w:rsidRDefault="00724CFF" w:rsidP="00724CFF">
      <w:pPr>
        <w:numPr>
          <w:ilvl w:val="0"/>
          <w:numId w:val="5"/>
        </w:num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724CFF">
        <w:rPr>
          <w:rFonts w:ascii="Calibri" w:eastAsia="Calibri" w:hAnsi="Calibri" w:cs="Times New Roman"/>
          <w:i/>
          <w:color w:val="auto"/>
          <w:sz w:val="22"/>
          <w:szCs w:val="22"/>
          <w:lang w:eastAsia="en-US"/>
        </w:rPr>
        <w:t>Scanning: the identifying and prioritising of potential crime and disorder problems </w:t>
      </w:r>
    </w:p>
    <w:p w14:paraId="1BE8A3E7" w14:textId="77777777" w:rsidR="00724CFF" w:rsidRPr="00724CFF" w:rsidRDefault="00724CFF" w:rsidP="00724CFF">
      <w:pPr>
        <w:numPr>
          <w:ilvl w:val="0"/>
          <w:numId w:val="5"/>
        </w:num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724CFF">
        <w:rPr>
          <w:rFonts w:ascii="Calibri" w:eastAsia="Calibri" w:hAnsi="Calibri" w:cs="Times New Roman"/>
          <w:i/>
          <w:color w:val="auto"/>
          <w:sz w:val="22"/>
          <w:szCs w:val="22"/>
          <w:lang w:eastAsia="en-US"/>
        </w:rPr>
        <w:t>Analysis: the analysis of potential problems, by gathering information and intelligence to identify underlying causes of the problem. </w:t>
      </w:r>
    </w:p>
    <w:p w14:paraId="46E489E4" w14:textId="77777777" w:rsidR="00724CFF" w:rsidRPr="00724CFF" w:rsidRDefault="00724CFF" w:rsidP="00724CFF">
      <w:pPr>
        <w:numPr>
          <w:ilvl w:val="0"/>
          <w:numId w:val="5"/>
        </w:num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724CFF">
        <w:rPr>
          <w:rFonts w:ascii="Calibri" w:eastAsia="Calibri" w:hAnsi="Calibri" w:cs="Times New Roman"/>
          <w:i/>
          <w:color w:val="auto"/>
          <w:sz w:val="22"/>
          <w:szCs w:val="22"/>
          <w:lang w:eastAsia="en-US"/>
        </w:rPr>
        <w:lastRenderedPageBreak/>
        <w:t>Response: the development and implementation of tailored activities to address the causes of the problem, as identified in the analysis phase</w:t>
      </w:r>
    </w:p>
    <w:p w14:paraId="488AD9C7" w14:textId="77777777" w:rsidR="00724CFF" w:rsidRPr="00724CFF" w:rsidRDefault="00724CFF" w:rsidP="00724CFF">
      <w:pPr>
        <w:numPr>
          <w:ilvl w:val="0"/>
          <w:numId w:val="5"/>
        </w:numPr>
        <w:overflowPunct/>
        <w:autoSpaceDE/>
        <w:autoSpaceDN/>
        <w:adjustRightInd/>
        <w:spacing w:after="160" w:line="360" w:lineRule="auto"/>
        <w:textAlignment w:val="auto"/>
        <w:rPr>
          <w:rFonts w:ascii="Calibri" w:eastAsia="Calibri" w:hAnsi="Calibri" w:cs="Times New Roman"/>
          <w:i/>
          <w:color w:val="auto"/>
          <w:sz w:val="22"/>
          <w:szCs w:val="22"/>
          <w:lang w:eastAsia="en-US"/>
        </w:rPr>
      </w:pPr>
      <w:r w:rsidRPr="00724CFF">
        <w:rPr>
          <w:rFonts w:ascii="Calibri" w:eastAsia="Calibri" w:hAnsi="Calibri" w:cs="Times New Roman"/>
          <w:i/>
          <w:color w:val="auto"/>
          <w:sz w:val="22"/>
          <w:szCs w:val="22"/>
          <w:lang w:eastAsia="en-US"/>
        </w:rPr>
        <w:t>Assessment: the measurement of the impact of the response to test if it had the desired effect and to make changes to the response if required.  </w:t>
      </w:r>
    </w:p>
    <w:p w14:paraId="11D17AFE"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(Collage of Policing)</w:t>
      </w:r>
    </w:p>
    <w:p w14:paraId="2C6811A1"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 xml:space="preserve">Engagement with the local charities and services have played a big part in these strategies. When offenders have been arrested for minor crimes, where drink or drugs has been an impacting factor, these charities have offered the offenders support and schemes in the hope that removing these factors will prevent them from re-offending. </w:t>
      </w:r>
    </w:p>
    <w:p w14:paraId="2F791F89"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 xml:space="preserve">As part of these patrol strategies I attended a call whereby a member of the public had reported seeing two males in the public bathroom injecting drugs. When I attended the scene the member of public introduced himself, he then proceeded to point out the males he had seen in the bathroom, who were now sat on the benches in the town centre. It was decided that we had received enough information to justify conducting a stop and search under Section 23 Misuse of Drugs Act 1971, on the males that the reporting person had identified. </w:t>
      </w:r>
    </w:p>
    <w:p w14:paraId="54BBA0A3"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I had dealings with both males on previous occasions, they were well known in the area for petty crime and drug use and were both homeless. Although the pair were prolific offenders I had always treated them with respect and dignity, this had built a rapport between us and as a result they were fully compliant with the search.</w:t>
      </w:r>
    </w:p>
    <w:p w14:paraId="3D0E6D33"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 xml:space="preserve">A small roll of suspected class A drugs was found on one of the males within his waistband of his trousers. He was then arrested for possession of a controlled substance (section 5 Misuse of Drugs Act 1971) and conveyed to custody. The search of the other male did not result in any offence, and he was no longer detained. Due to the persistent contact these two males have with the police, a stop and search is almost a formality for them, they are fully aware of their rights and how to evade the law when necessary. </w:t>
      </w:r>
    </w:p>
    <w:p w14:paraId="6D800B27"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 xml:space="preserve">Although the one male had been conveyed to custody he disclosed that he was relieved to have a place of safety for the day while he was in custody, he commented that he would get a hot meal and a good sleep and it was an improvement to staying on the streets. I remember feeling empathy towards the male after this comment. The fact that detention in custody or prison is an improvement to his day to day life highlighted the hardship of homelessness, and it was likely that the male made less of an attempt to conceal his narcotics knowing this. “Crime can play a big part in </w:t>
      </w:r>
      <w:r w:rsidRPr="00724CFF">
        <w:rPr>
          <w:rFonts w:ascii="Calibri" w:eastAsia="Calibri" w:hAnsi="Calibri" w:cs="Times New Roman"/>
          <w:color w:val="auto"/>
          <w:sz w:val="22"/>
          <w:szCs w:val="22"/>
          <w:lang w:eastAsia="en-US"/>
        </w:rPr>
        <w:lastRenderedPageBreak/>
        <w:t>rough sleepers’ lives. Nearly 30% admitted to committing a “minor crime such as shoplifting or anti-social behaviour” in the hope of being taken into custody for the night and a fifth of those questioned said they had avoided being given bail or committed “an imprisonable offence with the express purpose of receiving a custodial sentence as a means to resolving their housing problems”, (QNI Homelessness and the Criminal Justice System).</w:t>
      </w:r>
    </w:p>
    <w:p w14:paraId="6438B7E6"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 xml:space="preserve">In my experience this seems to be a common theme with the homeless community and the police action is more of a slight inconvenience than a deterrent, sometimes even a welcome break to their hardship. Many of the homeless people in that area have grown up through difficult circumstances and do not see any wrong doing in their actions, it’s merely a means of survival. Regardless of this, having a police presence in the town centre creates a safer environment for the public and they can see that we are taking positive action to tackle crime in the area. Regular interactions between police and the homeless also gives them the ability to build a trust with law enforcement, as in my experience this provides less hostility and builds a rapport between them and the officers. This has also lead to greater intelligence gathering due to the better communication between all parties. This is known as community based policing and contributes to the National policing Model, </w:t>
      </w:r>
      <w:r w:rsidRPr="00724CFF">
        <w:rPr>
          <w:rFonts w:ascii="Calibri" w:eastAsia="Calibri" w:hAnsi="Calibri" w:cs="Times New Roman"/>
          <w:i/>
          <w:color w:val="auto"/>
          <w:sz w:val="22"/>
          <w:szCs w:val="22"/>
          <w:lang w:eastAsia="en-US"/>
        </w:rPr>
        <w:t>The National Intelligence Model (NIM), now adopted by all police forces in England and Wales, offers a framework of business processes for the management of policing priorities of all kinds: it can incorporate the perspectives of partner agencies and local communities, and can set parameters for reactive as well as proactive responses to crime, (Maguire, M. and John, T., 2006).</w:t>
      </w:r>
    </w:p>
    <w:p w14:paraId="6EF3DF93" w14:textId="77777777"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 xml:space="preserve">It could be suggested that the role of the charity services and partner agencies could be improved. It would be far from the truth to say they do not help the situation as they provide a brilliant service for some of the most vulnerable people in the community, but it would be fair to say that their services by association have had a negative effect on the area due to the influx of users. ** They may benefit by working on prevention of homelessness and treating the route cause, rather than offering reactive measures such as food and temporary accommodation.  </w:t>
      </w:r>
    </w:p>
    <w:p w14:paraId="1CD4EF42" w14:textId="09FE6C6C"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t xml:space="preserve">I feel confident that the police action is having a positive effect on the area, although I believe that further actions are required when it comes to charging repeat offenders. It is common to arrest someone one day and see them in a similar location committing the same offence the next day, as they have received little to no consequence for their actions. This in the eyes of many is deemed to be a police failing, when it is not understood by many that the police have little to do with the </w:t>
      </w:r>
      <w:r w:rsidR="00BB7D32">
        <w:rPr>
          <w:rFonts w:ascii="Calibri" w:eastAsia="Calibri" w:hAnsi="Calibri" w:cs="Times New Roman"/>
          <w:color w:val="auto"/>
          <w:sz w:val="22"/>
          <w:szCs w:val="22"/>
          <w:lang w:eastAsia="en-US"/>
        </w:rPr>
        <w:t>final prosecution of offenders and that the courts and justice system simply do not have the capacity to detain every person regardless of the crime.</w:t>
      </w:r>
    </w:p>
    <w:p w14:paraId="2FEB7D56" w14:textId="755D782B" w:rsidR="00724CFF" w:rsidRPr="00724CFF" w:rsidRDefault="00724CFF"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724CFF">
        <w:rPr>
          <w:rFonts w:ascii="Calibri" w:eastAsia="Calibri" w:hAnsi="Calibri" w:cs="Times New Roman"/>
          <w:color w:val="auto"/>
          <w:sz w:val="22"/>
          <w:szCs w:val="22"/>
          <w:lang w:eastAsia="en-US"/>
        </w:rPr>
        <w:lastRenderedPageBreak/>
        <w:t xml:space="preserve">It is likely that this issue will continue until some of these areas are corrected. Although the principle of problem oriented policing and community based policing is in use, I believe there is more that can be done going forward. The role of wider police action in tackling the supply of drugs would impede the availability of drugs on the street as this is a key factor in many committing crime in the first place. Early intervention schemes </w:t>
      </w:r>
      <w:r w:rsidR="00BB7D32">
        <w:rPr>
          <w:rFonts w:ascii="Calibri" w:eastAsia="Calibri" w:hAnsi="Calibri" w:cs="Times New Roman"/>
          <w:color w:val="auto"/>
          <w:sz w:val="22"/>
          <w:szCs w:val="22"/>
          <w:lang w:eastAsia="en-US"/>
        </w:rPr>
        <w:t>and working together with partner agencies and communities to</w:t>
      </w:r>
      <w:r w:rsidRPr="00724CFF">
        <w:rPr>
          <w:rFonts w:ascii="Calibri" w:eastAsia="Calibri" w:hAnsi="Calibri" w:cs="Times New Roman"/>
          <w:color w:val="auto"/>
          <w:sz w:val="22"/>
          <w:szCs w:val="22"/>
          <w:lang w:eastAsia="en-US"/>
        </w:rPr>
        <w:t xml:space="preserve"> identifying possible vulnerable people that have the potential to follow a route of homelessness and crime, will prevent issues occurring in the future rather than reacting after it’s too late.</w:t>
      </w:r>
    </w:p>
    <w:p w14:paraId="78341538" w14:textId="72096816" w:rsidR="00724CFF" w:rsidRPr="00724CFF" w:rsidRDefault="00BB7D32" w:rsidP="00724CFF">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Word count 1595</w:t>
      </w:r>
    </w:p>
    <w:p w14:paraId="011F0267" w14:textId="77777777" w:rsidR="00724CFF" w:rsidRPr="00724CFF" w:rsidRDefault="00724CFF" w:rsidP="00724CFF">
      <w:pPr>
        <w:overflowPunct/>
        <w:autoSpaceDE/>
        <w:autoSpaceDN/>
        <w:adjustRightInd/>
        <w:spacing w:after="160" w:line="256" w:lineRule="auto"/>
        <w:textAlignment w:val="auto"/>
        <w:rPr>
          <w:rFonts w:ascii="Calibri" w:eastAsia="Calibri" w:hAnsi="Calibri" w:cs="Times New Roman"/>
          <w:color w:val="auto"/>
          <w:sz w:val="22"/>
          <w:szCs w:val="22"/>
          <w:lang w:eastAsia="en-US"/>
        </w:rPr>
      </w:pPr>
    </w:p>
    <w:p w14:paraId="353DC8CB" w14:textId="77777777" w:rsidR="00724CFF" w:rsidRPr="00270EEB" w:rsidRDefault="00724CFF"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5732BE">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42C8CA61"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p>
    <w:p w14:paraId="2C08D50A" w14:textId="72B55D96" w:rsidR="00E03DFD" w:rsidRPr="00E03DFD" w:rsidRDefault="00E03DFD" w:rsidP="00E03DF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w:t>
      </w:r>
      <w:r>
        <w:rPr>
          <w:rFonts w:ascii="Calibri" w:eastAsia="Calibri" w:hAnsi="Calibri" w:cs="Times New Roman"/>
          <w:color w:val="auto"/>
          <w:sz w:val="22"/>
          <w:szCs w:val="22"/>
          <w:lang w:eastAsia="en-US"/>
        </w:rPr>
        <w:t>C</w:t>
      </w:r>
      <w:r w:rsidRPr="00E03DFD">
        <w:rPr>
          <w:rFonts w:ascii="Calibri" w:eastAsia="Calibri" w:hAnsi="Calibri" w:cs="Times New Roman"/>
          <w:color w:val="auto"/>
          <w:sz w:val="22"/>
          <w:szCs w:val="22"/>
          <w:lang w:eastAsia="en-US"/>
        </w:rPr>
        <w:t xml:space="preserve">lose This Market” Report on tackling the sexual exploitation of Romanian women by men in the UK </w:t>
      </w:r>
      <w:hyperlink r:id="rId26" w:anchor=":~:text=Frontline%20organisations%20described%20the%20factors%20that%20can%20make,exploitation%20by%20partners%20who%20coerce%20and%20groom%20them." w:history="1">
        <w:r w:rsidRPr="00E03DFD">
          <w:rPr>
            <w:rFonts w:ascii="Calibri" w:eastAsia="Calibri" w:hAnsi="Calibri" w:cs="Times New Roman"/>
            <w:color w:val="0000FF"/>
            <w:sz w:val="22"/>
            <w:szCs w:val="22"/>
            <w:u w:val="single"/>
            <w:lang w:eastAsia="en-US"/>
          </w:rPr>
          <w:t>“Close This Market” – UK Feminista</w:t>
        </w:r>
      </w:hyperlink>
      <w:r w:rsidRPr="00E03DFD">
        <w:rPr>
          <w:rFonts w:ascii="Calibri" w:eastAsia="Calibri" w:hAnsi="Calibri" w:cs="Times New Roman"/>
          <w:color w:val="auto"/>
          <w:sz w:val="22"/>
          <w:szCs w:val="22"/>
          <w:lang w:eastAsia="en-US"/>
        </w:rPr>
        <w:t xml:space="preserve"> ( Accessed on 16 October, 2021).</w:t>
      </w:r>
    </w:p>
    <w:p w14:paraId="69E1A664"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Amarnath, R., Verma, G., Jenitha, S., Rajan, C., Prasanthi, J. and Elizabeth, A., 2017. Improving sleep quality through heartfulness meditation-technical aspects and benefits. </w:t>
      </w:r>
      <w:r w:rsidRPr="00E03DFD">
        <w:rPr>
          <w:rFonts w:ascii="Calibri" w:eastAsia="Calibri" w:hAnsi="Calibri" w:cs="Times New Roman"/>
          <w:i/>
          <w:iCs/>
          <w:color w:val="auto"/>
          <w:sz w:val="22"/>
          <w:szCs w:val="22"/>
          <w:lang w:eastAsia="en-US"/>
        </w:rPr>
        <w:t>International Journal of Health Sciences and Research</w:t>
      </w:r>
      <w:r w:rsidRPr="00E03DFD">
        <w:rPr>
          <w:rFonts w:ascii="Calibri" w:eastAsia="Calibri" w:hAnsi="Calibri" w:cs="Times New Roman"/>
          <w:color w:val="auto"/>
          <w:sz w:val="22"/>
          <w:szCs w:val="22"/>
          <w:lang w:eastAsia="en-US"/>
        </w:rPr>
        <w:t>, </w:t>
      </w:r>
      <w:r w:rsidRPr="00E03DFD">
        <w:rPr>
          <w:rFonts w:ascii="Calibri" w:eastAsia="Calibri" w:hAnsi="Calibri" w:cs="Times New Roman"/>
          <w:i/>
          <w:iCs/>
          <w:color w:val="auto"/>
          <w:sz w:val="22"/>
          <w:szCs w:val="22"/>
          <w:lang w:eastAsia="en-US"/>
        </w:rPr>
        <w:t>7</w:t>
      </w:r>
      <w:r w:rsidRPr="00E03DFD">
        <w:rPr>
          <w:rFonts w:ascii="Calibri" w:eastAsia="Calibri" w:hAnsi="Calibri" w:cs="Times New Roman"/>
          <w:color w:val="auto"/>
          <w:sz w:val="22"/>
          <w:szCs w:val="22"/>
          <w:lang w:eastAsia="en-US"/>
        </w:rPr>
        <w:t>(5), pp.368-81.</w:t>
      </w:r>
    </w:p>
    <w:p w14:paraId="10B9284B" w14:textId="77777777" w:rsidR="00E03DFD" w:rsidRPr="00E03DFD" w:rsidRDefault="00E03DFD" w:rsidP="00E03DFD">
      <w:pPr>
        <w:overflowPunct/>
        <w:autoSpaceDE/>
        <w:autoSpaceDN/>
        <w:adjustRightInd/>
        <w:spacing w:after="160" w:line="360" w:lineRule="auto"/>
        <w:textAlignment w:val="auto"/>
        <w:rPr>
          <w:rFonts w:eastAsia="Calibri"/>
          <w:color w:val="222222"/>
          <w:shd w:val="clear" w:color="auto" w:fill="FFFFFF"/>
          <w:lang w:eastAsia="en-US"/>
        </w:rPr>
      </w:pPr>
      <w:r w:rsidRPr="00E03DFD">
        <w:rPr>
          <w:rFonts w:eastAsia="Calibri"/>
          <w:color w:val="222222"/>
          <w:shd w:val="clear" w:color="auto" w:fill="FFFFFF"/>
          <w:lang w:eastAsia="en-US"/>
        </w:rPr>
        <w:t>Anderson, G.S., Litzenberger, R. and Plecas, D.(2002). Physical evidence of police officer stress. </w:t>
      </w:r>
      <w:r w:rsidRPr="00E03DFD">
        <w:rPr>
          <w:rFonts w:eastAsia="Calibri"/>
          <w:i/>
          <w:iCs/>
          <w:color w:val="222222"/>
          <w:shd w:val="clear" w:color="auto" w:fill="FFFFFF"/>
          <w:lang w:eastAsia="en-US"/>
        </w:rPr>
        <w:t>Policing: an international journal of police strategies &amp; management</w:t>
      </w:r>
      <w:r w:rsidRPr="00E03DFD">
        <w:rPr>
          <w:rFonts w:eastAsia="Calibri"/>
          <w:color w:val="222222"/>
          <w:shd w:val="clear" w:color="auto" w:fill="FFFFFF"/>
          <w:lang w:eastAsia="en-US"/>
        </w:rPr>
        <w:t>.</w:t>
      </w:r>
    </w:p>
    <w:p w14:paraId="2A4B702F"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 Ballintyne, S. (1999) Unsafe streets: The street homeless as victims of crime. New Economy, 6(2), pp.94-97.</w:t>
      </w:r>
    </w:p>
    <w:p w14:paraId="2B1B71A0" w14:textId="77777777" w:rsidR="00E03DFD" w:rsidRPr="00E03DFD" w:rsidRDefault="00E03DFD" w:rsidP="00E03DFD">
      <w:pPr>
        <w:overflowPunct/>
        <w:autoSpaceDE/>
        <w:autoSpaceDN/>
        <w:adjustRightInd/>
        <w:spacing w:after="160" w:line="360" w:lineRule="auto"/>
        <w:textAlignment w:val="auto"/>
        <w:rPr>
          <w:rFonts w:ascii="Times New Roman" w:eastAsia="Calibri" w:hAnsi="Times New Roman" w:cs="Times New Roman"/>
          <w:color w:val="0070C0"/>
          <w:sz w:val="24"/>
          <w:szCs w:val="24"/>
          <w:u w:val="single"/>
          <w:lang w:eastAsia="en-US"/>
        </w:rPr>
      </w:pPr>
      <w:r w:rsidRPr="00E03DFD">
        <w:rPr>
          <w:rFonts w:ascii="Times New Roman" w:eastAsia="Calibri" w:hAnsi="Times New Roman" w:cs="Times New Roman"/>
          <w:color w:val="auto"/>
          <w:sz w:val="24"/>
          <w:szCs w:val="24"/>
          <w:shd w:val="clear" w:color="auto" w:fill="FFFFFF"/>
          <w:lang w:eastAsia="en-US"/>
        </w:rPr>
        <w:t>Birdsall, N., Kirby, S. Phythian, R (2020) ‘</w:t>
      </w:r>
      <w:r w:rsidRPr="00E03DFD">
        <w:rPr>
          <w:rFonts w:ascii="Times New Roman" w:eastAsia="Calibri" w:hAnsi="Times New Roman" w:cs="Times New Roman"/>
          <w:color w:val="auto"/>
          <w:sz w:val="24"/>
          <w:szCs w:val="24"/>
          <w:lang w:eastAsia="en-US"/>
        </w:rPr>
        <w:t xml:space="preserve">Cooperative actors in domestic abuse and their association with prosecution: implications for the criminal justice system’, </w:t>
      </w:r>
      <w:r w:rsidRPr="00E03DFD">
        <w:rPr>
          <w:rFonts w:ascii="Times New Roman" w:eastAsia="Calibri" w:hAnsi="Times New Roman" w:cs="Times New Roman"/>
          <w:i/>
          <w:iCs/>
          <w:color w:val="auto"/>
          <w:sz w:val="24"/>
          <w:szCs w:val="24"/>
          <w:lang w:eastAsia="en-US"/>
        </w:rPr>
        <w:t>The Police Journal</w:t>
      </w:r>
      <w:r w:rsidRPr="00E03DFD">
        <w:rPr>
          <w:rFonts w:ascii="Times New Roman" w:eastAsia="Calibri" w:hAnsi="Times New Roman" w:cs="Times New Roman"/>
          <w:color w:val="auto"/>
          <w:sz w:val="24"/>
          <w:szCs w:val="24"/>
          <w:lang w:eastAsia="en-US"/>
        </w:rPr>
        <w:t>, pp. 1-16, doi: </w:t>
      </w:r>
      <w:hyperlink r:id="rId27" w:history="1">
        <w:r w:rsidRPr="00E03DFD">
          <w:rPr>
            <w:rFonts w:ascii="Times New Roman" w:eastAsia="Calibri" w:hAnsi="Times New Roman" w:cs="Times New Roman"/>
            <w:color w:val="0070C0"/>
            <w:sz w:val="24"/>
            <w:szCs w:val="24"/>
            <w:u w:val="single"/>
            <w:lang w:eastAsia="en-US"/>
          </w:rPr>
          <w:t>10.1177/0032258X20931922</w:t>
        </w:r>
      </w:hyperlink>
    </w:p>
    <w:p w14:paraId="56E2C397" w14:textId="77777777" w:rsidR="00E03DFD" w:rsidRPr="00E03DFD" w:rsidRDefault="00E03DFD" w:rsidP="00E03DFD">
      <w:pPr>
        <w:overflowPunct/>
        <w:autoSpaceDE/>
        <w:autoSpaceDN/>
        <w:adjustRightInd/>
        <w:spacing w:after="160" w:line="360" w:lineRule="auto"/>
        <w:textAlignment w:val="auto"/>
        <w:rPr>
          <w:rFonts w:ascii="Times New Roman" w:eastAsia="Calibri" w:hAnsi="Times New Roman" w:cs="Times New Roman"/>
          <w:color w:val="auto"/>
          <w:sz w:val="24"/>
          <w:szCs w:val="24"/>
          <w:lang w:eastAsia="en-US"/>
        </w:rPr>
      </w:pPr>
      <w:r w:rsidRPr="00E03DFD">
        <w:rPr>
          <w:rFonts w:ascii="Times New Roman" w:eastAsia="Calibri" w:hAnsi="Times New Roman" w:cs="Times New Roman"/>
          <w:color w:val="auto"/>
          <w:sz w:val="24"/>
          <w:szCs w:val="24"/>
          <w:lang w:eastAsia="en-US"/>
        </w:rPr>
        <w:t xml:space="preserve">College of Policing (2021a) </w:t>
      </w:r>
      <w:r w:rsidRPr="00E03DFD">
        <w:rPr>
          <w:rFonts w:ascii="Times New Roman" w:eastAsia="Calibri" w:hAnsi="Times New Roman" w:cs="Times New Roman"/>
          <w:i/>
          <w:iCs/>
          <w:color w:val="auto"/>
          <w:sz w:val="24"/>
          <w:szCs w:val="24"/>
          <w:lang w:eastAsia="en-US"/>
        </w:rPr>
        <w:t>Working with victims and witnesses</w:t>
      </w:r>
      <w:r w:rsidRPr="00E03DFD">
        <w:rPr>
          <w:rFonts w:ascii="Times New Roman" w:eastAsia="Calibri" w:hAnsi="Times New Roman" w:cs="Times New Roman"/>
          <w:color w:val="auto"/>
          <w:sz w:val="24"/>
          <w:szCs w:val="24"/>
          <w:lang w:eastAsia="en-US"/>
        </w:rPr>
        <w:t xml:space="preserve">. Available online at </w:t>
      </w:r>
      <w:hyperlink r:id="rId28" w:anchor="victim-and-witness-support" w:history="1">
        <w:r w:rsidRPr="00E03DFD">
          <w:rPr>
            <w:rFonts w:ascii="Times New Roman" w:eastAsia="Calibri" w:hAnsi="Times New Roman" w:cs="Times New Roman"/>
            <w:color w:val="0563C1"/>
            <w:sz w:val="24"/>
            <w:szCs w:val="24"/>
            <w:u w:val="single"/>
            <w:lang w:eastAsia="en-US"/>
          </w:rPr>
          <w:t>https://www.app.college.police.uk/app-content/investigations/victims-and-witnesses/#victim-and-witness-support</w:t>
        </w:r>
      </w:hyperlink>
      <w:r w:rsidRPr="00E03DFD">
        <w:rPr>
          <w:rFonts w:ascii="Times New Roman" w:eastAsia="Calibri" w:hAnsi="Times New Roman" w:cs="Times New Roman"/>
          <w:color w:val="auto"/>
          <w:sz w:val="24"/>
          <w:szCs w:val="24"/>
          <w:lang w:eastAsia="en-US"/>
        </w:rPr>
        <w:t xml:space="preserve"> [Accessed on 16 October, 2021].</w:t>
      </w:r>
    </w:p>
    <w:p w14:paraId="54766819"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College of Policing (2021b) </w:t>
      </w:r>
      <w:r w:rsidRPr="00E03DFD">
        <w:rPr>
          <w:rFonts w:ascii="Calibri" w:eastAsia="Calibri" w:hAnsi="Calibri" w:cs="Times New Roman"/>
          <w:i/>
          <w:iCs/>
          <w:color w:val="auto"/>
          <w:sz w:val="22"/>
          <w:szCs w:val="22"/>
          <w:lang w:eastAsia="en-US"/>
        </w:rPr>
        <w:t xml:space="preserve">Investigative interviewing. </w:t>
      </w:r>
      <w:r w:rsidRPr="00E03DFD">
        <w:rPr>
          <w:rFonts w:ascii="Calibri" w:eastAsia="Calibri" w:hAnsi="Calibri" w:cs="Times New Roman"/>
          <w:color w:val="auto"/>
          <w:sz w:val="22"/>
          <w:szCs w:val="22"/>
          <w:lang w:eastAsia="en-US"/>
        </w:rPr>
        <w:t xml:space="preserve">Available online at </w:t>
      </w:r>
      <w:hyperlink r:id="rId29" w:anchor="peace-framework" w:history="1">
        <w:r w:rsidRPr="00E03DFD">
          <w:rPr>
            <w:rFonts w:ascii="Calibri" w:eastAsia="Calibri" w:hAnsi="Calibri" w:cs="Times New Roman"/>
            <w:color w:val="0563C1"/>
            <w:sz w:val="22"/>
            <w:szCs w:val="22"/>
            <w:u w:val="single"/>
            <w:lang w:eastAsia="en-US"/>
          </w:rPr>
          <w:t>https://www.app.college.police.uk/app-content/investigations/investigative-interviewing/#peace-framework</w:t>
        </w:r>
      </w:hyperlink>
      <w:r w:rsidRPr="00E03DFD">
        <w:rPr>
          <w:rFonts w:ascii="Calibri" w:eastAsia="Calibri" w:hAnsi="Calibri" w:cs="Times New Roman"/>
          <w:color w:val="auto"/>
          <w:sz w:val="22"/>
          <w:szCs w:val="22"/>
          <w:lang w:eastAsia="en-US"/>
        </w:rPr>
        <w:t xml:space="preserve"> [Accessed on 16 October, 2021].</w:t>
      </w:r>
    </w:p>
    <w:p w14:paraId="5D8464AA"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Cruess, D. G., Antoni, M. H., Gonzalez, J., Fletcher, M. A., Klimas, N., Duran, R., Ironson, G., &amp; Schneiderman, N. (2003). Sleep disturbance mediates the association between psy chological distress and immune status among HIV-positive men and women on combination antiretroviral therapy. Journal of Psychosomatic Research, 54, 185–189.</w:t>
      </w:r>
    </w:p>
    <w:p w14:paraId="3B16C8F1" w14:textId="77777777" w:rsidR="00E03DFD" w:rsidRPr="00E03DFD" w:rsidRDefault="00E03DFD" w:rsidP="00E03DFD">
      <w:pPr>
        <w:overflowPunct/>
        <w:autoSpaceDE/>
        <w:autoSpaceDN/>
        <w:adjustRightInd/>
        <w:spacing w:after="160" w:line="360" w:lineRule="auto"/>
        <w:textAlignment w:val="auto"/>
        <w:rPr>
          <w:rFonts w:eastAsia="Calibri"/>
          <w:color w:val="222222"/>
          <w:shd w:val="clear" w:color="auto" w:fill="FFFFFF"/>
          <w:lang w:eastAsia="en-US"/>
        </w:rPr>
      </w:pPr>
      <w:r w:rsidRPr="00E03DFD">
        <w:rPr>
          <w:rFonts w:eastAsia="Calibri"/>
          <w:color w:val="222222"/>
          <w:shd w:val="clear" w:color="auto" w:fill="FFFFFF"/>
          <w:lang w:eastAsia="en-US"/>
        </w:rPr>
        <w:lastRenderedPageBreak/>
        <w:t>Maguire, M. and John, T (2006). Intelligence led policing, managerialism and community engagement: Competing priorities and the role of the National Intelligence Model in the UK. Policing &amp; society, 16(1), pp.67-85.</w:t>
      </w:r>
    </w:p>
    <w:p w14:paraId="742790B3" w14:textId="77777777" w:rsidR="00E03DFD" w:rsidRPr="00E03DFD" w:rsidRDefault="00E03DFD" w:rsidP="00E03DFD">
      <w:pPr>
        <w:overflowPunct/>
        <w:autoSpaceDE/>
        <w:autoSpaceDN/>
        <w:adjustRightInd/>
        <w:spacing w:after="160" w:line="360" w:lineRule="auto"/>
        <w:textAlignment w:val="auto"/>
        <w:rPr>
          <w:rFonts w:ascii="Times New Roman" w:eastAsia="Calibri" w:hAnsi="Times New Roman" w:cs="Times New Roman"/>
          <w:color w:val="auto"/>
          <w:sz w:val="24"/>
          <w:szCs w:val="24"/>
          <w:lang w:eastAsia="en-US"/>
        </w:rPr>
      </w:pPr>
      <w:r w:rsidRPr="00E03DFD">
        <w:rPr>
          <w:rFonts w:ascii="Times New Roman" w:eastAsia="Calibri" w:hAnsi="Times New Roman" w:cs="Times New Roman"/>
          <w:color w:val="auto"/>
          <w:sz w:val="24"/>
          <w:szCs w:val="24"/>
          <w:lang w:eastAsia="en-US"/>
        </w:rPr>
        <w:t>Perryman, S.M. and Appleton, J. (2016) ‘Male victims of domestic abuse: Implications for health visiting practice’, </w:t>
      </w:r>
      <w:r w:rsidRPr="00E03DFD">
        <w:rPr>
          <w:rFonts w:ascii="Times New Roman" w:eastAsia="Calibri" w:hAnsi="Times New Roman" w:cs="Times New Roman"/>
          <w:i/>
          <w:iCs/>
          <w:color w:val="auto"/>
          <w:sz w:val="24"/>
          <w:szCs w:val="24"/>
          <w:lang w:eastAsia="en-US"/>
        </w:rPr>
        <w:t>Journal of Research in Nursing</w:t>
      </w:r>
      <w:r w:rsidRPr="00E03DFD">
        <w:rPr>
          <w:rFonts w:ascii="Times New Roman" w:eastAsia="Calibri" w:hAnsi="Times New Roman" w:cs="Times New Roman"/>
          <w:color w:val="auto"/>
          <w:sz w:val="24"/>
          <w:szCs w:val="24"/>
          <w:lang w:eastAsia="en-US"/>
        </w:rPr>
        <w:t>, Vol. 21(5-6), pp.386-414.</w:t>
      </w:r>
    </w:p>
    <w:p w14:paraId="2CE72A59"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eastAsia="Calibri"/>
          <w:color w:val="222222"/>
          <w:shd w:val="clear" w:color="auto" w:fill="FFFFFF"/>
          <w:lang w:eastAsia="en-US"/>
        </w:rPr>
        <w:t xml:space="preserve">QNI Homelessness and the Criminal Justice System, </w:t>
      </w:r>
      <w:hyperlink r:id="rId30" w:history="1">
        <w:r w:rsidRPr="00E03DFD">
          <w:rPr>
            <w:rFonts w:ascii="Calibri" w:eastAsia="Calibri" w:hAnsi="Calibri" w:cs="Times New Roman"/>
            <w:color w:val="0000FF"/>
            <w:sz w:val="22"/>
            <w:szCs w:val="22"/>
            <w:u w:val="single"/>
            <w:lang w:eastAsia="en-US"/>
          </w:rPr>
          <w:t>Homelessness and the Criminal Justice System – The Queen's Nursing Institute (qni.org.uk)</w:t>
        </w:r>
      </w:hyperlink>
      <w:r w:rsidRPr="00E03DFD">
        <w:rPr>
          <w:rFonts w:ascii="Calibri" w:eastAsia="Calibri" w:hAnsi="Calibri" w:cs="Times New Roman"/>
          <w:color w:val="auto"/>
          <w:sz w:val="22"/>
          <w:szCs w:val="22"/>
          <w:lang w:eastAsia="en-US"/>
        </w:rPr>
        <w:t xml:space="preserve"> (Accessed 16</w:t>
      </w:r>
      <w:r w:rsidRPr="00E03DFD">
        <w:rPr>
          <w:rFonts w:ascii="Calibri" w:eastAsia="Calibri" w:hAnsi="Calibri" w:cs="Times New Roman"/>
          <w:color w:val="auto"/>
          <w:sz w:val="22"/>
          <w:szCs w:val="22"/>
          <w:vertAlign w:val="superscript"/>
          <w:lang w:eastAsia="en-US"/>
        </w:rPr>
        <w:t>th</w:t>
      </w:r>
      <w:r w:rsidRPr="00E03DFD">
        <w:rPr>
          <w:rFonts w:ascii="Calibri" w:eastAsia="Calibri" w:hAnsi="Calibri" w:cs="Times New Roman"/>
          <w:color w:val="auto"/>
          <w:sz w:val="22"/>
          <w:szCs w:val="22"/>
          <w:lang w:eastAsia="en-US"/>
        </w:rPr>
        <w:t xml:space="preserve"> October,2021)</w:t>
      </w:r>
    </w:p>
    <w:p w14:paraId="3B5073F8" w14:textId="77777777" w:rsidR="00E03DFD" w:rsidRPr="00E03DFD" w:rsidRDefault="00E03DFD" w:rsidP="00E03DFD">
      <w:pPr>
        <w:overflowPunct/>
        <w:autoSpaceDE/>
        <w:autoSpaceDN/>
        <w:adjustRightInd/>
        <w:spacing w:after="160" w:line="360" w:lineRule="auto"/>
        <w:textAlignment w:val="auto"/>
        <w:rPr>
          <w:rFonts w:eastAsia="Calibri"/>
          <w:color w:val="222222"/>
          <w:shd w:val="clear" w:color="auto" w:fill="FFFFFF"/>
          <w:lang w:eastAsia="en-US"/>
        </w:rPr>
      </w:pPr>
      <w:r w:rsidRPr="00E03DFD">
        <w:rPr>
          <w:rFonts w:eastAsia="Calibri"/>
          <w:color w:val="222222"/>
          <w:shd w:val="clear" w:color="auto" w:fill="FFFFFF"/>
          <w:lang w:eastAsia="en-US"/>
        </w:rPr>
        <w:t>Ren, L., Zhao, J.S. and He, N.P (2019). Broken windows theory and citizen engagement in crime prevention. Justice Quarterly, 36(1), pp.1-30.</w:t>
      </w:r>
    </w:p>
    <w:p w14:paraId="187DD08E" w14:textId="77777777" w:rsidR="00E03DFD" w:rsidRPr="00E03DFD" w:rsidRDefault="00E03DFD" w:rsidP="00E03DFD">
      <w:pPr>
        <w:overflowPunct/>
        <w:autoSpaceDE/>
        <w:autoSpaceDN/>
        <w:adjustRightInd/>
        <w:spacing w:after="160" w:line="360" w:lineRule="auto"/>
        <w:textAlignment w:val="auto"/>
        <w:rPr>
          <w:rFonts w:ascii="Times New Roman" w:eastAsia="Calibri" w:hAnsi="Times New Roman" w:cs="Times New Roman"/>
          <w:color w:val="auto"/>
          <w:sz w:val="24"/>
          <w:szCs w:val="24"/>
          <w:lang w:eastAsia="en-US"/>
        </w:rPr>
      </w:pPr>
      <w:r w:rsidRPr="00E03DFD">
        <w:rPr>
          <w:rFonts w:ascii="Times New Roman" w:eastAsia="Calibri" w:hAnsi="Times New Roman" w:cs="Times New Roman"/>
          <w:color w:val="auto"/>
          <w:sz w:val="24"/>
          <w:szCs w:val="24"/>
          <w:lang w:eastAsia="en-US"/>
        </w:rPr>
        <w:t xml:space="preserve">Serious Crime Act 2015, Available online at </w:t>
      </w:r>
      <w:hyperlink r:id="rId31" w:history="1">
        <w:r w:rsidRPr="00E03DFD">
          <w:rPr>
            <w:rFonts w:ascii="Times New Roman" w:eastAsia="Calibri" w:hAnsi="Times New Roman" w:cs="Times New Roman"/>
            <w:color w:val="0070C0"/>
            <w:sz w:val="24"/>
            <w:szCs w:val="24"/>
            <w:u w:val="single"/>
            <w:lang w:eastAsia="en-US"/>
          </w:rPr>
          <w:t>https://www.legislation.gov.uk/ukpga/2015/9/contents/enacted</w:t>
        </w:r>
      </w:hyperlink>
      <w:r w:rsidRPr="00E03DFD">
        <w:rPr>
          <w:rFonts w:ascii="Times New Roman" w:eastAsia="Calibri" w:hAnsi="Times New Roman" w:cs="Times New Roman"/>
          <w:color w:val="0070C0"/>
          <w:sz w:val="24"/>
          <w:szCs w:val="24"/>
          <w:lang w:eastAsia="en-US"/>
        </w:rPr>
        <w:t xml:space="preserve"> [</w:t>
      </w:r>
      <w:r w:rsidRPr="00E03DFD">
        <w:rPr>
          <w:rFonts w:ascii="Times New Roman" w:eastAsia="Calibri" w:hAnsi="Times New Roman" w:cs="Times New Roman"/>
          <w:color w:val="auto"/>
          <w:sz w:val="24"/>
          <w:szCs w:val="24"/>
          <w:lang w:eastAsia="en-US"/>
        </w:rPr>
        <w:t xml:space="preserve">Accessed on 16 October, 2021]. </w:t>
      </w:r>
    </w:p>
    <w:p w14:paraId="2DB69ACC"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Steptoe, A., Peacey, V., &amp; Wardle, J. (2006). Sleep duration and health in young adults. Archives of Internal Medicine, 166, 1689–1692.</w:t>
      </w:r>
    </w:p>
    <w:p w14:paraId="515D5B53" w14:textId="77777777" w:rsidR="00E03DFD" w:rsidRPr="00E03DFD" w:rsidRDefault="00E03DFD" w:rsidP="00E03DFD">
      <w:pPr>
        <w:overflowPunct/>
        <w:autoSpaceDE/>
        <w:autoSpaceDN/>
        <w:adjustRightInd/>
        <w:spacing w:after="160" w:line="360" w:lineRule="auto"/>
        <w:textAlignment w:val="auto"/>
        <w:rPr>
          <w:rFonts w:ascii="Times New Roman" w:eastAsia="Calibri" w:hAnsi="Times New Roman" w:cs="Times New Roman"/>
          <w:color w:val="auto"/>
          <w:sz w:val="24"/>
          <w:szCs w:val="24"/>
          <w:lang w:eastAsia="en-US"/>
        </w:rPr>
      </w:pPr>
      <w:r w:rsidRPr="00E03DFD">
        <w:rPr>
          <w:rFonts w:ascii="Times New Roman" w:eastAsia="Calibri" w:hAnsi="Times New Roman" w:cs="Times New Roman"/>
          <w:color w:val="auto"/>
          <w:sz w:val="24"/>
          <w:szCs w:val="24"/>
          <w:lang w:eastAsia="en-US"/>
        </w:rPr>
        <w:t xml:space="preserve">Turner, E., Medina, J. and Brown, G. (2019). ‘Dashing hopes? The predictive accuracy of domestic abuse risk assessment by the police’, </w:t>
      </w:r>
      <w:r w:rsidRPr="00E03DFD">
        <w:rPr>
          <w:rFonts w:ascii="Times New Roman" w:eastAsia="Calibri" w:hAnsi="Times New Roman" w:cs="Times New Roman"/>
          <w:i/>
          <w:iCs/>
          <w:color w:val="auto"/>
          <w:sz w:val="24"/>
          <w:szCs w:val="24"/>
          <w:lang w:eastAsia="en-US"/>
        </w:rPr>
        <w:t>The British Journal of Criminology</w:t>
      </w:r>
      <w:r w:rsidRPr="00E03DFD">
        <w:rPr>
          <w:rFonts w:ascii="Times New Roman" w:eastAsia="Calibri" w:hAnsi="Times New Roman" w:cs="Times New Roman"/>
          <w:color w:val="auto"/>
          <w:sz w:val="24"/>
          <w:szCs w:val="24"/>
          <w:lang w:eastAsia="en-US"/>
        </w:rPr>
        <w:t xml:space="preserve">, Vol. 59(5), pp. 1013-1034. </w:t>
      </w:r>
    </w:p>
    <w:p w14:paraId="0585697B" w14:textId="77777777" w:rsidR="00E03DFD" w:rsidRPr="00E03DFD" w:rsidRDefault="00E03DFD" w:rsidP="00E03DFD">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E03DFD">
        <w:rPr>
          <w:rFonts w:ascii="Calibri" w:eastAsia="Calibri" w:hAnsi="Calibri" w:cs="Times New Roman"/>
          <w:color w:val="auto"/>
          <w:sz w:val="22"/>
          <w:szCs w:val="22"/>
          <w:lang w:eastAsia="en-US"/>
        </w:rPr>
        <w:t xml:space="preserve">Woman’s AID (n.d.) </w:t>
      </w:r>
      <w:r w:rsidRPr="00E03DFD">
        <w:rPr>
          <w:rFonts w:ascii="Calibri" w:eastAsia="Calibri" w:hAnsi="Calibri" w:cs="Times New Roman"/>
          <w:i/>
          <w:iCs/>
          <w:color w:val="auto"/>
          <w:sz w:val="22"/>
          <w:szCs w:val="22"/>
          <w:lang w:eastAsia="en-US"/>
        </w:rPr>
        <w:t xml:space="preserve">What is coercive control?. </w:t>
      </w:r>
      <w:r w:rsidRPr="00E03DFD">
        <w:rPr>
          <w:rFonts w:ascii="Calibri" w:eastAsia="Calibri" w:hAnsi="Calibri" w:cs="Times New Roman"/>
          <w:color w:val="auto"/>
          <w:sz w:val="22"/>
          <w:szCs w:val="22"/>
          <w:lang w:eastAsia="en-US"/>
        </w:rPr>
        <w:t xml:space="preserve">Available online at </w:t>
      </w:r>
      <w:hyperlink r:id="rId32" w:history="1">
        <w:r w:rsidRPr="00E03DFD">
          <w:rPr>
            <w:rFonts w:ascii="Calibri" w:eastAsia="Calibri" w:hAnsi="Calibri" w:cs="Times New Roman"/>
            <w:color w:val="0563C1"/>
            <w:sz w:val="22"/>
            <w:szCs w:val="22"/>
            <w:u w:val="single"/>
            <w:lang w:eastAsia="en-US"/>
          </w:rPr>
          <w:t>https://www.womensaid.org.uk/information-support/what-is-domestic-abuse/coercive-control/</w:t>
        </w:r>
      </w:hyperlink>
      <w:r w:rsidRPr="00E03DFD">
        <w:rPr>
          <w:rFonts w:ascii="Calibri" w:eastAsia="Calibri" w:hAnsi="Calibri" w:cs="Times New Roman"/>
          <w:color w:val="auto"/>
          <w:sz w:val="22"/>
          <w:szCs w:val="22"/>
          <w:lang w:eastAsia="en-US"/>
        </w:rPr>
        <w:t xml:space="preserve"> [Accessed on 16 October, 2021]. </w:t>
      </w: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488B1A3"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D867A3">
        <w:rPr>
          <w:rFonts w:eastAsia="Arial"/>
          <w:color w:val="000000" w:themeColor="text1"/>
          <w:sz w:val="24"/>
          <w:szCs w:val="24"/>
        </w:rPr>
        <w:t xml:space="preserve">Michael McNally </w:t>
      </w:r>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47EB4C0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E03DFD">
        <w:rPr>
          <w:rFonts w:eastAsia="Arial"/>
          <w:color w:val="000000" w:themeColor="text1"/>
          <w:sz w:val="24"/>
          <w:szCs w:val="24"/>
        </w:rPr>
        <w:t>18/10/2021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5732BE">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0BF0E23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D867A3">
        <w:rPr>
          <w:rFonts w:eastAsia="Arial"/>
          <w:color w:val="000000" w:themeColor="text1"/>
          <w:sz w:val="24"/>
          <w:szCs w:val="24"/>
        </w:rPr>
        <w:t xml:space="preserve">Michael McNally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5B53EA0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E03DFD">
        <w:rPr>
          <w:rFonts w:eastAsia="Arial"/>
          <w:color w:val="000000" w:themeColor="text1"/>
          <w:sz w:val="24"/>
          <w:szCs w:val="24"/>
        </w:rPr>
        <w:t>16/10/2021</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3FFF80F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E03DFD">
        <w:rPr>
          <w:rFonts w:eastAsia="Arial"/>
          <w:color w:val="000000" w:themeColor="text1"/>
          <w:sz w:val="24"/>
          <w:szCs w:val="24"/>
        </w:rPr>
        <w:t>Samuel Tobin</w:t>
      </w:r>
      <w:r w:rsidRPr="5848403C">
        <w:rPr>
          <w:rFonts w:eastAsia="Arial"/>
          <w:color w:val="000000" w:themeColor="text1"/>
          <w:sz w:val="24"/>
          <w:szCs w:val="24"/>
        </w:rPr>
        <w:t xml:space="preserve">(Tutor Constable) </w:t>
      </w:r>
    </w:p>
    <w:p w14:paraId="143CEFC4" w14:textId="5E98B60C" w:rsidR="5848403C" w:rsidRDefault="5848403C" w:rsidP="5848403C">
      <w:pPr>
        <w:jc w:val="both"/>
        <w:rPr>
          <w:rFonts w:eastAsia="Arial"/>
          <w:color w:val="000000" w:themeColor="text1"/>
          <w:sz w:val="24"/>
          <w:szCs w:val="24"/>
        </w:rPr>
      </w:pPr>
    </w:p>
    <w:p w14:paraId="1F0252AC" w14:textId="0569DCC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E03DFD">
        <w:rPr>
          <w:rFonts w:eastAsia="Arial"/>
          <w:color w:val="000000" w:themeColor="text1"/>
          <w:sz w:val="24"/>
          <w:szCs w:val="24"/>
        </w:rPr>
        <w:t>16/10/2021</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5732BE">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724CFF" w:rsidRDefault="00724CFF">
      <w:r>
        <w:separator/>
      </w:r>
    </w:p>
  </w:endnote>
  <w:endnote w:type="continuationSeparator" w:id="0">
    <w:p w14:paraId="2FD44551" w14:textId="77777777" w:rsidR="00724CFF" w:rsidRDefault="00724C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A90AE9" w14:textId="76130A37" w:rsidR="00724CFF" w:rsidRDefault="00623547" w:rsidP="00623547">
    <w:pPr>
      <w:pStyle w:val="Footer"/>
      <w:rPr>
        <w:sz w:val="17"/>
      </w:rPr>
    </w:pPr>
    <w:bookmarkStart w:id="3" w:name="TITUS1FooterEvenPages"/>
    <w:r>
      <w:rPr>
        <w:sz w:val="17"/>
      </w:rPr>
      <w:t> </w:t>
    </w:r>
  </w:p>
  <w:bookmarkEnd w:id="3"/>
  <w:p w14:paraId="3F5649A4" w14:textId="638FBF7A" w:rsidR="00724CFF" w:rsidRDefault="00724CFF" w:rsidP="005732BE">
    <w:pPr>
      <w:pStyle w:val="Footer"/>
      <w:jc w:val="right"/>
    </w:pPr>
    <w:r>
      <w:fldChar w:fldCharType="begin"/>
    </w:r>
    <w:r>
      <w:instrText xml:space="preserve"> PAGE   \* MERGEFORMAT </w:instrText>
    </w:r>
    <w:r>
      <w:fldChar w:fldCharType="separate"/>
    </w:r>
    <w:r w:rsidR="00623547">
      <w:rPr>
        <w:noProof/>
      </w:rPr>
      <w:t>6</w:t>
    </w:r>
    <w:r>
      <w:rPr>
        <w:noProof/>
      </w:rPr>
      <w:fldChar w:fldCharType="end"/>
    </w:r>
  </w:p>
  <w:p w14:paraId="6C53E3CE" w14:textId="77777777" w:rsidR="00724CFF" w:rsidRPr="00BB5EAA" w:rsidRDefault="00724CFF" w:rsidP="005732BE">
    <w:pPr>
      <w:pStyle w:val="Footer"/>
      <w:ind w:right="360"/>
      <w:jc w:val="center"/>
    </w:pPr>
  </w:p>
  <w:p w14:paraId="25B8F289" w14:textId="77777777" w:rsidR="00724CFF" w:rsidRDefault="00724C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2E49F2" w14:textId="0A5F3044" w:rsidR="00724CFF" w:rsidRDefault="00623547" w:rsidP="00623547">
    <w:pPr>
      <w:pStyle w:val="Footer"/>
      <w:rPr>
        <w:sz w:val="17"/>
      </w:rPr>
    </w:pPr>
    <w:bookmarkStart w:id="4" w:name="TITUS1FooterPrimary"/>
    <w:r>
      <w:rPr>
        <w:sz w:val="17"/>
      </w:rPr>
      <w:t> </w:t>
    </w:r>
  </w:p>
  <w:bookmarkEnd w:id="4"/>
  <w:p w14:paraId="50521BFA" w14:textId="507EE356" w:rsidR="00724CFF" w:rsidRDefault="00724CFF">
    <w:pPr>
      <w:pStyle w:val="Footer"/>
      <w:jc w:val="right"/>
    </w:pPr>
    <w:r>
      <w:fldChar w:fldCharType="begin"/>
    </w:r>
    <w:r>
      <w:instrText xml:space="preserve"> PAGE   \* MERGEFORMAT </w:instrText>
    </w:r>
    <w:r>
      <w:fldChar w:fldCharType="separate"/>
    </w:r>
    <w:r w:rsidR="00623547">
      <w:rPr>
        <w:noProof/>
      </w:rPr>
      <w:t>5</w:t>
    </w:r>
    <w:r>
      <w:rPr>
        <w:noProof/>
      </w:rPr>
      <w:fldChar w:fldCharType="end"/>
    </w:r>
  </w:p>
  <w:p w14:paraId="790812FF" w14:textId="77777777" w:rsidR="00724CFF" w:rsidRPr="00BB5EAA" w:rsidRDefault="00724CF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99969F" w14:textId="4A1A3B99" w:rsidR="00724CFF" w:rsidRDefault="00623547" w:rsidP="00623547">
    <w:pPr>
      <w:pStyle w:val="Footer"/>
      <w:rPr>
        <w:sz w:val="17"/>
      </w:rPr>
    </w:pPr>
    <w:bookmarkStart w:id="6" w:name="TITUS1FooterFirstPage"/>
    <w:r>
      <w:rPr>
        <w:sz w:val="17"/>
      </w:rPr>
      <w:t> </w:t>
    </w:r>
  </w:p>
  <w:bookmarkEnd w:id="6"/>
  <w:p w14:paraId="2B2FB519" w14:textId="385341AF" w:rsidR="00724CFF" w:rsidRDefault="00724CFF" w:rsidP="005732BE">
    <w:pPr>
      <w:pStyle w:val="Footer"/>
      <w:jc w:val="right"/>
    </w:pPr>
    <w:r>
      <w:fldChar w:fldCharType="begin"/>
    </w:r>
    <w:r>
      <w:instrText xml:space="preserve"> PAGE   \* MERGEFORMAT </w:instrText>
    </w:r>
    <w:r>
      <w:fldChar w:fldCharType="separate"/>
    </w:r>
    <w:r w:rsidR="00623547">
      <w:rPr>
        <w:noProof/>
      </w:rPr>
      <w:t>1</w:t>
    </w:r>
    <w:r>
      <w:rPr>
        <w:noProof/>
      </w:rPr>
      <w:fldChar w:fldCharType="end"/>
    </w:r>
  </w:p>
  <w:p w14:paraId="604350EE" w14:textId="77777777" w:rsidR="00724CFF" w:rsidRPr="00BB5EAA" w:rsidRDefault="00724CFF" w:rsidP="005732BE">
    <w:pPr>
      <w:pStyle w:val="Footer"/>
      <w:ind w:right="360"/>
      <w:jc w:val="center"/>
    </w:pPr>
  </w:p>
  <w:p w14:paraId="7C8F6C39" w14:textId="77777777" w:rsidR="00724CFF" w:rsidRDefault="00724CF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35A670" w14:textId="28E6D4A0" w:rsidR="00724CFF" w:rsidRDefault="00623547" w:rsidP="00623547">
    <w:pPr>
      <w:pStyle w:val="Footer"/>
      <w:rPr>
        <w:sz w:val="17"/>
      </w:rPr>
    </w:pPr>
    <w:bookmarkStart w:id="9" w:name="TITUS2FooterEvenPages"/>
    <w:r>
      <w:rPr>
        <w:sz w:val="17"/>
      </w:rPr>
      <w:t> </w:t>
    </w:r>
  </w:p>
  <w:bookmarkEnd w:id="9"/>
  <w:p w14:paraId="7D8EFE70" w14:textId="77777777" w:rsidR="00724CFF" w:rsidRDefault="00724CFF" w:rsidP="005732BE">
    <w:pPr>
      <w:pStyle w:val="Footer"/>
      <w:jc w:val="right"/>
    </w:pPr>
  </w:p>
  <w:p w14:paraId="573EECEE" w14:textId="343FDA3B" w:rsidR="00724CFF" w:rsidRDefault="00724CFF" w:rsidP="005732BE">
    <w:pPr>
      <w:pStyle w:val="Footer"/>
      <w:jc w:val="right"/>
    </w:pPr>
    <w:r>
      <w:fldChar w:fldCharType="begin"/>
    </w:r>
    <w:r>
      <w:instrText xml:space="preserve"> PAGE   \* MERGEFORMAT </w:instrText>
    </w:r>
    <w:r>
      <w:fldChar w:fldCharType="separate"/>
    </w:r>
    <w:r w:rsidR="00623547">
      <w:rPr>
        <w:noProof/>
      </w:rPr>
      <w:t>20</w:t>
    </w:r>
    <w:r>
      <w:rPr>
        <w:noProof/>
      </w:rPr>
      <w:fldChar w:fldCharType="end"/>
    </w:r>
  </w:p>
  <w:p w14:paraId="241442ED" w14:textId="77777777" w:rsidR="00724CFF" w:rsidRPr="00BB5EAA" w:rsidRDefault="00724CFF" w:rsidP="005732BE">
    <w:pPr>
      <w:pStyle w:val="Footer"/>
      <w:ind w:right="360"/>
      <w:jc w:val="center"/>
    </w:pPr>
  </w:p>
  <w:p w14:paraId="3858371E" w14:textId="77777777" w:rsidR="00724CFF" w:rsidRDefault="00724CF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9FABEB" w14:textId="29F7C651" w:rsidR="00724CFF" w:rsidRDefault="00623547" w:rsidP="00623547">
    <w:pPr>
      <w:pStyle w:val="Footer"/>
      <w:rPr>
        <w:sz w:val="17"/>
      </w:rPr>
    </w:pPr>
    <w:bookmarkStart w:id="10" w:name="TITUS2FooterPrimary"/>
    <w:r>
      <w:rPr>
        <w:sz w:val="17"/>
      </w:rPr>
      <w:t> </w:t>
    </w:r>
  </w:p>
  <w:bookmarkEnd w:id="10"/>
  <w:p w14:paraId="1C5C7AE8" w14:textId="77777777" w:rsidR="00724CFF" w:rsidRDefault="00724CFF">
    <w:pPr>
      <w:pStyle w:val="Footer"/>
      <w:jc w:val="right"/>
    </w:pPr>
  </w:p>
  <w:p w14:paraId="2D933D66" w14:textId="2FAD6E13" w:rsidR="00724CFF" w:rsidRDefault="00724CFF">
    <w:pPr>
      <w:pStyle w:val="Footer"/>
      <w:jc w:val="right"/>
    </w:pPr>
    <w:r>
      <w:fldChar w:fldCharType="begin"/>
    </w:r>
    <w:r>
      <w:instrText xml:space="preserve"> PAGE   \* MERGEFORMAT </w:instrText>
    </w:r>
    <w:r>
      <w:fldChar w:fldCharType="separate"/>
    </w:r>
    <w:r w:rsidR="00623547">
      <w:rPr>
        <w:noProof/>
      </w:rPr>
      <w:t>21</w:t>
    </w:r>
    <w:r>
      <w:rPr>
        <w:noProof/>
      </w:rPr>
      <w:fldChar w:fldCharType="end"/>
    </w:r>
  </w:p>
  <w:p w14:paraId="04A74288" w14:textId="77777777" w:rsidR="00724CFF" w:rsidRPr="00BB5EAA" w:rsidRDefault="00724CF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06923" w14:textId="5BDF19F5" w:rsidR="00724CFF" w:rsidRDefault="00623547" w:rsidP="00623547">
    <w:pPr>
      <w:pStyle w:val="Footer"/>
      <w:rPr>
        <w:sz w:val="17"/>
      </w:rPr>
    </w:pPr>
    <w:bookmarkStart w:id="12" w:name="TITUS2FooterFirstPage"/>
    <w:r>
      <w:rPr>
        <w:sz w:val="17"/>
      </w:rPr>
      <w:t> </w:t>
    </w:r>
  </w:p>
  <w:bookmarkEnd w:id="12"/>
  <w:p w14:paraId="08AA3C18" w14:textId="77777777" w:rsidR="00724CFF" w:rsidRDefault="00724CFF" w:rsidP="005732BE">
    <w:pPr>
      <w:pStyle w:val="Footer"/>
      <w:jc w:val="right"/>
    </w:pPr>
  </w:p>
  <w:p w14:paraId="7A3E40FF" w14:textId="14E35FF6" w:rsidR="00724CFF" w:rsidRDefault="00724CFF" w:rsidP="005732BE">
    <w:pPr>
      <w:pStyle w:val="Footer"/>
      <w:jc w:val="right"/>
    </w:pPr>
    <w:r>
      <w:fldChar w:fldCharType="begin"/>
    </w:r>
    <w:r>
      <w:instrText xml:space="preserve"> PAGE   \* MERGEFORMAT </w:instrText>
    </w:r>
    <w:r>
      <w:fldChar w:fldCharType="separate"/>
    </w:r>
    <w:r w:rsidR="00623547">
      <w:rPr>
        <w:noProof/>
      </w:rPr>
      <w:t>9</w:t>
    </w:r>
    <w:r>
      <w:rPr>
        <w:noProof/>
      </w:rPr>
      <w:fldChar w:fldCharType="end"/>
    </w:r>
  </w:p>
  <w:p w14:paraId="41507C4F" w14:textId="77777777" w:rsidR="00724CFF" w:rsidRPr="00BB5EAA" w:rsidRDefault="00724CFF" w:rsidP="005732BE">
    <w:pPr>
      <w:pStyle w:val="Footer"/>
      <w:ind w:right="360"/>
      <w:jc w:val="center"/>
    </w:pPr>
  </w:p>
  <w:p w14:paraId="2C7A01D3" w14:textId="77777777" w:rsidR="00724CFF" w:rsidRDefault="00724CF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06A7ED" w14:textId="793E4CEE" w:rsidR="00724CFF" w:rsidRDefault="00623547" w:rsidP="00623547">
    <w:pPr>
      <w:pStyle w:val="Footer"/>
      <w:rPr>
        <w:sz w:val="17"/>
      </w:rPr>
    </w:pPr>
    <w:bookmarkStart w:id="15" w:name="TITUS3FooterEvenPages"/>
    <w:r>
      <w:rPr>
        <w:sz w:val="17"/>
      </w:rPr>
      <w:t> </w:t>
    </w:r>
  </w:p>
  <w:bookmarkEnd w:id="15"/>
  <w:p w14:paraId="47C9F680" w14:textId="77777777" w:rsidR="00724CFF" w:rsidRDefault="00724CFF" w:rsidP="005732BE">
    <w:pPr>
      <w:pStyle w:val="Footer"/>
      <w:jc w:val="right"/>
    </w:pPr>
  </w:p>
  <w:p w14:paraId="2F64FF7F" w14:textId="395CA64F" w:rsidR="00724CFF" w:rsidRDefault="00724CFF" w:rsidP="005732BE">
    <w:pPr>
      <w:pStyle w:val="Footer"/>
      <w:jc w:val="right"/>
    </w:pPr>
    <w:r>
      <w:fldChar w:fldCharType="begin"/>
    </w:r>
    <w:r>
      <w:instrText xml:space="preserve"> PAGE   \* MERGEFORMAT </w:instrText>
    </w:r>
    <w:r>
      <w:fldChar w:fldCharType="separate"/>
    </w:r>
    <w:r w:rsidR="00623547">
      <w:rPr>
        <w:noProof/>
      </w:rPr>
      <w:t>24</w:t>
    </w:r>
    <w:r>
      <w:rPr>
        <w:noProof/>
      </w:rPr>
      <w:fldChar w:fldCharType="end"/>
    </w:r>
  </w:p>
  <w:p w14:paraId="50AA8127" w14:textId="77777777" w:rsidR="00724CFF" w:rsidRPr="00BB5EAA" w:rsidRDefault="00724CFF" w:rsidP="005732BE">
    <w:pPr>
      <w:pStyle w:val="Footer"/>
      <w:ind w:right="360"/>
      <w:jc w:val="center"/>
    </w:pPr>
  </w:p>
  <w:p w14:paraId="3829A317" w14:textId="77777777" w:rsidR="00724CFF" w:rsidRDefault="00724CF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16517D" w14:textId="3CE12F64" w:rsidR="00724CFF" w:rsidRDefault="00623547" w:rsidP="00623547">
    <w:pPr>
      <w:pStyle w:val="Footer"/>
      <w:rPr>
        <w:sz w:val="17"/>
      </w:rPr>
    </w:pPr>
    <w:bookmarkStart w:id="16" w:name="TITUS3FooterPrimary"/>
    <w:r>
      <w:rPr>
        <w:sz w:val="17"/>
      </w:rPr>
      <w:t> </w:t>
    </w:r>
  </w:p>
  <w:bookmarkEnd w:id="16"/>
  <w:p w14:paraId="41BD67F7" w14:textId="77777777" w:rsidR="00724CFF" w:rsidRDefault="00724CFF">
    <w:pPr>
      <w:pStyle w:val="Footer"/>
      <w:jc w:val="right"/>
    </w:pPr>
  </w:p>
  <w:p w14:paraId="0540ED46" w14:textId="25004090" w:rsidR="00724CFF" w:rsidRDefault="00724CFF">
    <w:pPr>
      <w:pStyle w:val="Footer"/>
      <w:jc w:val="right"/>
    </w:pPr>
    <w:r>
      <w:fldChar w:fldCharType="begin"/>
    </w:r>
    <w:r>
      <w:instrText xml:space="preserve"> PAGE   \* MERGEFORMAT </w:instrText>
    </w:r>
    <w:r>
      <w:fldChar w:fldCharType="separate"/>
    </w:r>
    <w:r w:rsidR="00623547">
      <w:rPr>
        <w:noProof/>
      </w:rPr>
      <w:t>23</w:t>
    </w:r>
    <w:r>
      <w:rPr>
        <w:noProof/>
      </w:rPr>
      <w:fldChar w:fldCharType="end"/>
    </w:r>
  </w:p>
  <w:p w14:paraId="26DB4723" w14:textId="77777777" w:rsidR="00724CFF" w:rsidRPr="00BB5EAA" w:rsidRDefault="00724CF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3AEF2F" w14:textId="64A3BA9A" w:rsidR="00724CFF" w:rsidRDefault="00623547" w:rsidP="00623547">
    <w:pPr>
      <w:pStyle w:val="Footer"/>
      <w:rPr>
        <w:sz w:val="17"/>
      </w:rPr>
    </w:pPr>
    <w:bookmarkStart w:id="18" w:name="TITUS3FooterFirstPage"/>
    <w:r>
      <w:rPr>
        <w:sz w:val="17"/>
      </w:rPr>
      <w:t> </w:t>
    </w:r>
  </w:p>
  <w:bookmarkEnd w:id="18"/>
  <w:p w14:paraId="395F064E" w14:textId="77777777" w:rsidR="00724CFF" w:rsidRDefault="00724CFF" w:rsidP="005732BE">
    <w:pPr>
      <w:pStyle w:val="Footer"/>
      <w:jc w:val="right"/>
    </w:pPr>
  </w:p>
  <w:p w14:paraId="1EF6E852" w14:textId="0738BBBD" w:rsidR="00724CFF" w:rsidRDefault="00724CFF" w:rsidP="005732BE">
    <w:pPr>
      <w:pStyle w:val="Footer"/>
      <w:jc w:val="right"/>
    </w:pPr>
    <w:r>
      <w:fldChar w:fldCharType="begin"/>
    </w:r>
    <w:r>
      <w:instrText xml:space="preserve"> PAGE   \* MERGEFORMAT </w:instrText>
    </w:r>
    <w:r>
      <w:fldChar w:fldCharType="separate"/>
    </w:r>
    <w:r w:rsidR="00623547">
      <w:rPr>
        <w:noProof/>
      </w:rPr>
      <w:t>22</w:t>
    </w:r>
    <w:r>
      <w:rPr>
        <w:noProof/>
      </w:rPr>
      <w:fldChar w:fldCharType="end"/>
    </w:r>
  </w:p>
  <w:p w14:paraId="013B4A37" w14:textId="77777777" w:rsidR="00724CFF" w:rsidRPr="00BB5EAA" w:rsidRDefault="00724CFF" w:rsidP="005732BE">
    <w:pPr>
      <w:pStyle w:val="Footer"/>
      <w:ind w:right="360"/>
      <w:jc w:val="center"/>
    </w:pPr>
  </w:p>
  <w:p w14:paraId="51B5A52A" w14:textId="77777777" w:rsidR="00724CFF" w:rsidRDefault="00724CF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53FFDF" w14:textId="4AC5F95F" w:rsidR="00724CFF" w:rsidRDefault="00623547" w:rsidP="00623547">
    <w:pPr>
      <w:pStyle w:val="Footer"/>
      <w:rPr>
        <w:sz w:val="17"/>
      </w:rPr>
    </w:pPr>
    <w:bookmarkStart w:id="21" w:name="TITUS4FooterEvenPages"/>
    <w:r>
      <w:rPr>
        <w:sz w:val="17"/>
      </w:rPr>
      <w:t> </w:t>
    </w:r>
  </w:p>
  <w:bookmarkEnd w:id="21"/>
  <w:p w14:paraId="01EDCC2D" w14:textId="77777777" w:rsidR="00724CFF" w:rsidRDefault="00724CFF" w:rsidP="005732BE">
    <w:pPr>
      <w:pStyle w:val="Footer"/>
      <w:jc w:val="right"/>
    </w:pPr>
  </w:p>
  <w:p w14:paraId="158BE6E1" w14:textId="77777777" w:rsidR="00724CFF" w:rsidRDefault="00724CFF" w:rsidP="005732BE">
    <w:pPr>
      <w:pStyle w:val="Footer"/>
      <w:jc w:val="right"/>
    </w:pPr>
    <w:r>
      <w:fldChar w:fldCharType="begin"/>
    </w:r>
    <w:r>
      <w:instrText xml:space="preserve"> PAGE   \* MERGEFORMAT </w:instrText>
    </w:r>
    <w:r>
      <w:fldChar w:fldCharType="separate"/>
    </w:r>
    <w:r>
      <w:rPr>
        <w:noProof/>
      </w:rPr>
      <w:t>2</w:t>
    </w:r>
    <w:r>
      <w:rPr>
        <w:noProof/>
      </w:rPr>
      <w:fldChar w:fldCharType="end"/>
    </w:r>
  </w:p>
  <w:p w14:paraId="3325098D" w14:textId="77777777" w:rsidR="00724CFF" w:rsidRPr="00BB5EAA" w:rsidRDefault="00724CFF" w:rsidP="005732BE">
    <w:pPr>
      <w:pStyle w:val="Footer"/>
      <w:ind w:right="360"/>
      <w:jc w:val="center"/>
    </w:pPr>
  </w:p>
  <w:p w14:paraId="2EEC2876" w14:textId="77777777" w:rsidR="00724CFF" w:rsidRDefault="00724CF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42A75F" w14:textId="07F27BDB" w:rsidR="00724CFF" w:rsidRDefault="00623547" w:rsidP="00623547">
    <w:pPr>
      <w:pStyle w:val="Footer"/>
      <w:rPr>
        <w:sz w:val="17"/>
      </w:rPr>
    </w:pPr>
    <w:bookmarkStart w:id="22" w:name="TITUS4FooterPrimary"/>
    <w:r>
      <w:rPr>
        <w:sz w:val="17"/>
      </w:rPr>
      <w:t> </w:t>
    </w:r>
  </w:p>
  <w:bookmarkEnd w:id="22"/>
  <w:p w14:paraId="1EEFF303" w14:textId="77777777" w:rsidR="00724CFF" w:rsidRDefault="00724CFF">
    <w:pPr>
      <w:pStyle w:val="Footer"/>
      <w:jc w:val="right"/>
    </w:pPr>
  </w:p>
  <w:p w14:paraId="001BA375" w14:textId="77777777" w:rsidR="00724CFF" w:rsidRDefault="00724CFF">
    <w:pPr>
      <w:pStyle w:val="Footer"/>
      <w:jc w:val="right"/>
    </w:pPr>
    <w:r>
      <w:fldChar w:fldCharType="begin"/>
    </w:r>
    <w:r>
      <w:instrText xml:space="preserve"> PAGE   \* MERGEFORMAT </w:instrText>
    </w:r>
    <w:r>
      <w:fldChar w:fldCharType="separate"/>
    </w:r>
    <w:r>
      <w:rPr>
        <w:noProof/>
      </w:rPr>
      <w:t>2</w:t>
    </w:r>
    <w:r>
      <w:rPr>
        <w:noProof/>
      </w:rPr>
      <w:fldChar w:fldCharType="end"/>
    </w:r>
  </w:p>
  <w:p w14:paraId="3F5A7EF8" w14:textId="77777777" w:rsidR="00724CFF" w:rsidRPr="00BB5EAA" w:rsidRDefault="00724CF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83DC7" w14:textId="4D7AE9AB" w:rsidR="00724CFF" w:rsidRDefault="00623547" w:rsidP="00623547">
    <w:pPr>
      <w:pStyle w:val="Footer"/>
      <w:rPr>
        <w:sz w:val="17"/>
      </w:rPr>
    </w:pPr>
    <w:bookmarkStart w:id="24" w:name="TITUS4FooterFirstPage"/>
    <w:r>
      <w:rPr>
        <w:sz w:val="17"/>
      </w:rPr>
      <w:t> </w:t>
    </w:r>
  </w:p>
  <w:bookmarkEnd w:id="24"/>
  <w:p w14:paraId="19AA3C78" w14:textId="77777777" w:rsidR="00724CFF" w:rsidRDefault="00724CFF" w:rsidP="005732BE">
    <w:pPr>
      <w:pStyle w:val="Footer"/>
      <w:jc w:val="right"/>
    </w:pPr>
  </w:p>
  <w:p w14:paraId="7206CE3C" w14:textId="0801D870" w:rsidR="00724CFF" w:rsidRDefault="00724CFF" w:rsidP="005732BE">
    <w:pPr>
      <w:pStyle w:val="Footer"/>
      <w:jc w:val="right"/>
    </w:pPr>
    <w:r>
      <w:fldChar w:fldCharType="begin"/>
    </w:r>
    <w:r>
      <w:instrText xml:space="preserve"> PAGE   \* MERGEFORMAT </w:instrText>
    </w:r>
    <w:r>
      <w:fldChar w:fldCharType="separate"/>
    </w:r>
    <w:r w:rsidR="00623547">
      <w:rPr>
        <w:noProof/>
      </w:rPr>
      <w:t>25</w:t>
    </w:r>
    <w:r>
      <w:rPr>
        <w:noProof/>
      </w:rPr>
      <w:fldChar w:fldCharType="end"/>
    </w:r>
  </w:p>
  <w:p w14:paraId="0A22D6ED" w14:textId="77777777" w:rsidR="00724CFF" w:rsidRPr="00BB5EAA" w:rsidRDefault="00724CFF" w:rsidP="005732BE">
    <w:pPr>
      <w:pStyle w:val="Footer"/>
      <w:ind w:right="360"/>
      <w:jc w:val="center"/>
    </w:pPr>
  </w:p>
  <w:p w14:paraId="3204542B" w14:textId="77777777" w:rsidR="00724CFF" w:rsidRDefault="00724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724CFF" w:rsidRDefault="00724CFF">
      <w:r>
        <w:separator/>
      </w:r>
    </w:p>
  </w:footnote>
  <w:footnote w:type="continuationSeparator" w:id="0">
    <w:p w14:paraId="458DDD75" w14:textId="77777777" w:rsidR="00724CFF" w:rsidRDefault="00724C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1CC0AF" w14:textId="4E0A402F" w:rsidR="00724CFF" w:rsidRDefault="00623547" w:rsidP="00623547">
    <w:pPr>
      <w:pStyle w:val="Header"/>
      <w:rPr>
        <w:sz w:val="17"/>
      </w:rPr>
    </w:pPr>
    <w:bookmarkStart w:id="1" w:name="TITUS1HeaderEvenPages"/>
    <w:r>
      <w:rPr>
        <w:sz w:val="17"/>
      </w:rPr>
      <w:t> </w:t>
    </w:r>
  </w:p>
  <w:bookmarkEnd w:id="1"/>
  <w:p w14:paraId="6C8C54B4" w14:textId="77777777" w:rsidR="00724CFF" w:rsidRDefault="00724CFF" w:rsidP="0042226F">
    <w:pPr>
      <w:pStyle w:val="Header"/>
    </w:pPr>
  </w:p>
  <w:p w14:paraId="7F82371A" w14:textId="77777777" w:rsidR="00724CFF" w:rsidRDefault="00724C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49ECEA" w14:textId="1095C993" w:rsidR="00724CFF" w:rsidRDefault="00623547" w:rsidP="00623547">
    <w:pPr>
      <w:pStyle w:val="Header"/>
      <w:rPr>
        <w:sz w:val="17"/>
      </w:rPr>
    </w:pPr>
    <w:bookmarkStart w:id="2" w:name="TITUS1HeaderPrimary"/>
    <w:r>
      <w:rPr>
        <w:sz w:val="17"/>
      </w:rPr>
      <w:t> </w:t>
    </w:r>
  </w:p>
  <w:bookmarkEnd w:id="2"/>
  <w:p w14:paraId="2040C28C" w14:textId="77777777" w:rsidR="00724CFF" w:rsidRDefault="00724C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96CA61" w14:textId="0924966D" w:rsidR="00724CFF" w:rsidRDefault="00623547" w:rsidP="00623547">
    <w:pPr>
      <w:pStyle w:val="Header"/>
      <w:rPr>
        <w:sz w:val="17"/>
      </w:rPr>
    </w:pPr>
    <w:bookmarkStart w:id="5" w:name="TITUS1HeaderFirstPage"/>
    <w:r>
      <w:rPr>
        <w:sz w:val="17"/>
      </w:rPr>
      <w:t> </w:t>
    </w:r>
  </w:p>
  <w:bookmarkEnd w:id="5"/>
  <w:p w14:paraId="440E8DC1" w14:textId="77777777" w:rsidR="00724CFF" w:rsidRDefault="00724CF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52E2A" w14:textId="2AB888F6" w:rsidR="00724CFF" w:rsidRDefault="00623547" w:rsidP="00623547">
    <w:pPr>
      <w:pStyle w:val="Header"/>
      <w:rPr>
        <w:sz w:val="17"/>
      </w:rPr>
    </w:pPr>
    <w:bookmarkStart w:id="7" w:name="TITUS2HeaderEvenPages"/>
    <w:r>
      <w:rPr>
        <w:sz w:val="17"/>
      </w:rPr>
      <w:t> </w:t>
    </w:r>
  </w:p>
  <w:bookmarkEnd w:id="7"/>
  <w:p w14:paraId="77666175" w14:textId="77777777" w:rsidR="00724CFF" w:rsidRDefault="00724CFF" w:rsidP="005732BE">
    <w:pPr>
      <w:pStyle w:val="Header"/>
    </w:pPr>
  </w:p>
  <w:p w14:paraId="68B0B8B4" w14:textId="77777777" w:rsidR="00724CFF" w:rsidRDefault="00724CF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B5E72" w14:textId="46408DF4" w:rsidR="00724CFF" w:rsidRDefault="00623547" w:rsidP="00623547">
    <w:pPr>
      <w:pStyle w:val="Header"/>
      <w:rPr>
        <w:sz w:val="17"/>
      </w:rPr>
    </w:pPr>
    <w:bookmarkStart w:id="8" w:name="TITUS2HeaderPrimary"/>
    <w:r>
      <w:rPr>
        <w:sz w:val="17"/>
      </w:rPr>
      <w:t> </w:t>
    </w:r>
  </w:p>
  <w:bookmarkEnd w:id="8"/>
  <w:p w14:paraId="376EA968" w14:textId="77777777" w:rsidR="00724CFF" w:rsidRDefault="00724CF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FC63A5" w14:textId="7FA94B1A" w:rsidR="00724CFF" w:rsidRDefault="00623547" w:rsidP="00623547">
    <w:pPr>
      <w:pStyle w:val="Header"/>
      <w:rPr>
        <w:sz w:val="17"/>
      </w:rPr>
    </w:pPr>
    <w:bookmarkStart w:id="11" w:name="TITUS2HeaderFirstPage"/>
    <w:r>
      <w:rPr>
        <w:sz w:val="17"/>
      </w:rPr>
      <w:t> </w:t>
    </w:r>
  </w:p>
  <w:bookmarkEnd w:id="11"/>
  <w:p w14:paraId="2F497B21" w14:textId="77777777" w:rsidR="00724CFF" w:rsidRDefault="00724CFF" w:rsidP="005732BE">
    <w:pPr>
      <w:pStyle w:val="Header"/>
    </w:pPr>
  </w:p>
  <w:p w14:paraId="0FD4B799" w14:textId="77777777" w:rsidR="00724CFF" w:rsidRDefault="00724CF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186415" w14:textId="269FE841" w:rsidR="00724CFF" w:rsidRDefault="00623547" w:rsidP="00623547">
    <w:pPr>
      <w:pStyle w:val="Header"/>
      <w:rPr>
        <w:sz w:val="17"/>
      </w:rPr>
    </w:pPr>
    <w:bookmarkStart w:id="13" w:name="TITUS3HeaderEvenPages"/>
    <w:r>
      <w:rPr>
        <w:sz w:val="17"/>
      </w:rPr>
      <w:t> </w:t>
    </w:r>
  </w:p>
  <w:bookmarkEnd w:id="13"/>
  <w:p w14:paraId="4B3F2A24" w14:textId="77777777" w:rsidR="00724CFF" w:rsidRDefault="00724CFF" w:rsidP="005732BE">
    <w:pPr>
      <w:pStyle w:val="Header"/>
    </w:pPr>
  </w:p>
  <w:p w14:paraId="7BC4277B" w14:textId="77777777" w:rsidR="00724CFF" w:rsidRDefault="00724CF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3EA566" w14:textId="39DA547C" w:rsidR="00724CFF" w:rsidRDefault="00623547" w:rsidP="00623547">
    <w:pPr>
      <w:pStyle w:val="Header"/>
      <w:rPr>
        <w:sz w:val="17"/>
      </w:rPr>
    </w:pPr>
    <w:bookmarkStart w:id="14" w:name="TITUS3HeaderPrimary"/>
    <w:r>
      <w:rPr>
        <w:sz w:val="17"/>
      </w:rPr>
      <w:t> </w:t>
    </w:r>
  </w:p>
  <w:bookmarkEnd w:id="14"/>
  <w:p w14:paraId="29D6C8D6" w14:textId="77777777" w:rsidR="00724CFF" w:rsidRDefault="00724CF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85090F" w14:textId="6237983C" w:rsidR="00724CFF" w:rsidRDefault="00623547" w:rsidP="00623547">
    <w:pPr>
      <w:pStyle w:val="Header"/>
      <w:rPr>
        <w:sz w:val="17"/>
      </w:rPr>
    </w:pPr>
    <w:bookmarkStart w:id="17" w:name="TITUS3HeaderFirstPage"/>
    <w:r>
      <w:rPr>
        <w:sz w:val="17"/>
      </w:rPr>
      <w:t> </w:t>
    </w:r>
  </w:p>
  <w:bookmarkEnd w:id="17"/>
  <w:p w14:paraId="346D5439" w14:textId="77777777" w:rsidR="00724CFF" w:rsidRDefault="00724CFF" w:rsidP="005732BE">
    <w:pPr>
      <w:pStyle w:val="Header"/>
    </w:pPr>
  </w:p>
  <w:p w14:paraId="028FA34F" w14:textId="77777777" w:rsidR="00724CFF" w:rsidRDefault="00724CF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14D277" w14:textId="11B81CF9" w:rsidR="00724CFF" w:rsidRDefault="00623547" w:rsidP="00623547">
    <w:pPr>
      <w:pStyle w:val="Header"/>
      <w:rPr>
        <w:sz w:val="17"/>
      </w:rPr>
    </w:pPr>
    <w:bookmarkStart w:id="19" w:name="TITUS4HeaderEvenPages"/>
    <w:r>
      <w:rPr>
        <w:sz w:val="17"/>
      </w:rPr>
      <w:t> </w:t>
    </w:r>
  </w:p>
  <w:bookmarkEnd w:id="19"/>
  <w:p w14:paraId="03EA5DE2" w14:textId="77777777" w:rsidR="00724CFF" w:rsidRDefault="00724CFF" w:rsidP="005732BE">
    <w:pPr>
      <w:pStyle w:val="Header"/>
    </w:pPr>
  </w:p>
  <w:p w14:paraId="5CDB1278" w14:textId="77777777" w:rsidR="00724CFF" w:rsidRDefault="00724CF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3AFFEF" w14:textId="7F89EAD9" w:rsidR="00724CFF" w:rsidRDefault="00623547" w:rsidP="00623547">
    <w:pPr>
      <w:pStyle w:val="Header"/>
      <w:rPr>
        <w:sz w:val="17"/>
      </w:rPr>
    </w:pPr>
    <w:bookmarkStart w:id="20" w:name="TITUS4HeaderPrimary"/>
    <w:r>
      <w:rPr>
        <w:sz w:val="17"/>
      </w:rPr>
      <w:t> </w:t>
    </w:r>
  </w:p>
  <w:bookmarkEnd w:id="20"/>
  <w:p w14:paraId="4AB9D927" w14:textId="77777777" w:rsidR="00724CFF" w:rsidRDefault="00724CF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E2A0C2" w14:textId="23C5A301" w:rsidR="00724CFF" w:rsidRDefault="00623547" w:rsidP="00623547">
    <w:pPr>
      <w:pStyle w:val="Header"/>
      <w:rPr>
        <w:sz w:val="17"/>
      </w:rPr>
    </w:pPr>
    <w:bookmarkStart w:id="23" w:name="TITUS4HeaderFirstPage"/>
    <w:r>
      <w:rPr>
        <w:sz w:val="17"/>
      </w:rPr>
      <w:t> </w:t>
    </w:r>
  </w:p>
  <w:bookmarkEnd w:id="23"/>
  <w:p w14:paraId="5F120A86" w14:textId="77777777" w:rsidR="00724CFF" w:rsidRDefault="00724CFF" w:rsidP="005732BE">
    <w:pPr>
      <w:pStyle w:val="Header"/>
    </w:pPr>
  </w:p>
  <w:p w14:paraId="5908D8A9" w14:textId="77777777" w:rsidR="00724CFF" w:rsidRDefault="00724C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A0CAE"/>
    <w:multiLevelType w:val="multilevel"/>
    <w:tmpl w:val="65A8766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lvlOverride w:ilvl="0"/>
    <w:lvlOverride w:ilvl="1"/>
    <w:lvlOverride w:ilvl="2"/>
    <w:lvlOverride w:ilvl="3"/>
    <w:lvlOverride w:ilvl="4"/>
    <w:lvlOverride w:ilvl="5"/>
    <w:lvlOverride w:ilvl="6"/>
    <w:lvlOverride w:ilvl="7"/>
    <w:lvlOverride w:ilv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D6ADD"/>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6095"/>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26F"/>
    <w:rsid w:val="00432B34"/>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32BE"/>
    <w:rsid w:val="00574A0C"/>
    <w:rsid w:val="00576E4C"/>
    <w:rsid w:val="0057780F"/>
    <w:rsid w:val="00581E0A"/>
    <w:rsid w:val="00586D89"/>
    <w:rsid w:val="005916B8"/>
    <w:rsid w:val="005A1B4C"/>
    <w:rsid w:val="005A1BA3"/>
    <w:rsid w:val="005A545C"/>
    <w:rsid w:val="005B4607"/>
    <w:rsid w:val="005C1567"/>
    <w:rsid w:val="005C6CE5"/>
    <w:rsid w:val="005D0EFA"/>
    <w:rsid w:val="005D3F07"/>
    <w:rsid w:val="005D583E"/>
    <w:rsid w:val="005E13EA"/>
    <w:rsid w:val="005E53BD"/>
    <w:rsid w:val="00601C05"/>
    <w:rsid w:val="00606E27"/>
    <w:rsid w:val="006108C9"/>
    <w:rsid w:val="00615C7E"/>
    <w:rsid w:val="0062158D"/>
    <w:rsid w:val="00623547"/>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4CFF"/>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B7D32"/>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17A46"/>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67A3"/>
    <w:rsid w:val="00D876E6"/>
    <w:rsid w:val="00D93CA6"/>
    <w:rsid w:val="00D94C3D"/>
    <w:rsid w:val="00D951B9"/>
    <w:rsid w:val="00DA1025"/>
    <w:rsid w:val="00DA22EC"/>
    <w:rsid w:val="00DA5860"/>
    <w:rsid w:val="00DB2767"/>
    <w:rsid w:val="00DC418E"/>
    <w:rsid w:val="00DC4729"/>
    <w:rsid w:val="00DD233A"/>
    <w:rsid w:val="00DE556F"/>
    <w:rsid w:val="00E03B6D"/>
    <w:rsid w:val="00E03DFD"/>
    <w:rsid w:val="00E16218"/>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827BA"/>
    <w:rsid w:val="00F927A1"/>
    <w:rsid w:val="00F92E4D"/>
    <w:rsid w:val="00FA12F7"/>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171315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898793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ukfeminista.org.uk/resources/close-this-market/" TargetMode="Externa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app.college.police.uk/app-content/investigations/investigative-interviewing/" TargetMode="Externa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womensaid.org.uk/information-support/what-is-domestic-abuse/coercive-control/" TargetMode="Externa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investigations/victims-and-witnesses/"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2015/9/contents/enacted" TargetMode="Externa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doi.org/10.1177/0032258X20931922" TargetMode="External"/><Relationship Id="rId30" Type="http://schemas.openxmlformats.org/officeDocument/2006/relationships/hyperlink" Target="https://www.qni.org.uk/resources/homelessness-criminal-justice-system-2/" TargetMode="Externa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purl.org/dc/dcmitype/"/>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1BBB4CE4-6082-4B7E-87B8-C3876D965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1364</TotalTime>
  <Pages>25</Pages>
  <Words>7040</Words>
  <Characters>38625</Characters>
  <Application>Microsoft Office Word</Application>
  <DocSecurity>0</DocSecurity>
  <Lines>321</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McNally,Michael swp6848</cp:lastModifiedBy>
  <cp:revision>11</cp:revision>
  <cp:lastPrinted>2021-10-13T12:39:00Z</cp:lastPrinted>
  <dcterms:created xsi:type="dcterms:W3CDTF">2021-08-03T06:51:00Z</dcterms:created>
  <dcterms:modified xsi:type="dcterms:W3CDTF">2021-10-18T11:41:00Z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e6b3b8c3-cb70-4604-95ef-5447a1eb38b1</vt:lpwstr>
  </property>
  <property fmtid="{D5CDD505-2E9C-101B-9397-08002B2CF9AE}" pid="4" name="Classification">
    <vt:lpwstr>OFFICIAL</vt:lpwstr>
  </property>
  <property fmtid="{D5CDD505-2E9C-101B-9397-08002B2CF9AE}" pid="5" name="Visibility">
    <vt:lpwstr>NOT VISIBLE</vt:lpwstr>
  </property>
</Properties>
</file>