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both"/>
        <w:rPr>
          <w:rFonts w:ascii="Times New Roman" w:hAnsi="Times New Roman"/>
          <w:b w:val="1"/>
          <w:bCs w:val="1"/>
          <w:i w:val="1"/>
          <w:iCs w:val="1"/>
          <w:sz w:val="24"/>
          <w:szCs w:val="24"/>
        </w:rPr>
      </w:pPr>
    </w:p>
    <w:p>
      <w:pPr>
        <w:pStyle w:val="Body"/>
        <w:spacing w:after="200" w:line="360" w:lineRule="auto"/>
        <w:jc w:val="center"/>
        <w:rPr>
          <w:rFonts w:ascii="Times New Roman" w:cs="Times New Roman" w:hAnsi="Times New Roman" w:eastAsia="Times New Roman"/>
          <w:b w:val="1"/>
          <w:bCs w:val="1"/>
          <w:i w:val="1"/>
          <w:iCs w:val="1"/>
          <w:outline w:val="0"/>
          <w:color w:val="000000"/>
          <w:kern w:val="0"/>
          <w:sz w:val="36"/>
          <w:szCs w:val="36"/>
          <w:u w:color="000000"/>
          <w14:textFill>
            <w14:solidFill>
              <w14:srgbClr w14:val="000000"/>
            </w14:solidFill>
          </w14:textFill>
        </w:rPr>
      </w:pPr>
      <w:r>
        <w:rPr>
          <w:rFonts w:ascii="Times New Roman" w:hAnsi="Times New Roman"/>
          <w:b w:val="1"/>
          <w:bCs w:val="1"/>
          <w:i w:val="1"/>
          <w:iCs w:val="1"/>
          <w:outline w:val="0"/>
          <w:color w:val="000000"/>
          <w:kern w:val="0"/>
          <w:sz w:val="36"/>
          <w:szCs w:val="36"/>
          <w:u w:color="000000"/>
          <w:rtl w:val="0"/>
          <w:lang w:val="en-US"/>
          <w14:textFill>
            <w14:solidFill>
              <w14:srgbClr w14:val="000000"/>
            </w14:solidFill>
          </w14:textFill>
        </w:rPr>
        <w:t>University of Wales Trinity Saint David</w:t>
      </w:r>
    </w:p>
    <w:p>
      <w:pPr>
        <w:pStyle w:val="Body"/>
        <w:spacing w:after="200" w:line="360" w:lineRule="auto"/>
        <w:jc w:val="center"/>
        <w:rPr>
          <w:rFonts w:ascii="Times New Roman" w:cs="Times New Roman" w:hAnsi="Times New Roman" w:eastAsia="Times New Roman"/>
          <w:b w:val="1"/>
          <w:bCs w:val="1"/>
          <w:i w:val="1"/>
          <w:iCs w:val="1"/>
          <w:outline w:val="0"/>
          <w:color w:val="000000"/>
          <w:kern w:val="0"/>
          <w:sz w:val="36"/>
          <w:szCs w:val="36"/>
          <w:u w:color="000000"/>
          <w14:textFill>
            <w14:solidFill>
              <w14:srgbClr w14:val="000000"/>
            </w14:solidFill>
          </w14:textFill>
        </w:rPr>
      </w:pPr>
      <w:r>
        <w:rPr>
          <w:rFonts w:ascii="Times New Roman" w:hAnsi="Times New Roman"/>
          <w:b w:val="1"/>
          <w:bCs w:val="1"/>
          <w:i w:val="1"/>
          <w:iCs w:val="1"/>
          <w:outline w:val="0"/>
          <w:color w:val="000000"/>
          <w:kern w:val="0"/>
          <w:sz w:val="36"/>
          <w:szCs w:val="36"/>
          <w:u w:color="000000"/>
          <w:rtl w:val="0"/>
          <w:lang w:val="it-IT"/>
          <w14:textFill>
            <w14:solidFill>
              <w14:srgbClr w14:val="000000"/>
            </w14:solidFill>
          </w14:textFill>
        </w:rPr>
        <w:t>London</w:t>
      </w:r>
    </w:p>
    <w:p>
      <w:pPr>
        <w:pStyle w:val="Body"/>
        <w:spacing w:after="200" w:line="360" w:lineRule="auto"/>
        <w:jc w:val="center"/>
        <w:rPr>
          <w:rFonts w:ascii="Times New Roman" w:cs="Times New Roman" w:hAnsi="Times New Roman" w:eastAsia="Times New Roman"/>
          <w:b w:val="1"/>
          <w:bCs w:val="1"/>
          <w:i w:val="1"/>
          <w:iCs w:val="1"/>
          <w:outline w:val="0"/>
          <w:color w:val="000000"/>
          <w:kern w:val="0"/>
          <w:sz w:val="36"/>
          <w:szCs w:val="36"/>
          <w:u w:color="000000"/>
          <w14:textFill>
            <w14:solidFill>
              <w14:srgbClr w14:val="000000"/>
            </w14:solidFill>
          </w14:textFill>
        </w:rPr>
      </w:pPr>
    </w:p>
    <w:p>
      <w:pPr>
        <w:pStyle w:val="Body"/>
        <w:spacing w:after="200" w:line="360" w:lineRule="auto"/>
        <w:jc w:val="center"/>
        <w:rPr>
          <w:rFonts w:ascii="Times New Roman" w:cs="Times New Roman" w:hAnsi="Times New Roman" w:eastAsia="Times New Roman"/>
          <w:b w:val="1"/>
          <w:bCs w:val="1"/>
          <w:i w:val="1"/>
          <w:iCs w:val="1"/>
          <w:outline w:val="0"/>
          <w:color w:val="000000"/>
          <w:kern w:val="0"/>
          <w:sz w:val="36"/>
          <w:szCs w:val="36"/>
          <w:u w:color="000000"/>
          <w14:textFill>
            <w14:solidFill>
              <w14:srgbClr w14:val="000000"/>
            </w14:solidFill>
          </w14:textFill>
        </w:rPr>
      </w:pPr>
      <w:r>
        <w:rPr>
          <w:rFonts w:ascii="Times New Roman" w:hAnsi="Times New Roman"/>
          <w:b w:val="1"/>
          <w:bCs w:val="1"/>
          <w:i w:val="1"/>
          <w:iCs w:val="1"/>
          <w:outline w:val="0"/>
          <w:color w:val="000000"/>
          <w:kern w:val="0"/>
          <w:sz w:val="36"/>
          <w:szCs w:val="36"/>
          <w:u w:color="000000"/>
          <w:rtl w:val="0"/>
          <w:lang w:val="en-US"/>
          <w14:textFill>
            <w14:solidFill>
              <w14:srgbClr w14:val="000000"/>
            </w14:solidFill>
          </w14:textFill>
        </w:rPr>
        <w:t>Assessment 1</w:t>
      </w:r>
    </w:p>
    <w:p>
      <w:pPr>
        <w:pStyle w:val="Body"/>
        <w:spacing w:after="200" w:line="360" w:lineRule="auto"/>
        <w:jc w:val="center"/>
        <w:rPr>
          <w:rFonts w:ascii="Times New Roman" w:cs="Times New Roman" w:hAnsi="Times New Roman" w:eastAsia="Times New Roman"/>
          <w:b w:val="1"/>
          <w:bCs w:val="1"/>
          <w:i w:val="1"/>
          <w:iCs w:val="1"/>
          <w:outline w:val="0"/>
          <w:color w:val="000000"/>
          <w:kern w:val="0"/>
          <w:sz w:val="36"/>
          <w:szCs w:val="36"/>
          <w:u w:color="000000"/>
          <w14:textFill>
            <w14:solidFill>
              <w14:srgbClr w14:val="000000"/>
            </w14:solidFill>
          </w14:textFill>
        </w:rPr>
      </w:pPr>
    </w:p>
    <w:p>
      <w:pPr>
        <w:pStyle w:val="Body"/>
        <w:spacing w:after="200" w:line="360" w:lineRule="auto"/>
        <w:jc w:val="center"/>
        <w:rPr>
          <w:rFonts w:ascii="Times New Roman" w:cs="Times New Roman" w:hAnsi="Times New Roman" w:eastAsia="Times New Roman"/>
          <w:b w:val="1"/>
          <w:bCs w:val="1"/>
          <w:i w:val="1"/>
          <w:iCs w:val="1"/>
          <w:outline w:val="0"/>
          <w:color w:val="000000"/>
          <w:kern w:val="0"/>
          <w:sz w:val="36"/>
          <w:szCs w:val="36"/>
          <w:u w:color="000000"/>
          <w14:textFill>
            <w14:solidFill>
              <w14:srgbClr w14:val="000000"/>
            </w14:solidFill>
          </w14:textFill>
        </w:rPr>
      </w:pPr>
      <w:r>
        <w:rPr>
          <w:rFonts w:ascii="Times New Roman" w:hAnsi="Times New Roman"/>
          <w:b w:val="1"/>
          <w:bCs w:val="1"/>
          <w:i w:val="1"/>
          <w:iCs w:val="1"/>
          <w:outline w:val="0"/>
          <w:color w:val="000000"/>
          <w:kern w:val="0"/>
          <w:sz w:val="36"/>
          <w:szCs w:val="36"/>
          <w:u w:color="000000"/>
          <w:shd w:val="clear" w:color="auto" w:fill="ffffff"/>
          <w:rtl w:val="0"/>
          <w:lang w:val="en-US"/>
          <w14:textFill>
            <w14:solidFill>
              <w14:srgbClr w14:val="000000"/>
            </w14:solidFill>
          </w14:textFill>
        </w:rPr>
        <w:t xml:space="preserve"> International Financial Management (LCBB6002</w:t>
      </w:r>
      <w:r>
        <w:rPr>
          <w:rFonts w:ascii="Times New Roman" w:hAnsi="Times New Roman"/>
          <w:b w:val="1"/>
          <w:bCs w:val="1"/>
          <w:i w:val="1"/>
          <w:iCs w:val="1"/>
          <w:outline w:val="0"/>
          <w:color w:val="000000"/>
          <w:kern w:val="0"/>
          <w:sz w:val="36"/>
          <w:szCs w:val="36"/>
          <w:u w:color="000000"/>
          <w:shd w:val="clear" w:color="auto" w:fill="ffffff"/>
          <w:rtl w:val="0"/>
          <w14:textFill>
            <w14:solidFill>
              <w14:srgbClr w14:val="000000"/>
            </w14:solidFill>
          </w14:textFill>
        </w:rPr>
        <w:t>)</w:t>
      </w:r>
    </w:p>
    <w:p>
      <w:pPr>
        <w:pStyle w:val="Body"/>
        <w:spacing w:after="200" w:line="360" w:lineRule="auto"/>
        <w:jc w:val="center"/>
        <w:rPr>
          <w:rFonts w:ascii="Times New Roman" w:cs="Times New Roman" w:hAnsi="Times New Roman" w:eastAsia="Times New Roman"/>
          <w:b w:val="1"/>
          <w:bCs w:val="1"/>
          <w:i w:val="1"/>
          <w:iCs w:val="1"/>
          <w:outline w:val="0"/>
          <w:color w:val="000000"/>
          <w:kern w:val="0"/>
          <w:sz w:val="36"/>
          <w:szCs w:val="36"/>
          <w:u w:color="000000"/>
          <w14:textFill>
            <w14:solidFill>
              <w14:srgbClr w14:val="000000"/>
            </w14:solidFill>
          </w14:textFill>
        </w:rPr>
      </w:pPr>
      <w:r>
        <w:rPr>
          <w:rFonts w:ascii="Times New Roman" w:hAnsi="Times New Roman"/>
          <w:b w:val="1"/>
          <w:bCs w:val="1"/>
          <w:i w:val="1"/>
          <w:iCs w:val="1"/>
          <w:outline w:val="0"/>
          <w:color w:val="000000"/>
          <w:kern w:val="0"/>
          <w:sz w:val="36"/>
          <w:szCs w:val="36"/>
          <w:u w:color="000000"/>
          <w:rtl w:val="0"/>
          <w:lang w:val="de-DE"/>
          <w14:textFill>
            <w14:solidFill>
              <w14:srgbClr w14:val="000000"/>
            </w14:solidFill>
          </w14:textFill>
        </w:rPr>
        <w:t>Lecturer Name:</w:t>
      </w:r>
      <w:r>
        <w:rPr>
          <w:rFonts w:ascii="Times New Roman" w:hAnsi="Times New Roman"/>
          <w:b w:val="1"/>
          <w:bCs w:val="1"/>
          <w:i w:val="1"/>
          <w:iCs w:val="1"/>
          <w:outline w:val="0"/>
          <w:color w:val="000000"/>
          <w:kern w:val="0"/>
          <w:sz w:val="36"/>
          <w:szCs w:val="36"/>
          <w:u w:color="000000"/>
          <w:rtl w:val="0"/>
          <w:lang w:val="en-US"/>
          <w14:textFill>
            <w14:solidFill>
              <w14:srgbClr w14:val="000000"/>
            </w14:solidFill>
          </w14:textFill>
        </w:rPr>
        <w:t xml:space="preserve"> Andry Rakotovololona</w:t>
      </w:r>
    </w:p>
    <w:p>
      <w:pPr>
        <w:pStyle w:val="Body"/>
        <w:spacing w:after="200" w:line="360" w:lineRule="auto"/>
        <w:jc w:val="center"/>
        <w:rPr>
          <w:rFonts w:ascii="Times New Roman" w:cs="Times New Roman" w:hAnsi="Times New Roman" w:eastAsia="Times New Roman"/>
          <w:b w:val="1"/>
          <w:bCs w:val="1"/>
          <w:i w:val="1"/>
          <w:iCs w:val="1"/>
          <w:outline w:val="0"/>
          <w:color w:val="000000"/>
          <w:kern w:val="0"/>
          <w:sz w:val="36"/>
          <w:szCs w:val="36"/>
          <w:u w:color="000000"/>
          <w14:textFill>
            <w14:solidFill>
              <w14:srgbClr w14:val="000000"/>
            </w14:solidFill>
          </w14:textFill>
        </w:rPr>
      </w:pPr>
    </w:p>
    <w:p>
      <w:pPr>
        <w:pStyle w:val="Body"/>
        <w:spacing w:after="200" w:line="360" w:lineRule="auto"/>
        <w:jc w:val="center"/>
        <w:rPr>
          <w:rFonts w:ascii="Times New Roman" w:cs="Times New Roman" w:hAnsi="Times New Roman" w:eastAsia="Times New Roman"/>
          <w:b w:val="1"/>
          <w:bCs w:val="1"/>
          <w:i w:val="1"/>
          <w:iCs w:val="1"/>
          <w:outline w:val="0"/>
          <w:color w:val="000000"/>
          <w:kern w:val="0"/>
          <w:sz w:val="36"/>
          <w:szCs w:val="36"/>
          <w:u w:color="000000"/>
          <w14:textFill>
            <w14:solidFill>
              <w14:srgbClr w14:val="000000"/>
            </w14:solidFill>
          </w14:textFill>
        </w:rPr>
      </w:pPr>
    </w:p>
    <w:p>
      <w:pPr>
        <w:pStyle w:val="Body"/>
        <w:spacing w:after="200" w:line="360" w:lineRule="auto"/>
        <w:jc w:val="center"/>
        <w:rPr>
          <w:rFonts w:ascii="Times New Roman" w:cs="Times New Roman" w:hAnsi="Times New Roman" w:eastAsia="Times New Roman"/>
          <w:b w:val="1"/>
          <w:bCs w:val="1"/>
          <w:i w:val="1"/>
          <w:iCs w:val="1"/>
          <w:outline w:val="0"/>
          <w:color w:val="000000"/>
          <w:kern w:val="0"/>
          <w:sz w:val="36"/>
          <w:szCs w:val="36"/>
          <w:u w:color="000000"/>
          <w14:textFill>
            <w14:solidFill>
              <w14:srgbClr w14:val="000000"/>
            </w14:solidFill>
          </w14:textFill>
        </w:rPr>
      </w:pPr>
      <w:r>
        <w:rPr>
          <w:rFonts w:ascii="Times New Roman" w:hAnsi="Times New Roman"/>
          <w:b w:val="1"/>
          <w:bCs w:val="1"/>
          <w:i w:val="1"/>
          <w:iCs w:val="1"/>
          <w:outline w:val="0"/>
          <w:color w:val="000000"/>
          <w:kern w:val="0"/>
          <w:sz w:val="36"/>
          <w:szCs w:val="36"/>
          <w:u w:color="000000"/>
          <w:rtl w:val="0"/>
          <w:lang w:val="en-US"/>
          <w14:textFill>
            <w14:solidFill>
              <w14:srgbClr w14:val="000000"/>
            </w14:solidFill>
          </w14:textFill>
        </w:rPr>
        <w:t>Student Name: Manuela Manolova</w:t>
      </w:r>
    </w:p>
    <w:p>
      <w:pPr>
        <w:pStyle w:val="Body"/>
        <w:spacing w:after="200" w:line="360" w:lineRule="auto"/>
        <w:jc w:val="center"/>
        <w:rPr>
          <w:rFonts w:ascii="Times New Roman" w:cs="Times New Roman" w:hAnsi="Times New Roman" w:eastAsia="Times New Roman"/>
          <w:b w:val="1"/>
          <w:bCs w:val="1"/>
          <w:i w:val="1"/>
          <w:iCs w:val="1"/>
          <w:outline w:val="0"/>
          <w:color w:val="000000"/>
          <w:kern w:val="0"/>
          <w:sz w:val="36"/>
          <w:szCs w:val="36"/>
          <w:u w:color="000000"/>
          <w14:textFill>
            <w14:solidFill>
              <w14:srgbClr w14:val="000000"/>
            </w14:solidFill>
          </w14:textFill>
        </w:rPr>
      </w:pPr>
      <w:r>
        <w:rPr>
          <w:rFonts w:ascii="Times New Roman" w:hAnsi="Times New Roman"/>
          <w:b w:val="1"/>
          <w:bCs w:val="1"/>
          <w:i w:val="1"/>
          <w:iCs w:val="1"/>
          <w:outline w:val="0"/>
          <w:color w:val="000000"/>
          <w:kern w:val="0"/>
          <w:sz w:val="36"/>
          <w:szCs w:val="36"/>
          <w:u w:color="000000"/>
          <w:rtl w:val="0"/>
          <w:lang w:val="it-IT"/>
          <w14:textFill>
            <w14:solidFill>
              <w14:srgbClr w14:val="000000"/>
            </w14:solidFill>
          </w14:textFill>
        </w:rPr>
        <w:t>Student No: 2018</w:t>
      </w:r>
      <w:r>
        <w:rPr>
          <w:rFonts w:ascii="Times New Roman" w:hAnsi="Times New Roman"/>
          <w:b w:val="1"/>
          <w:bCs w:val="1"/>
          <w:i w:val="1"/>
          <w:iCs w:val="1"/>
          <w:outline w:val="0"/>
          <w:color w:val="000000"/>
          <w:kern w:val="0"/>
          <w:sz w:val="36"/>
          <w:szCs w:val="36"/>
          <w:u w:color="000000"/>
          <w:rtl w:val="0"/>
          <w:lang w:val="en-US"/>
          <w14:textFill>
            <w14:solidFill>
              <w14:srgbClr w14:val="000000"/>
            </w14:solidFill>
          </w14:textFill>
        </w:rPr>
        <w:t>271</w:t>
      </w:r>
    </w:p>
    <w:p>
      <w:pPr>
        <w:pStyle w:val="Body"/>
        <w:spacing w:after="200" w:line="360" w:lineRule="auto"/>
        <w:jc w:val="center"/>
        <w:rPr>
          <w:rFonts w:ascii="Times New Roman" w:cs="Times New Roman" w:hAnsi="Times New Roman" w:eastAsia="Times New Roman"/>
          <w:outline w:val="0"/>
          <w:color w:val="000000"/>
          <w:kern w:val="0"/>
          <w:u w:color="000000"/>
          <w:shd w:val="clear" w:color="auto" w:fill="ffffff"/>
          <w14:textFill>
            <w14:solidFill>
              <w14:srgbClr w14:val="000000"/>
            </w14:solidFill>
          </w14:textFill>
        </w:rPr>
      </w:pPr>
    </w:p>
    <w:p>
      <w:pPr>
        <w:pStyle w:val="Body"/>
        <w:spacing w:after="200" w:line="360" w:lineRule="auto"/>
        <w:jc w:val="center"/>
        <w:rPr>
          <w:rFonts w:ascii="Times New Roman" w:cs="Times New Roman" w:hAnsi="Times New Roman" w:eastAsia="Times New Roman"/>
          <w:b w:val="1"/>
          <w:bCs w:val="1"/>
          <w:i w:val="1"/>
          <w:iCs w:val="1"/>
          <w:kern w:val="0"/>
          <w:sz w:val="36"/>
          <w:szCs w:val="36"/>
          <w:shd w:val="clear" w:color="auto" w:fill="ffffff"/>
        </w:rPr>
      </w:pPr>
    </w:p>
    <w:p>
      <w:pPr>
        <w:pStyle w:val="Body"/>
        <w:spacing w:line="360" w:lineRule="auto"/>
        <w:jc w:val="both"/>
        <w:rPr>
          <w:rFonts w:ascii="Times New Roman" w:cs="Times New Roman" w:hAnsi="Times New Roman" w:eastAsia="Times New Roman"/>
          <w:b w:val="1"/>
          <w:bCs w:val="1"/>
          <w:i w:val="1"/>
          <w:iCs w:val="1"/>
          <w:sz w:val="24"/>
          <w:szCs w:val="24"/>
        </w:rPr>
      </w:pPr>
    </w:p>
    <w:p>
      <w:pPr>
        <w:pStyle w:val="Body"/>
        <w:spacing w:line="360" w:lineRule="auto"/>
        <w:jc w:val="both"/>
        <w:rPr>
          <w:rFonts w:ascii="Times New Roman" w:cs="Times New Roman" w:hAnsi="Times New Roman" w:eastAsia="Times New Roman"/>
          <w:b w:val="1"/>
          <w:bCs w:val="1"/>
          <w:i w:val="1"/>
          <w:iCs w:val="1"/>
          <w:sz w:val="24"/>
          <w:szCs w:val="24"/>
        </w:rPr>
      </w:pPr>
    </w:p>
    <w:p>
      <w:pPr>
        <w:pStyle w:val="Body"/>
        <w:spacing w:line="360" w:lineRule="auto"/>
        <w:jc w:val="both"/>
        <w:rPr>
          <w:rFonts w:ascii="Times New Roman" w:cs="Times New Roman" w:hAnsi="Times New Roman" w:eastAsia="Times New Roman"/>
          <w:b w:val="1"/>
          <w:bCs w:val="1"/>
          <w:i w:val="1"/>
          <w:iCs w:val="1"/>
          <w:sz w:val="24"/>
          <w:szCs w:val="24"/>
        </w:rPr>
      </w:pPr>
    </w:p>
    <w:p>
      <w:pPr>
        <w:pStyle w:val="Body"/>
        <w:spacing w:line="360" w:lineRule="auto"/>
        <w:jc w:val="center"/>
        <w:rPr>
          <w:rFonts w:ascii="Times New Roman" w:cs="Times New Roman" w:hAnsi="Times New Roman" w:eastAsia="Times New Roman"/>
          <w:b w:val="1"/>
          <w:bCs w:val="1"/>
          <w:i w:val="1"/>
          <w:iCs w:val="1"/>
          <w:sz w:val="36"/>
          <w:szCs w:val="36"/>
        </w:rPr>
      </w:pPr>
    </w:p>
    <w:p>
      <w:pPr>
        <w:pStyle w:val="TOC 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Table of Contents</w:t>
      </w:r>
    </w:p>
    <w:p>
      <w:pPr>
        <w:pStyle w:val="Body"/>
        <w:spacing w:line="360" w:lineRule="auto"/>
        <w:jc w:val="both"/>
      </w:pPr>
      <w:r>
        <w:rPr>
          <w:rFonts w:ascii="Times New Roman" w:cs="Times New Roman" w:hAnsi="Times New Roman" w:eastAsia="Times New Roman"/>
          <w:b w:val="1"/>
          <w:bCs w:val="1"/>
          <w:outline w:val="0"/>
          <w:color w:val="000000"/>
          <w:sz w:val="24"/>
          <w:szCs w:val="24"/>
          <w:u w:color="000000"/>
          <w14:textFill>
            <w14:solidFill>
              <w14:srgbClr w14:val="000000"/>
            </w14:solidFill>
          </w14:textFill>
        </w:rPr>
        <w:fldChar w:fldCharType="begin" w:fldLock="0"/>
      </w:r>
      <w:r>
        <w:rPr>
          <w:rFonts w:ascii="Times New Roman" w:cs="Times New Roman" w:hAnsi="Times New Roman" w:eastAsia="Times New Roman"/>
          <w:b w:val="1"/>
          <w:bCs w:val="1"/>
          <w:outline w:val="0"/>
          <w:color w:val="000000"/>
          <w:sz w:val="24"/>
          <w:szCs w:val="24"/>
          <w:u w:color="000000"/>
          <w14:textFill>
            <w14:solidFill>
              <w14:srgbClr w14:val="000000"/>
            </w14:solidFill>
          </w14:textFill>
        </w:rPr>
        <w:instrText xml:space="preserve"> TOC \o 1-1 </w:instrText>
      </w:r>
      <w:r>
        <w:rPr>
          <w:rFonts w:ascii="Times New Roman" w:cs="Times New Roman" w:hAnsi="Times New Roman" w:eastAsia="Times New Roman"/>
          <w:b w:val="1"/>
          <w:bCs w:val="1"/>
          <w:outline w:val="0"/>
          <w:color w:val="000000"/>
          <w:sz w:val="24"/>
          <w:szCs w:val="24"/>
          <w:u w:color="000000"/>
          <w14:textFill>
            <w14:solidFill>
              <w14:srgbClr w14:val="000000"/>
            </w14:solidFill>
          </w14:textFill>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Theoretical Models and Frameworks for International Financial Management</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Evaluating the different strategies that multinational corporations often adopt in managing their exposure to foreign exchange risks.</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Conclusion</w:t>
        <w:tab/>
      </w:r>
      <w:r>
        <w:rPr/>
        <w:fldChar w:fldCharType="begin" w:fldLock="0"/>
      </w:r>
      <w:r>
        <w:instrText xml:space="preserve"> PAGEREF _Toc3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References</w:t>
        <w:tab/>
      </w:r>
      <w:r>
        <w:rPr/>
        <w:fldChar w:fldCharType="begin" w:fldLock="0"/>
      </w:r>
      <w:r>
        <w:instrText xml:space="preserve"> PAGEREF _Toc4 \h </w:instrText>
      </w:r>
      <w:r>
        <w:rPr/>
        <w:fldChar w:fldCharType="separate" w:fldLock="0"/>
      </w:r>
      <w:r>
        <w:rPr>
          <w:rFonts w:cs="Arial Unicode MS" w:eastAsia="Arial Unicode MS"/>
          <w:rtl w:val="0"/>
        </w:rPr>
        <w:t>9</w:t>
      </w:r>
      <w:r>
        <w:rPr/>
        <w:fldChar w:fldCharType="end" w:fldLock="0"/>
      </w:r>
    </w:p>
    <w:p>
      <w:pPr>
        <w:spacing w:line="360" w:lineRule="auto"/>
        <w:jc w:val="both"/>
        <w:rPr>
          <w:rFonts w:ascii="Times New Roman" w:cs="Times New Roman" w:hAnsi="Times New Roman" w:eastAsia="Times New Roman"/>
          <w:sz w:val="24"/>
          <w:szCs w:val="24"/>
        </w:rPr>
      </w:pPr>
      <w:r>
        <w:rPr>
          <w:rFonts w:ascii="Times New Roman" w:cs="Times New Roman" w:hAnsi="Times New Roman" w:eastAsia="Times New Roman"/>
          <w:b w:val="1"/>
          <w:bCs w:val="1"/>
          <w:outline w:val="0"/>
          <w:color w:val="000000"/>
          <w:sz w:val="24"/>
          <w:szCs w:val="24"/>
          <w:u w:color="000000"/>
          <w14:textFill>
            <w14:solidFill>
              <w14:srgbClr w14:val="000000"/>
            </w14:solidFill>
          </w14:textFill>
        </w:rPr>
        <w:fldChar w:fldCharType="end" w:fldLock="0"/>
      </w:r>
    </w:p>
    <w:p>
      <w:pPr>
        <w:pStyle w:val="Body"/>
        <w:spacing w:line="360" w:lineRule="auto"/>
        <w:jc w:val="both"/>
      </w:pPr>
      <w:r>
        <w:rPr>
          <w:rFonts w:ascii="Arial Unicode MS" w:cs="Arial Unicode MS" w:hAnsi="Arial Unicode MS" w:eastAsia="Arial Unicode MS"/>
          <w:b w:val="0"/>
          <w:bCs w:val="0"/>
          <w:i w:val="0"/>
          <w:iCs w:val="0"/>
          <w:sz w:val="24"/>
          <w:szCs w:val="24"/>
        </w:rPr>
        <w:br w:type="page"/>
      </w:r>
    </w:p>
    <w:p>
      <w:pPr>
        <w:pStyle w:val="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 w:id="0"/>
      <w:r>
        <w:rPr>
          <w:rFonts w:ascii="Times New Roman" w:hAnsi="Times New Roman"/>
          <w:b w:val="1"/>
          <w:bCs w:val="1"/>
          <w:outline w:val="0"/>
          <w:color w:val="000000"/>
          <w:sz w:val="24"/>
          <w:szCs w:val="24"/>
          <w:u w:color="000000"/>
          <w:rtl w:val="0"/>
          <w:lang w:val="fr-FR"/>
          <w14:textFill>
            <w14:solidFill>
              <w14:srgbClr w14:val="000000"/>
            </w14:solidFill>
          </w14:textFill>
        </w:rPr>
        <w:t xml:space="preserve">Introduction </w:t>
      </w:r>
      <w:bookmarkEnd w:id="0"/>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Finance is the blood and soul of any business and thus effective management of the finance is essential in the businesses. In the international businesses, financial management becomes more important and vital. The international financial management can be referred as the process of controlling and managing financial activities. The process of financial management can include investments, financing and risk management activities. Thus, international finance management is an effective and significant way to ensure the efficiency and risk management of the organisations. Effective management of the financial resources and activities are crucial for the businesses as it provides overview of opportunities and risks in future. The proposed report aims to evaluate the role of international finance management by drawing upon relevant theories and frameworks. Additionally, it will explore various strategies that multinational corporations can adopt for ensuring effective financial management to navigate foreign exchange risks. </w:t>
      </w:r>
    </w:p>
    <w:p>
      <w:pPr>
        <w:pStyle w:val="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1" w:id="1"/>
      <w:r>
        <w:rPr>
          <w:rFonts w:ascii="Times New Roman" w:hAnsi="Times New Roman"/>
          <w:b w:val="1"/>
          <w:bCs w:val="1"/>
          <w:outline w:val="0"/>
          <w:color w:val="000000"/>
          <w:sz w:val="24"/>
          <w:szCs w:val="24"/>
          <w:u w:color="000000"/>
          <w:rtl w:val="0"/>
          <w:lang w:val="en-US"/>
          <w14:textFill>
            <w14:solidFill>
              <w14:srgbClr w14:val="000000"/>
            </w14:solidFill>
          </w14:textFill>
        </w:rPr>
        <w:t>Theoretical Models and Frameworks for International Financial Management</w:t>
      </w:r>
      <w:bookmarkEnd w:id="1"/>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There are various theories and models which are relevant and has been considered vital for ensuring effective international financial management. Application of these theories and frameworks assists businesses and companies in effectively managing the financial activities. Thus, identification and understanding of the relevant theories and frameworks is essential for the contemporary businesses. Some of the key international financial management theories and models are listed below:</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Theory of Absolute Advantage</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Propounded by Adam Smith in 1776, the theory of absolute advantage has been a guiding light for industries and corporations since centuries. This theory has played a vital role in the effective finance management and development of the businesses </w:t>
      </w:r>
      <w:r>
        <w:rPr>
          <w:rFonts w:ascii="Times New Roman" w:hAnsi="Times New Roman"/>
          <w:kern w:val="0"/>
          <w:sz w:val="24"/>
          <w:szCs w:val="24"/>
          <w:shd w:val="clear" w:color="auto" w:fill="ffffff"/>
          <w:rtl w:val="0"/>
          <w:lang w:val="en-US"/>
        </w:rPr>
        <w:t>(Rhodes, 2021)</w:t>
      </w:r>
      <w:r>
        <w:rPr>
          <w:rFonts w:ascii="Times New Roman" w:hAnsi="Times New Roman"/>
          <w:sz w:val="24"/>
          <w:szCs w:val="24"/>
          <w:rtl w:val="0"/>
          <w:lang w:val="en-US"/>
        </w:rPr>
        <w:t xml:space="preserve">. The theory of absolute advantage in based on the concept of utilising resources and manufacturing products at lowest cost possible. In his book, </w:t>
      </w:r>
      <w:r>
        <w:rPr>
          <w:rFonts w:ascii="Times New Roman" w:hAnsi="Times New Roman" w:hint="default"/>
          <w:sz w:val="24"/>
          <w:szCs w:val="24"/>
          <w:rtl w:val="0"/>
          <w:lang w:val="en-US"/>
        </w:rPr>
        <w:t>“</w:t>
      </w:r>
      <w:r>
        <w:rPr>
          <w:rFonts w:ascii="Times New Roman" w:hAnsi="Times New Roman"/>
          <w:sz w:val="24"/>
          <w:szCs w:val="24"/>
          <w:rtl w:val="0"/>
          <w:lang w:val="en-US"/>
        </w:rPr>
        <w:t>the wealth of nations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Smith states that businesses should specialise in the products and services which they can manufacture and develop and lower costs with their financial resources. Thus, it states that organisations can make significant impact by adopting and integrating the principles of this theory into their business activities </w:t>
      </w:r>
      <w:r>
        <w:rPr>
          <w:rFonts w:ascii="Times New Roman" w:hAnsi="Times New Roman"/>
          <w:kern w:val="0"/>
          <w:sz w:val="24"/>
          <w:szCs w:val="24"/>
          <w:shd w:val="clear" w:color="auto" w:fill="ffffff"/>
          <w:rtl w:val="0"/>
        </w:rPr>
        <w:t>(Moffett et al., 2021)</w:t>
      </w:r>
      <w:r>
        <w:rPr>
          <w:rFonts w:ascii="Times New Roman" w:hAnsi="Times New Roman"/>
          <w:sz w:val="24"/>
          <w:szCs w:val="24"/>
          <w:rtl w:val="0"/>
          <w:lang w:val="en-US"/>
        </w:rPr>
        <w:t xml:space="preserve">. The applicability of the theory of absolute advantage has a diverse scope and benefits for the organisations. Organisations, following this theory can make significant impact in their success and reduce their operational costs by utilising the cheaper materials. </w:t>
      </w:r>
    </w:p>
    <w:p>
      <w:pPr>
        <w:pStyle w:val="Body"/>
        <w:spacing w:line="360" w:lineRule="auto"/>
        <w:jc w:val="both"/>
        <w:rPr>
          <w:rFonts w:ascii="Times New Roman" w:cs="Times New Roman" w:hAnsi="Times New Roman" w:eastAsia="Times New Roman"/>
          <w:sz w:val="24"/>
          <w:szCs w:val="24"/>
        </w:rPr>
      </w:pPr>
      <w:r>
        <w:rPr>
          <w:rFonts w:ascii="Times New Roman" w:hAnsi="Times New Roman"/>
          <w:kern w:val="0"/>
          <w:sz w:val="24"/>
          <w:szCs w:val="24"/>
          <w:shd w:val="clear" w:color="auto" w:fill="ffffff"/>
          <w:rtl w:val="0"/>
          <w:lang w:val="en-US"/>
        </w:rPr>
        <w:t>Marthinsen and Gordon (2021)</w:t>
      </w:r>
      <w:r>
        <w:rPr>
          <w:rFonts w:ascii="Times New Roman" w:hAnsi="Times New Roman"/>
          <w:sz w:val="24"/>
          <w:szCs w:val="24"/>
          <w:rtl w:val="0"/>
          <w:lang w:val="en-US"/>
        </w:rPr>
        <w:t xml:space="preserve">, exemplifies various multinational organisations who have applied the theory of absolute advantage. The research further states that the listed multinational companies have made significant impacts and fosters a robust financial management system. Implementation of this theory has played a vital role in reducing the operational cost and enhancing the efficiency and success of the business. However, research of </w:t>
      </w:r>
      <w:r>
        <w:rPr>
          <w:rFonts w:ascii="Times New Roman" w:hAnsi="Times New Roman"/>
          <w:kern w:val="0"/>
          <w:sz w:val="24"/>
          <w:szCs w:val="24"/>
          <w:shd w:val="clear" w:color="auto" w:fill="ffffff"/>
          <w:rtl w:val="0"/>
          <w:lang w:val="en-US"/>
        </w:rPr>
        <w:t xml:space="preserve">Rabe and Waddle (2020), </w:t>
      </w:r>
      <w:r>
        <w:rPr>
          <w:rFonts w:ascii="Times New Roman" w:hAnsi="Times New Roman"/>
          <w:sz w:val="24"/>
          <w:szCs w:val="24"/>
          <w:rtl w:val="0"/>
          <w:lang w:val="en-US"/>
        </w:rPr>
        <w:t>states the ways by which organisations can effectively implement this theory. The paper explains that businesses and multinational corporations should effectively identify and analyse the competitors, their products, services and strategies. Identification and insights of competitor</w:t>
      </w:r>
      <w:r>
        <w:rPr>
          <w:rFonts w:ascii="Times New Roman" w:hAnsi="Times New Roman" w:hint="default"/>
          <w:sz w:val="24"/>
          <w:szCs w:val="24"/>
          <w:rtl w:val="0"/>
          <w:lang w:val="en-US"/>
        </w:rPr>
        <w:t>’</w:t>
      </w:r>
      <w:r>
        <w:rPr>
          <w:rFonts w:ascii="Times New Roman" w:hAnsi="Times New Roman"/>
          <w:sz w:val="24"/>
          <w:szCs w:val="24"/>
          <w:rtl w:val="0"/>
          <w:lang w:val="en-US"/>
        </w:rPr>
        <w:t xml:space="preserve">s strategies and activities can guide businesses in ensuring effective modification in their products and services. Depth market analysis, effective strategic development and application of the absolute advantage theory can enhance the operational efficiency and productivity of the organisations. Multinational corporations can make significant enhancement in their productivity, efficiency and competency by applying this theory </w:t>
      </w:r>
      <w:r>
        <w:rPr>
          <w:rFonts w:ascii="Times New Roman" w:hAnsi="Times New Roman"/>
          <w:kern w:val="0"/>
          <w:sz w:val="24"/>
          <w:szCs w:val="24"/>
          <w:shd w:val="clear" w:color="auto" w:fill="ffffff"/>
          <w:rtl w:val="0"/>
        </w:rPr>
        <w:t>(Moffett et al., 2021)</w:t>
      </w:r>
      <w:r>
        <w:rPr>
          <w:rFonts w:ascii="Times New Roman" w:hAnsi="Times New Roman"/>
          <w:sz w:val="24"/>
          <w:szCs w:val="24"/>
          <w:rtl w:val="0"/>
        </w:rPr>
        <w:t xml:space="preserve">.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The Optimum Currency Area (OCA) Theory</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optimum currency area theory is also one of the significant and effective theory which has been applied by many organisations and multinational corporations for enhancing the financial management </w:t>
      </w:r>
      <w:r>
        <w:rPr>
          <w:rFonts w:ascii="Times New Roman" w:hAnsi="Times New Roman"/>
          <w:kern w:val="0"/>
          <w:sz w:val="24"/>
          <w:szCs w:val="24"/>
          <w:shd w:val="clear" w:color="auto" w:fill="ffffff"/>
          <w:rtl w:val="0"/>
        </w:rPr>
        <w:t>(Eun et al., 2021)</w:t>
      </w:r>
      <w:r>
        <w:rPr>
          <w:rFonts w:ascii="Times New Roman" w:hAnsi="Times New Roman"/>
          <w:sz w:val="24"/>
          <w:szCs w:val="24"/>
          <w:rtl w:val="0"/>
          <w:lang w:val="en-US"/>
        </w:rPr>
        <w:t xml:space="preserve">. Developed by Robert Mundell in 1961, the optimum currency are theory acts as a cornerstone for the contemporary business and multinational corporations. The OCA theory is based on analysing and identifying the geopolitical areas where shared currency can be beneficial for the businesses. The optimum currency theory explains that the areas which are undefined by the national borders are the OCAs. Over the years many researchers and scholars have argued over the significance and relevance of this theory. </w:t>
      </w:r>
      <w:r>
        <w:rPr>
          <w:rFonts w:ascii="Times New Roman" w:hAnsi="Times New Roman"/>
          <w:kern w:val="0"/>
          <w:sz w:val="24"/>
          <w:szCs w:val="24"/>
          <w:shd w:val="clear" w:color="auto" w:fill="ffffff"/>
          <w:rtl w:val="0"/>
          <w:lang w:val="it-IT"/>
        </w:rPr>
        <w:t>Boundi Chraki (2021)</w:t>
      </w:r>
      <w:r>
        <w:rPr>
          <w:rFonts w:ascii="Times New Roman" w:hAnsi="Times New Roman"/>
          <w:sz w:val="24"/>
          <w:szCs w:val="24"/>
          <w:rtl w:val="0"/>
          <w:lang w:val="en-US"/>
        </w:rPr>
        <w:t xml:space="preserve">, states that application of this theory helps countries and business professionals in identifying the areas which can be currency union. The OCA theory considers that the areas or countries with similar economic and business structures, higher income and economic integration can become currency union. The principles of this theory have significant impacts on the international finance management.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Application and understanding of the Optimum Currency Area theory can help businesses and countries in reducing their transaction costs by sharing their currency and economies </w:t>
      </w:r>
      <w:r>
        <w:rPr>
          <w:rFonts w:ascii="Times New Roman" w:hAnsi="Times New Roman"/>
          <w:kern w:val="0"/>
          <w:sz w:val="24"/>
          <w:szCs w:val="24"/>
          <w:shd w:val="clear" w:color="auto" w:fill="ffffff"/>
          <w:rtl w:val="0"/>
        </w:rPr>
        <w:t>(Chari et al., 2020)</w:t>
      </w:r>
      <w:r>
        <w:rPr>
          <w:rFonts w:ascii="Times New Roman" w:hAnsi="Times New Roman"/>
          <w:sz w:val="24"/>
          <w:szCs w:val="24"/>
          <w:rtl w:val="0"/>
          <w:lang w:val="en-US"/>
        </w:rPr>
        <w:t xml:space="preserve">. Companies can ensure seamless and effective international financial management by utilising this theory. Application of the OCA theory can also be effective for the businesses in ensuring financial stability as the shared currency can minimise the interest rates due to similar monetary policies. In the realm of financial management, international organisations and multinational corporations can gain potential benefits by integrating the cooperation and currency among nations. However, careful consideration of the important aspects is required for the businesses </w:t>
      </w:r>
      <w:r>
        <w:rPr>
          <w:rFonts w:ascii="Times New Roman" w:hAnsi="Times New Roman"/>
          <w:kern w:val="0"/>
          <w:sz w:val="24"/>
          <w:szCs w:val="24"/>
          <w:shd w:val="clear" w:color="auto" w:fill="ffffff"/>
          <w:rtl w:val="0"/>
          <w:lang w:val="en-US"/>
        </w:rPr>
        <w:t>(Rhodes, 2021)</w:t>
      </w:r>
      <w:r>
        <w:rPr>
          <w:rFonts w:ascii="Times New Roman" w:hAnsi="Times New Roman"/>
          <w:sz w:val="24"/>
          <w:szCs w:val="24"/>
          <w:rtl w:val="0"/>
        </w:rPr>
        <w:t xml:space="preserve">.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The Purchasing Power Parity (PPP) Theory</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Purchasing Power Parity theory is one of the significant economic theories, propounded by Gustav Cassel in 1918. The theory states that the countries should foster equal price levels. Thus, the multinational businesses should operate and expand their business in the countries and areas where the price level and economic structures are similar or equal </w:t>
      </w:r>
      <w:r>
        <w:rPr>
          <w:rFonts w:ascii="Times New Roman" w:hAnsi="Times New Roman"/>
          <w:kern w:val="0"/>
          <w:sz w:val="24"/>
          <w:szCs w:val="24"/>
          <w:shd w:val="clear" w:color="auto" w:fill="ffffff"/>
          <w:rtl w:val="0"/>
          <w:lang w:val="en-US"/>
        </w:rPr>
        <w:t>(Rabe and Waddle, 2020)</w:t>
      </w:r>
      <w:r>
        <w:rPr>
          <w:rFonts w:ascii="Times New Roman" w:hAnsi="Times New Roman"/>
          <w:sz w:val="24"/>
          <w:szCs w:val="24"/>
          <w:rtl w:val="0"/>
          <w:lang w:val="en-US"/>
        </w:rPr>
        <w:t xml:space="preserve">. It ensures single price of the similar goods and services in different areas. Implementation of this theory can be effective and vital for the businesses. Multinational corporations are required to adopt these principles in their business activities. The comparison between purchasing powers of different nations can help businesses in identifying the market opportunities and risks. It can be an effective way for the organisations to manage their international business and finance </w:t>
      </w:r>
      <w:r>
        <w:rPr>
          <w:rFonts w:ascii="Times New Roman" w:hAnsi="Times New Roman"/>
          <w:kern w:val="0"/>
          <w:sz w:val="24"/>
          <w:szCs w:val="24"/>
          <w:shd w:val="clear" w:color="auto" w:fill="ffffff"/>
          <w:rtl w:val="0"/>
        </w:rPr>
        <w:t>(Moffett et al., 2021)</w:t>
      </w:r>
      <w:r>
        <w:rPr>
          <w:rFonts w:ascii="Times New Roman" w:hAnsi="Times New Roman"/>
          <w:sz w:val="24"/>
          <w:szCs w:val="24"/>
          <w:rtl w:val="0"/>
        </w:rPr>
        <w:t xml:space="preserve">. </w:t>
      </w:r>
    </w:p>
    <w:p>
      <w:pPr>
        <w:pStyle w:val="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2" w:id="2"/>
      <w:r>
        <w:rPr>
          <w:rFonts w:ascii="Times New Roman" w:hAnsi="Times New Roman"/>
          <w:b w:val="1"/>
          <w:bCs w:val="1"/>
          <w:outline w:val="0"/>
          <w:color w:val="000000"/>
          <w:sz w:val="24"/>
          <w:szCs w:val="24"/>
          <w:u w:color="000000"/>
          <w:rtl w:val="0"/>
          <w:lang w:val="en-US"/>
          <w14:textFill>
            <w14:solidFill>
              <w14:srgbClr w14:val="000000"/>
            </w14:solidFill>
          </w14:textFill>
        </w:rPr>
        <w:t>Evaluating the different strategies that multinational corporations often adopt in managing their exposure to foreign exchange risks.</w:t>
      </w:r>
      <w:bookmarkEnd w:id="2"/>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There are various strategies and techniques that are been adopted by the multinational corporations for effectively managing their international finance. Some of the key strategies include:</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Forward Contracts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Forward contract, as the name suggests, it refers to the contracts and agreement which ensures future sell or purchase of certain goods and services </w:t>
      </w:r>
      <w:r>
        <w:rPr>
          <w:rFonts w:ascii="Times New Roman" w:hAnsi="Times New Roman"/>
          <w:kern w:val="0"/>
          <w:sz w:val="24"/>
          <w:szCs w:val="24"/>
          <w:shd w:val="clear" w:color="auto" w:fill="ffffff"/>
          <w:rtl w:val="0"/>
          <w:lang w:val="en-US"/>
        </w:rPr>
        <w:t>(Marthinsen and Gordon, 2021)</w:t>
      </w:r>
      <w:r>
        <w:rPr>
          <w:rFonts w:ascii="Times New Roman" w:hAnsi="Times New Roman"/>
          <w:sz w:val="24"/>
          <w:szCs w:val="24"/>
          <w:rtl w:val="0"/>
          <w:lang w:val="en-US"/>
        </w:rPr>
        <w:t xml:space="preserve">. The contract includes the specific price and product information for future dates. International companies can effectively manage their finance and navigate the risks associated with the foreign exchange by forming a forward contract. Application of this strategy can help multinational corporations in minimising the risks and enhancing the efficiency of their international finance management systems. Adoption of this can be an effective technique in dealing with fluctuation in market price and trends.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Natural Hedging</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Natural Hedging refers to the process of making investments in the assets. The hedging strategy is used by multinational businesses to navigate the risks caused by certain activities and situations. This strategy is one of the effective and widely adopted risk management and financial management strategy. Businesses can effectively manage and enhance their international finance systems by utilising the natural hedging strategy. Effective investments and utilisation of different sources and instruments can be helpful in analysing and the risks and navigating them </w:t>
      </w:r>
      <w:r>
        <w:rPr>
          <w:rFonts w:ascii="Times New Roman" w:hAnsi="Times New Roman"/>
          <w:kern w:val="0"/>
          <w:sz w:val="24"/>
          <w:szCs w:val="24"/>
          <w:shd w:val="clear" w:color="auto" w:fill="ffffff"/>
          <w:rtl w:val="0"/>
        </w:rPr>
        <w:t>(Eun et al., 2021)</w:t>
      </w:r>
      <w:r>
        <w:rPr>
          <w:rFonts w:ascii="Times New Roman" w:hAnsi="Times New Roman"/>
          <w:sz w:val="24"/>
          <w:szCs w:val="24"/>
          <w:rtl w:val="0"/>
        </w:rPr>
        <w:t xml:space="preserve">.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Translation Hedging</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Translation hedging is also a vital and crucial risk management strategy applied by many multinational corporations in exposure to the foreign exchange. The translation hedging strategy is based on the concept that the fluctuations and losses caused by the foreign and currency exchange are borne by the clients not the companies </w:t>
      </w:r>
      <w:r>
        <w:rPr>
          <w:rFonts w:ascii="Times New Roman" w:hAnsi="Times New Roman"/>
          <w:kern w:val="0"/>
          <w:sz w:val="24"/>
          <w:szCs w:val="24"/>
          <w:shd w:val="clear" w:color="auto" w:fill="ffffff"/>
          <w:rtl w:val="0"/>
        </w:rPr>
        <w:t>(Chari et al., 2020)</w:t>
      </w:r>
      <w:r>
        <w:rPr>
          <w:rFonts w:ascii="Times New Roman" w:hAnsi="Times New Roman"/>
          <w:sz w:val="24"/>
          <w:szCs w:val="24"/>
          <w:rtl w:val="0"/>
          <w:lang w:val="en-US"/>
        </w:rPr>
        <w:t xml:space="preserve">. Adoption of translation hedging can help businesses and multinational corporations in navigating the foreign exchange risks. Additionally, the companies can enhance and ensure the effectiveness of their international financial management by adopting this strategy.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Diverse Supply Chain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Diversification of the supply chain has been a vital factor and strategy for mitigating the risks since decades. Over the years many businesses and professionals have utilised this strategy to enhance their efficiency and mitigate the risks associated with the foreign exchange. Multinational corporations can adopt this strategy by reducing their dependency over a single supplier and expanding their supplier interaction and collaborations. Utilisation of this strategy can enhance the negotiation power and efficiency of the multinational corporations </w:t>
      </w:r>
      <w:r>
        <w:rPr>
          <w:rFonts w:ascii="Times New Roman" w:hAnsi="Times New Roman"/>
          <w:kern w:val="0"/>
          <w:sz w:val="24"/>
          <w:szCs w:val="24"/>
          <w:shd w:val="clear" w:color="auto" w:fill="ffffff"/>
          <w:rtl w:val="0"/>
          <w:lang w:val="it-IT"/>
        </w:rPr>
        <w:t>(Boundi Chraki, 2021)</w:t>
      </w:r>
      <w:r>
        <w:rPr>
          <w:rFonts w:ascii="Times New Roman" w:hAnsi="Times New Roman"/>
          <w:sz w:val="24"/>
          <w:szCs w:val="24"/>
          <w:rtl w:val="0"/>
        </w:rPr>
        <w:t>.</w:t>
      </w:r>
    </w:p>
    <w:p>
      <w:pPr>
        <w:pStyle w:val="Body"/>
        <w:spacing w:line="360" w:lineRule="auto"/>
        <w:jc w:val="both"/>
      </w:pPr>
      <w:r>
        <w:rPr>
          <w:rFonts w:ascii="Arial Unicode MS" w:cs="Arial Unicode MS" w:hAnsi="Arial Unicode MS" w:eastAsia="Arial Unicode MS"/>
          <w:b w:val="0"/>
          <w:bCs w:val="0"/>
          <w:i w:val="0"/>
          <w:iCs w:val="0"/>
          <w:sz w:val="24"/>
          <w:szCs w:val="24"/>
        </w:rPr>
        <w:br w:type="page"/>
      </w:r>
    </w:p>
    <w:p>
      <w:pPr>
        <w:pStyle w:val="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3" w:id="3"/>
      <w:r>
        <w:rPr>
          <w:rFonts w:ascii="Times New Roman" w:hAnsi="Times New Roman"/>
          <w:b w:val="1"/>
          <w:bCs w:val="1"/>
          <w:outline w:val="0"/>
          <w:color w:val="000000"/>
          <w:sz w:val="24"/>
          <w:szCs w:val="24"/>
          <w:u w:color="000000"/>
          <w:rtl w:val="0"/>
          <w:lang w:val="it-IT"/>
          <w14:textFill>
            <w14:solidFill>
              <w14:srgbClr w14:val="000000"/>
            </w14:solidFill>
          </w14:textFill>
        </w:rPr>
        <w:t>Conclusion</w:t>
      </w:r>
      <w:bookmarkEnd w:id="3"/>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Drawing upon various theoretical frameworks and theories, the proposed report has examined the various strategies of navigating risks and improving international financial management of the organisations. Nuanced understanding of Theory of Absolute Advantage, The Optimum Currency Area (OCA) Theory and The Purchasing Power Parity (PPP) Theory has provided depth overview of the existing literature. Exploration of these frameworks emphasized that diversification, hedging and forward contracts are the key strategies for the multinational corporations to navigate the foreign exchange risks. </w:t>
      </w:r>
    </w:p>
    <w:p>
      <w:pPr>
        <w:pStyle w:val="Heading"/>
        <w:spacing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4" w:id="4"/>
      <w:r>
        <w:rPr>
          <w:rFonts w:ascii="Times New Roman" w:hAnsi="Times New Roman"/>
          <w:b w:val="1"/>
          <w:bCs w:val="1"/>
          <w:outline w:val="0"/>
          <w:color w:val="000000"/>
          <w:sz w:val="24"/>
          <w:szCs w:val="24"/>
          <w:u w:color="000000"/>
          <w:rtl w:val="0"/>
          <w:lang w:val="fr-FR"/>
          <w14:textFill>
            <w14:solidFill>
              <w14:srgbClr w14:val="000000"/>
            </w14:solidFill>
          </w14:textFill>
        </w:rPr>
        <w:t>References</w:t>
      </w:r>
      <w:bookmarkEnd w:id="4"/>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Boundi Chraki, F., 2021. Testing the relationship between real effective exchange rate and absolute cost advantage. A dynamic panel GMM analysis from NAFTA.</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Applied Economics Letters</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rPr>
        <w:t>28</w:t>
      </w:r>
      <w:r>
        <w:rPr>
          <w:rFonts w:ascii="Times New Roman" w:hAnsi="Times New Roman"/>
          <w:sz w:val="24"/>
          <w:szCs w:val="24"/>
          <w:shd w:val="clear" w:color="auto" w:fill="ffffff"/>
          <w:rtl w:val="0"/>
        </w:rPr>
        <w:t xml:space="preserve">(15), pp.1332-1335.  </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Chari, V.V., Dovis, A. and Kehoe, P.J., 2020. Rethinking optimal currency areas.</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Journal of Monetary Economics</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rPr>
        <w:t>111</w:t>
      </w:r>
      <w:r>
        <w:rPr>
          <w:rFonts w:ascii="Times New Roman" w:hAnsi="Times New Roman"/>
          <w:sz w:val="24"/>
          <w:szCs w:val="24"/>
          <w:shd w:val="clear" w:color="auto" w:fill="ffffff"/>
          <w:rtl w:val="0"/>
        </w:rPr>
        <w:t xml:space="preserve">, pp.80-94.   </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rPr>
        <w:t>Eun, C.S., Resnick, B.G. and Chuluun, T., 2021.</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International financial management</w:t>
      </w:r>
      <w:r>
        <w:rPr>
          <w:rFonts w:ascii="Times New Roman" w:hAnsi="Times New Roman"/>
          <w:sz w:val="24"/>
          <w:szCs w:val="24"/>
          <w:shd w:val="clear" w:color="auto" w:fill="ffffff"/>
          <w:rtl w:val="0"/>
        </w:rPr>
        <w:t xml:space="preserve">. McGraw-Hill.   </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Marthinsen, J. and Gordon, S., 2021. A theory of optimum cryptocurrency scope.</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Economics of Innovation and New Technology</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rPr>
        <w:t>30</w:t>
      </w:r>
      <w:r>
        <w:rPr>
          <w:rFonts w:ascii="Times New Roman" w:hAnsi="Times New Roman"/>
          <w:sz w:val="24"/>
          <w:szCs w:val="24"/>
          <w:shd w:val="clear" w:color="auto" w:fill="ffffff"/>
          <w:rtl w:val="0"/>
        </w:rPr>
        <w:t xml:space="preserve">(2), pp.183-196.    </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de-DE"/>
        </w:rPr>
        <w:t>Moffett, M.H., Stonehill, A.I. and Eiteman, D.K., 2021.</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Fundamentals of multinational finance</w:t>
      </w:r>
      <w:r>
        <w:rPr>
          <w:rFonts w:ascii="Times New Roman" w:hAnsi="Times New Roman"/>
          <w:sz w:val="24"/>
          <w:szCs w:val="24"/>
          <w:shd w:val="clear" w:color="auto" w:fill="ffffff"/>
          <w:rtl w:val="0"/>
          <w:lang w:val="en-US"/>
        </w:rPr>
        <w:t xml:space="preserve">. Pearson.   </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Rabe, C. and Waddle, A., 2020. The evolution of purchasing power parity.</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Journal of International Money and Finance</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rPr>
        <w:t>109</w:t>
      </w:r>
      <w:r>
        <w:rPr>
          <w:rFonts w:ascii="Times New Roman" w:hAnsi="Times New Roman"/>
          <w:sz w:val="24"/>
          <w:szCs w:val="24"/>
          <w:shd w:val="clear" w:color="auto" w:fill="ffffff"/>
          <w:rtl w:val="0"/>
        </w:rPr>
        <w:t xml:space="preserve">, p.102237.   </w:t>
      </w:r>
    </w:p>
    <w:p>
      <w:pPr>
        <w:pStyle w:val="Body"/>
        <w:spacing w:line="360" w:lineRule="auto"/>
        <w:jc w:val="both"/>
      </w:pPr>
      <w:r>
        <w:rPr>
          <w:rFonts w:ascii="Times New Roman" w:hAnsi="Times New Roman"/>
          <w:sz w:val="24"/>
          <w:szCs w:val="24"/>
          <w:shd w:val="clear" w:color="auto" w:fill="ffffff"/>
          <w:rtl w:val="0"/>
          <w:lang w:val="en-US"/>
        </w:rPr>
        <w:t xml:space="preserve">Rhodes, M., 2021.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Failing forward</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a critique in light of covid-19.</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Journal of European Public Policy</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rPr>
        <w:t>28</w:t>
      </w:r>
      <w:r>
        <w:rPr>
          <w:rFonts w:ascii="Times New Roman" w:hAnsi="Times New Roman"/>
          <w:sz w:val="24"/>
          <w:szCs w:val="24"/>
          <w:shd w:val="clear" w:color="auto" w:fill="ffffff"/>
          <w:rtl w:val="0"/>
          <w:lang w:val="it-IT"/>
        </w:rPr>
        <w:t xml:space="preserve">(10), pp.1537-1554.   </w:t>
      </w:r>
    </w:p>
    <w:sectPr>
      <w:headerReference w:type="default" r:id="rId4"/>
      <w:footerReference w:type="default" r:id="rId5"/>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340"/>
        <w:tab w:val="clear" w:pos="9360"/>
      </w:tabs>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2"/>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2"/>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both"/>
      <w:outlineLvl w:val="9"/>
    </w:pPr>
    <w:rPr>
      <w:rFonts w:ascii="Calibri" w:cs="Calibri" w:hAnsi="Calibri" w:eastAsia="Calibri"/>
      <w:b w:val="0"/>
      <w:bCs w:val="0"/>
      <w:i w:val="0"/>
      <w:iCs w:val="0"/>
      <w:caps w:val="0"/>
      <w:smallCaps w:val="0"/>
      <w:strike w:val="0"/>
      <w:dstrike w:val="0"/>
      <w:outline w:val="0"/>
      <w:color w:val="000000"/>
      <w:spacing w:val="0"/>
      <w:kern w:val="2"/>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Calibri Light" w:hAnsi="Calibri Light" w:eastAsia="Calibri Light"/>
      <w:b w:val="0"/>
      <w:bCs w:val="0"/>
      <w:i w:val="0"/>
      <w:iCs w:val="0"/>
      <w:caps w:val="0"/>
      <w:smallCaps w:val="0"/>
      <w:strike w:val="0"/>
      <w:dstrike w:val="0"/>
      <w:outline w:val="0"/>
      <w:color w:val="2f5496"/>
      <w:spacing w:val="0"/>
      <w:kern w:val="2"/>
      <w:position w:val="0"/>
      <w:sz w:val="32"/>
      <w:szCs w:val="32"/>
      <w:u w:val="none" w:color="2f5496"/>
      <w:shd w:val="nil" w:color="auto" w:fill="auto"/>
      <w:vertAlign w:val="baseline"/>
      <w14:textOutline>
        <w14:noFill/>
      </w14:textOutline>
      <w14:textFill>
        <w14:solidFill>
          <w14:srgbClr w14:val="2F5496"/>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