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43E" w:rsidRDefault="008A5EDE">
      <w:pPr>
        <w:spacing w:after="162" w:line="259" w:lineRule="auto"/>
        <w:ind w:left="67" w:firstLine="0"/>
        <w:jc w:val="center"/>
      </w:pPr>
      <w:r>
        <w:rPr>
          <w:b/>
        </w:rPr>
        <w:t xml:space="preserve"> </w:t>
      </w:r>
    </w:p>
    <w:p w:rsidR="00BB343E" w:rsidRDefault="008A5EDE">
      <w:pPr>
        <w:spacing w:after="157" w:line="259" w:lineRule="auto"/>
        <w:ind w:left="0" w:firstLine="0"/>
      </w:pPr>
      <w:r>
        <w:rPr>
          <w:b/>
        </w:rPr>
        <w:t xml:space="preserve">Evaluate theories of Crime Prevention and apply them to a real life case study </w:t>
      </w:r>
    </w:p>
    <w:p w:rsidR="00BB343E" w:rsidRDefault="008A5EDE">
      <w:pPr>
        <w:spacing w:after="162" w:line="259" w:lineRule="auto"/>
        <w:ind w:left="0" w:firstLine="0"/>
      </w:pPr>
      <w:r>
        <w:rPr>
          <w:b/>
        </w:rPr>
        <w:t xml:space="preserve"> </w:t>
      </w:r>
    </w:p>
    <w:p w:rsidR="00BB343E" w:rsidRDefault="008A5EDE">
      <w:pPr>
        <w:spacing w:after="152" w:line="259" w:lineRule="auto"/>
        <w:ind w:left="0" w:firstLine="0"/>
      </w:pPr>
      <w:r>
        <w:rPr>
          <w:b/>
        </w:rPr>
        <w:t xml:space="preserve"> </w:t>
      </w:r>
    </w:p>
    <w:p w:rsidR="00BB343E" w:rsidRDefault="008A5EDE">
      <w:pPr>
        <w:spacing w:after="409" w:line="266" w:lineRule="auto"/>
        <w:ind w:left="15"/>
        <w:jc w:val="center"/>
      </w:pPr>
      <w:r>
        <w:rPr>
          <w:rFonts w:ascii="Times New Roman" w:eastAsia="Times New Roman" w:hAnsi="Times New Roman" w:cs="Times New Roman"/>
          <w:b/>
        </w:rPr>
        <w:t xml:space="preserve">PORTIA BOATENG </w:t>
      </w:r>
    </w:p>
    <w:p w:rsidR="00BB343E" w:rsidRDefault="008A5EDE">
      <w:pPr>
        <w:spacing w:after="409" w:line="266" w:lineRule="auto"/>
        <w:ind w:left="15"/>
        <w:jc w:val="center"/>
      </w:pPr>
      <w:r>
        <w:rPr>
          <w:rFonts w:ascii="Times New Roman" w:eastAsia="Times New Roman" w:hAnsi="Times New Roman" w:cs="Times New Roman"/>
          <w:b/>
        </w:rPr>
        <w:t xml:space="preserve">   STUDENT NUMBER: 2131530</w:t>
      </w:r>
      <w:r>
        <w:rPr>
          <w:rFonts w:ascii="Times New Roman" w:eastAsia="Times New Roman" w:hAnsi="Times New Roman" w:cs="Times New Roman"/>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3"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8" w:line="259" w:lineRule="auto"/>
        <w:ind w:left="0" w:firstLine="0"/>
      </w:pPr>
      <w:r>
        <w:rPr>
          <w:b/>
        </w:rPr>
        <w:t xml:space="preserve"> </w:t>
      </w:r>
    </w:p>
    <w:p w:rsidR="00BB343E" w:rsidRDefault="008A5EDE">
      <w:pPr>
        <w:spacing w:after="162" w:line="259" w:lineRule="auto"/>
        <w:ind w:left="0" w:firstLine="0"/>
      </w:pPr>
      <w:r>
        <w:rPr>
          <w:b/>
        </w:rPr>
        <w:t xml:space="preserve"> </w:t>
      </w:r>
    </w:p>
    <w:p w:rsidR="00BB343E" w:rsidRDefault="008A5EDE">
      <w:pPr>
        <w:spacing w:after="157" w:line="259" w:lineRule="auto"/>
        <w:ind w:left="0" w:firstLine="0"/>
      </w:pPr>
      <w:r>
        <w:rPr>
          <w:b/>
        </w:rPr>
        <w:t xml:space="preserve"> </w:t>
      </w:r>
    </w:p>
    <w:p w:rsidR="00BB343E" w:rsidRDefault="008A5EDE">
      <w:pPr>
        <w:spacing w:after="163" w:line="259" w:lineRule="auto"/>
        <w:ind w:left="0" w:firstLine="0"/>
      </w:pPr>
      <w:r>
        <w:rPr>
          <w:b/>
        </w:rPr>
        <w:t xml:space="preserve"> </w:t>
      </w:r>
    </w:p>
    <w:p w:rsidR="00BB343E" w:rsidRDefault="008A5EDE">
      <w:pPr>
        <w:spacing w:after="158" w:line="259" w:lineRule="auto"/>
        <w:ind w:left="0" w:firstLine="0"/>
      </w:pPr>
      <w:r>
        <w:rPr>
          <w:rFonts w:ascii="Calibri" w:eastAsia="Calibri" w:hAnsi="Calibri" w:cs="Calibri"/>
          <w:b/>
        </w:rPr>
        <w:t xml:space="preserve"> </w:t>
      </w:r>
    </w:p>
    <w:p w:rsidR="00BB343E" w:rsidRDefault="008A5EDE">
      <w:pPr>
        <w:spacing w:after="0" w:line="259" w:lineRule="auto"/>
        <w:ind w:left="0" w:firstLine="0"/>
      </w:pPr>
      <w:r>
        <w:t xml:space="preserve"> </w:t>
      </w:r>
    </w:p>
    <w:p w:rsidR="00BB343E" w:rsidRDefault="008A5EDE">
      <w:pPr>
        <w:ind w:left="-5"/>
      </w:pPr>
      <w:r>
        <w:lastRenderedPageBreak/>
        <w:t>Crime prevention instead of the traditional method of policing has become a major concern in the 21</w:t>
      </w:r>
      <w:r>
        <w:rPr>
          <w:vertAlign w:val="superscript"/>
        </w:rPr>
        <w:t>st</w:t>
      </w:r>
      <w:r>
        <w:t xml:space="preserve"> century policing. This is because the law enforcement bodies are more concerned about reducing the rate of cases happening (Ratcliffe, 2006). The definiti</w:t>
      </w:r>
      <w:r>
        <w:t>on of what constitutes a crime prevention initiative is ambiguous since people have diverse views concerning what measure constitute crime prevention</w:t>
      </w:r>
      <w:r>
        <w:rPr>
          <w:color w:val="333333"/>
          <w:sz w:val="22"/>
        </w:rPr>
        <w:t xml:space="preserve"> (</w:t>
      </w:r>
      <w:r>
        <w:t>Homel and Thomsen, 2017). The importance of crime prevention is due to the increase in number of court ca</w:t>
      </w:r>
      <w:r>
        <w:t>ses before and after the Covid</w:t>
      </w:r>
      <w:r w:rsidR="00E863A7">
        <w:t>-19</w:t>
      </w:r>
      <w:bookmarkStart w:id="0" w:name="_GoBack"/>
      <w:bookmarkEnd w:id="0"/>
      <w:r>
        <w:t xml:space="preserve"> pandemic</w:t>
      </w:r>
      <w:r>
        <w:rPr>
          <w:rFonts w:ascii="Times New Roman" w:eastAsia="Times New Roman" w:hAnsi="Times New Roman" w:cs="Times New Roman"/>
        </w:rPr>
        <w:t xml:space="preserve"> (</w:t>
      </w:r>
      <w:r>
        <w:t xml:space="preserve">Jerkins, 2021). Crime prevention has been defined by lots of researchers due to the areas they seem to tackle or their perspective of what constitute crime prevention which is mostly common in developed countries </w:t>
      </w:r>
      <w:r>
        <w:rPr>
          <w:color w:val="333333"/>
          <w:sz w:val="22"/>
        </w:rPr>
        <w:t>(</w:t>
      </w:r>
      <w:r>
        <w:t>H</w:t>
      </w:r>
      <w:r>
        <w:t>omel and Thomsen, 2017). United Nations Office of Drugs and Crime (UNODC) (2010) defined crime prevention as the strategies and measures that targets at reducing the rate at which crime is committed and the potential effects it have on the individual and t</w:t>
      </w:r>
      <w:r>
        <w:t>he society, by introducing interventions. Theories have been developed to help organisations and law enforcement bodies who wants to prevent crime to use instead of the old method of arrest and sentence. To be able to implement a crime prevention program o</w:t>
      </w:r>
      <w:r>
        <w:t xml:space="preserve">r measure, there is the need to adopt to a certain theory which might focus on the individual or the society. </w:t>
      </w:r>
    </w:p>
    <w:p w:rsidR="00BB343E" w:rsidRDefault="008A5EDE">
      <w:pPr>
        <w:ind w:left="-5"/>
      </w:pPr>
      <w:r>
        <w:t>This essay will evaluate developmental crime prevention theory and situational crime prevention theory. The theories will be applied to real life</w:t>
      </w:r>
      <w:r>
        <w:t xml:space="preserve"> case study to ascertain its effectiveness. </w:t>
      </w:r>
    </w:p>
    <w:p w:rsidR="00BB343E" w:rsidRDefault="008A5EDE">
      <w:pPr>
        <w:ind w:left="-5"/>
      </w:pPr>
      <w:r>
        <w:t>Developmental crime prevention theory is a theory that targets interventions at the early stages by reducing the risk factors which might compel someone to commit a crime in future by strengthening factors for p</w:t>
      </w:r>
      <w:r>
        <w:t xml:space="preserve">rotection (France and Homel, 2007). Homel and Thomsen (2017, p.57) indicates that developmental crime prevention </w:t>
      </w:r>
      <w:r>
        <w:lastRenderedPageBreak/>
        <w:t>encompasses the use of scientific research which serves as a resource for assisting individuals, families, communities and institutions to addr</w:t>
      </w:r>
      <w:r>
        <w:t xml:space="preserve">ess what gives rise to unacceptable behaviours in the society and crimes before the problem escalates. The early interventional strategy used to prevent crime from rising is the most logical way of reducing the rate of criminal activities in the community </w:t>
      </w:r>
      <w:r>
        <w:t>(Homel and Thomsen, 2017, p.57). This is because, the identification of individual, family, and societal conditions that compel an individual to engage in a criminal activity and putting measures in place to prevent it from occurring at the earliest possib</w:t>
      </w:r>
      <w:r>
        <w:t xml:space="preserve">le time is the best initiative (Homel and Thomsen, 2017, p.57). </w:t>
      </w:r>
    </w:p>
    <w:p w:rsidR="00BB343E" w:rsidRDefault="008A5EDE">
      <w:pPr>
        <w:spacing w:after="0"/>
        <w:ind w:left="-5"/>
      </w:pPr>
      <w:r>
        <w:t>Despite putting measures at the earliest possible time being the best initiative, the process of identifying, assessing who is at risk of committing crime in future, isolating the reasons whi</w:t>
      </w:r>
      <w:r>
        <w:t xml:space="preserve">ch might compel them, and effectively providing intervention to prevent the occurrence of the future crime are difficult processes to follow </w:t>
      </w:r>
    </w:p>
    <w:p w:rsidR="00BB343E" w:rsidRDefault="008A5EDE">
      <w:pPr>
        <w:ind w:left="-5"/>
      </w:pPr>
      <w:r>
        <w:t>(Farrington and Welsh, 2007). Farrington and Welsh, (2007) laid out some principles which will serve as a guide to</w:t>
      </w:r>
      <w:r>
        <w:t xml:space="preserve"> understand some of the risk factors related to someone committing crime in future and the most effective intervention. </w:t>
      </w:r>
    </w:p>
    <w:p w:rsidR="00BB343E" w:rsidRDefault="008A5EDE">
      <w:pPr>
        <w:spacing w:after="4"/>
        <w:ind w:left="-5"/>
      </w:pPr>
      <w:r>
        <w:t xml:space="preserve">There is a major impact this crime prevention program can have in reducing criminal activities such as reducing anti-social behaviour. </w:t>
      </w:r>
      <w:r>
        <w:t xml:space="preserve">An example of a real life case study was about 140 children who had issues of anti-social behaviour in London and were referred to Webster-Stratton parent training program in London, England (Scott et al, </w:t>
      </w:r>
    </w:p>
    <w:p w:rsidR="00BB343E" w:rsidRDefault="008A5EDE">
      <w:pPr>
        <w:spacing w:after="261" w:line="259" w:lineRule="auto"/>
        <w:ind w:left="-5"/>
      </w:pPr>
      <w:r>
        <w:t>2001).</w:t>
      </w:r>
      <w:r>
        <w:rPr>
          <w:rFonts w:ascii="Calibri" w:eastAsia="Calibri" w:hAnsi="Calibri" w:cs="Calibri"/>
          <w:sz w:val="22"/>
        </w:rPr>
        <w:t xml:space="preserve"> </w:t>
      </w:r>
      <w:r>
        <w:t>Scott et al. (2001) assessed the Webster-</w:t>
      </w:r>
      <w:r>
        <w:t xml:space="preserve">Stratton parent training program in </w:t>
      </w:r>
    </w:p>
    <w:p w:rsidR="00BB343E" w:rsidRDefault="008A5EDE">
      <w:pPr>
        <w:spacing w:after="417" w:line="259" w:lineRule="auto"/>
        <w:ind w:left="-5"/>
      </w:pPr>
      <w:r>
        <w:t xml:space="preserve">London, </w:t>
      </w:r>
    </w:p>
    <w:p w:rsidR="00BB343E" w:rsidRDefault="008A5EDE">
      <w:pPr>
        <w:ind w:left="-5"/>
      </w:pPr>
      <w:r>
        <w:t xml:space="preserve">Britain. Around 140 kids matured 3-8 who were alluded for withdrawn conduct were designated to get parent training or to be in a benchmark group. The program was </w:t>
      </w:r>
      <w:r>
        <w:lastRenderedPageBreak/>
        <w:t>fruitful. As indicated by parent reports, the wi</w:t>
      </w:r>
      <w:r>
        <w:t>thdrawn way of behaving of the trial kids diminished, while that of the control youngsters didn't change. Since this program is moderately low at £571 per youngster for a 12-week program, it is was seen to be financially moderate. Empowering results were a</w:t>
      </w:r>
      <w:r>
        <w:t>dditionally acquired by Gardner et al. (2006), who assessed the progress of the Webster-Stratton program in Oxfordshire. Likewise, the deliberate audit by Piquero et al. (2009) presumed that parent training is viable in diminishing youngsters' solitary way</w:t>
      </w:r>
      <w:r>
        <w:t xml:space="preserve"> of behaving which can lead to crime. </w:t>
      </w:r>
    </w:p>
    <w:p w:rsidR="00BB343E" w:rsidRDefault="008A5EDE">
      <w:pPr>
        <w:spacing w:after="3"/>
        <w:ind w:left="-5"/>
      </w:pPr>
      <w:r>
        <w:t xml:space="preserve">The developmental crime prevention theory also evaluate the long term effect of poverty which is a factor leading to crime in individuals and their families. For instance, Perry project did in Ypsilanti (Michigan) by </w:t>
      </w:r>
      <w:r>
        <w:t xml:space="preserve">Schweinhart and Weikart (1980). This was basically a Head Start program designated on impeded African </w:t>
      </w:r>
    </w:p>
    <w:p w:rsidR="00BB343E" w:rsidRDefault="008A5EDE">
      <w:pPr>
        <w:spacing w:after="0"/>
        <w:ind w:left="-5"/>
      </w:pPr>
      <w:r>
        <w:t>American youngsters, yet did excluded the clinical or wellbeing parts of Head Start. An example of 123 kids were distributed (roughly at irregular) to tr</w:t>
      </w:r>
      <w:r>
        <w:t xml:space="preserve">ial and control groups. The trial youngsters went to a day to day preschool program, upheld by week by week home visits, normally enduring two years (covering ages 3-4). </w:t>
      </w:r>
    </w:p>
    <w:p w:rsidR="00BB343E" w:rsidRDefault="008A5EDE">
      <w:pPr>
        <w:ind w:left="-5"/>
      </w:pPr>
      <w:r>
        <w:t>Guardians were likewise effectively taken part in instructive exercises including Per</w:t>
      </w:r>
      <w:r>
        <w:t xml:space="preserve">ry Preschool. The point of the program was to give scholarly excitement, to expand thinking and abilities to think, and to increase later school accomplishment. </w:t>
      </w:r>
    </w:p>
    <w:p w:rsidR="00BB343E" w:rsidRDefault="008A5EDE">
      <w:pPr>
        <w:spacing w:after="1"/>
        <w:ind w:left="-5"/>
      </w:pPr>
      <w:r>
        <w:t>This program had long term benefits. Berrueta-Clement et al. (1984) showed that, at age 19, th</w:t>
      </w:r>
      <w:r>
        <w:t>e trial group was bound to be utilized, bound to have moved on from secondary school, bound to have gotten school or professional job, and less inclined to have been arrested. By age 27, the exploratory gathering had aggregated just half however many arres</w:t>
      </w:r>
      <w:r>
        <w:t xml:space="preserve">ts on normal as the controls (Schweinhart et al., 1993). </w:t>
      </w:r>
    </w:p>
    <w:p w:rsidR="00BB343E" w:rsidRDefault="008A5EDE">
      <w:pPr>
        <w:spacing w:line="259" w:lineRule="auto"/>
        <w:ind w:left="-5"/>
      </w:pPr>
      <w:r>
        <w:t xml:space="preserve">Likewise, they had essentially higher income and were bound to be property holders. </w:t>
      </w:r>
    </w:p>
    <w:p w:rsidR="00BB343E" w:rsidRDefault="008A5EDE">
      <w:pPr>
        <w:ind w:left="-5"/>
      </w:pPr>
      <w:r>
        <w:lastRenderedPageBreak/>
        <w:t>A greater amount of the trial ladies were hitched, and less of their kids were conceived illegitimately. The late</w:t>
      </w:r>
      <w:r>
        <w:t xml:space="preserve">st development of this venture, at age 40, which included 91% of the first test, found that the program kept on having a significant effect in the existences of the members (Schweinhart et al., 2005).  </w:t>
      </w:r>
    </w:p>
    <w:p w:rsidR="00BB343E" w:rsidRDefault="008A5EDE">
      <w:pPr>
        <w:ind w:left="-5"/>
      </w:pPr>
      <w:r>
        <w:t>Contrasted with the benchmark group, exploratory memb</w:t>
      </w:r>
      <w:r>
        <w:t>ers had fundamentally less lifetime captures for brutal violations (32% versus 48%), vandalism related misdemeanours (36% versus 58%), and drug wrongdoings (14% versus 34%), and were essentially less inclined to be captured at least multiple times (36% ver</w:t>
      </w:r>
      <w:r>
        <w:t>sus 55%). Enhancements were additionally kept in numerous other significant life course results. For instance, essentially more significant levels of tutoring (77% versus 60% moving on from secondary school), better records of business (76% versus 62%), an</w:t>
      </w:r>
      <w:r>
        <w:t xml:space="preserve">d higher yearly livelihoods were accounted for by the program bunch contrasted with the controls. An advantage cost examination at age 40 found that the Perry project delivered simply more than $17 benefit per dollar of cost, with 76% of this being gotten </w:t>
      </w:r>
      <w:r>
        <w:t xml:space="preserve">back to the overall population - as reserve funds in wrongdoing, schooling, and government assistance, and expanded charge income - and 24% helping each trial member. Advantageous outcomes were likewise acquired in other preschool assessments (Campbell et </w:t>
      </w:r>
      <w:r>
        <w:t xml:space="preserve">al., 2002). </w:t>
      </w:r>
    </w:p>
    <w:p w:rsidR="00BB343E" w:rsidRDefault="008A5EDE">
      <w:pPr>
        <w:ind w:left="-5"/>
      </w:pPr>
      <w:r>
        <w:t>The developmental crime prevention theory has some challenges such as designing and implementing. This includes the task of ensuring the right group is participating in the program initiated. Another challenge is how to ensure that the mechani</w:t>
      </w:r>
      <w:r>
        <w:t xml:space="preserve">sm in place for the change in the crim pattern is well understood and addressed by the intervention. Another major challenge is getting trained staff to implement the intervention and how to monitor the impact of the intervention. </w:t>
      </w:r>
    </w:p>
    <w:p w:rsidR="00BB343E" w:rsidRDefault="008A5EDE">
      <w:pPr>
        <w:spacing w:after="3"/>
        <w:ind w:left="-5"/>
      </w:pPr>
      <w:r>
        <w:lastRenderedPageBreak/>
        <w:t>Situational crime preven</w:t>
      </w:r>
      <w:r>
        <w:t>tion stands separated from developmental prevention by its solitary concentration on the setting or spot in which criminal demonstrations occur as well as its wrongdoing explicit concentration. Connected with this is the generally held observing that wrong</w:t>
      </w:r>
      <w:r>
        <w:t>doing isn't haphazardly conveyed across a city or local area, yet is rather exceptionally gathered at specific spots known as crime problem areas (Sherman et al., 1989). For instance, it is assessed that across the U.S. 10% of the spots are destinations fo</w:t>
      </w:r>
      <w:r>
        <w:t xml:space="preserve">r around 60% of the crimes committed (Eck, 2006, p. </w:t>
      </w:r>
    </w:p>
    <w:p w:rsidR="00BB343E" w:rsidRDefault="008A5EDE">
      <w:pPr>
        <w:spacing w:after="412" w:line="259" w:lineRule="auto"/>
        <w:ind w:left="-5"/>
      </w:pPr>
      <w:r>
        <w:t xml:space="preserve">242). </w:t>
      </w:r>
    </w:p>
    <w:p w:rsidR="00BB343E" w:rsidRDefault="008A5EDE">
      <w:pPr>
        <w:ind w:left="-5"/>
      </w:pPr>
      <w:r>
        <w:t>Situational crime prevention has been characterized as a preventive methodology that depends, not after further developing society or its establishments, however basically after lessening valuable</w:t>
      </w:r>
      <w:r>
        <w:t xml:space="preserve"> open doors for crime (Clarke, 2009). Lessening potential open doors for crime is accomplished basically through some change or control of the actual climate to straightforwardly influence offenders’ view of expanded dangers and exertion and diminished pri</w:t>
      </w:r>
      <w:r>
        <w:t xml:space="preserve">zes, incitements, and excuses (Cornish and Clarke, 2003). This hypothesis holds that the offender is intensely impacted by natural promptings and open doors and as being exceptionally versatile to changes in the circumstance (Clarke, 1995a, p. 57). </w:t>
      </w:r>
    </w:p>
    <w:p w:rsidR="00BB343E" w:rsidRDefault="008A5EDE">
      <w:pPr>
        <w:ind w:left="-5"/>
      </w:pPr>
      <w:r>
        <w:t>For in</w:t>
      </w:r>
      <w:r>
        <w:t>stance, Jacobs (1961) caused to notice the job of good visibility joined with normal observation as impediments to crime. She underlined the relationship between levels of crime and public road use, proposing that less crime would be perpetrated in regions</w:t>
      </w:r>
      <w:r>
        <w:t xml:space="preserve"> with a wealth of possible observers. </w:t>
      </w:r>
    </w:p>
    <w:p w:rsidR="00BB343E" w:rsidRDefault="008A5EDE">
      <w:pPr>
        <w:ind w:left="-5"/>
      </w:pPr>
      <w:r>
        <w:t>Lighting upgrades, for example, may empower expanded road use, which heightens regular observation. The adjustment of routine action designs attempts to decrease crime since it expands the progression of possibly comp</w:t>
      </w:r>
      <w:r>
        <w:t xml:space="preserve">etent watchmen who can </w:t>
      </w:r>
      <w:r>
        <w:lastRenderedPageBreak/>
        <w:t>mediate to forestall crime (Cohen and Felson, 1979). From the possible wrongdoer's point of view, the closeness of different walkers goes about as a hindrance since the dangers of being perceived or recognised while going after priva</w:t>
      </w:r>
      <w:r>
        <w:t>te or property targets are expanded. From the likely casualty's viewpoint, the apparent dangers and fears of crime are decreased. The situational crime prevention theory have been used to improve street lightening in some areas which deterred people from c</w:t>
      </w:r>
      <w:r>
        <w:t xml:space="preserve">ommitting crime and violent crimes. </w:t>
      </w:r>
    </w:p>
    <w:p w:rsidR="00BB343E" w:rsidRDefault="008A5EDE">
      <w:pPr>
        <w:ind w:left="-5"/>
      </w:pPr>
      <w:r>
        <w:t xml:space="preserve">One of the best lighting plans occurred in Stoke-on-Trent, U.K. (Farrington, 1999). The review included both nearby and non-adjoining control regions, which considers the most dependable estimation of any relocation or </w:t>
      </w:r>
      <w:r>
        <w:t xml:space="preserve">dispersion impacts. Casualty reviews were utilized, with an 84% response rate previously and an 89% response rate later (of those talked with previously). The frequency of crime diminished by 43% in the trial region, by 45% in the adjoining region, and by </w:t>
      </w:r>
      <w:r>
        <w:t>just 2% in the control region. At the point when contrasts in the pre-test exploitation rates (pervasiveness and occurrence) in every one of the three regions were controlled, it was observed that the progressions in trial and adjoining regions were altoge</w:t>
      </w:r>
      <w:r>
        <w:t xml:space="preserve">ther more prominent than in the control region. </w:t>
      </w:r>
    </w:p>
    <w:p w:rsidR="00BB343E" w:rsidRDefault="008A5EDE">
      <w:pPr>
        <w:ind w:left="-5"/>
      </w:pPr>
      <w:r>
        <w:t>Police records likewise showed a lessening in crime of just 2% in the bigger police region containing all the task regions. It was reasoned that better road lighting had caused a reduction in crime in the ex</w:t>
      </w:r>
      <w:r>
        <w:t xml:space="preserve">ploratory region and that there had been a dispersion of advantages to the contiguous region, which was not obviously delimited from it. </w:t>
      </w:r>
    </w:p>
    <w:p w:rsidR="00BB343E" w:rsidRDefault="008A5EDE">
      <w:pPr>
        <w:ind w:left="-5"/>
      </w:pPr>
      <w:r>
        <w:t>Another instance is the effectiveness of the use of CCTV cameras to deter people from committing crime in the UK as pa</w:t>
      </w:r>
      <w:r>
        <w:t xml:space="preserve">rt of situational crime prevention initiative. In </w:t>
      </w:r>
      <w:r>
        <w:lastRenderedPageBreak/>
        <w:t xml:space="preserve">the public British assessment of the adequacy of CCTV, Farrington et al. (2007) observed that adequacy was altogether corresponded with the level of inclusion of the CCTV cameras, which was most noteworthy </w:t>
      </w:r>
      <w:r>
        <w:t>in car parks. Besides, every one of the 6 vehicle parks plans included different intercessions, like better lighting and security officials. It is conceivable to recommend that CCTV plans with high inclusion and other intercessions, designated on vehicle c</w:t>
      </w:r>
      <w:r>
        <w:t xml:space="preserve">rimes, are compelling.  </w:t>
      </w:r>
    </w:p>
    <w:p w:rsidR="00BB343E" w:rsidRDefault="008A5EDE">
      <w:pPr>
        <w:ind w:left="-5"/>
      </w:pPr>
      <w:r>
        <w:t>Three of the 6 vehicle parks plans were assessed by Tilley (1993) in the British urban communities of Hartlepool, Bradford, and Coventry. Each plan was important for the British Government's Safer Urban communities Program, an enor</w:t>
      </w:r>
      <w:r>
        <w:t>mous scope crime counteraction drive that worked from the last part of the 1980s to mid-1990s. In Hartlepool, CCTV cameras were introduced in various covered vehicle parks and the control region incorporated various non-CCTV covered vehicle parks. Security</w:t>
      </w:r>
      <w:r>
        <w:t xml:space="preserve"> staff, takes note of CCTV, and instalment plans were additionally important for the bundle of measures utilized to diminish vehicle crimes. Two years after the program started robberies of and from vehicles had been significantly decreased in the explorat</w:t>
      </w:r>
      <w:r>
        <w:t xml:space="preserve">ory contrasted and the control vehicle parks. A 59% decrease in burglaries of vehicles was seen in the exploratory vehicle leaves contrasted and a 16% decrease in the control vehicle parks. </w:t>
      </w:r>
    </w:p>
    <w:p w:rsidR="00BB343E" w:rsidRDefault="008A5EDE">
      <w:pPr>
        <w:ind w:left="-5"/>
      </w:pPr>
      <w:r>
        <w:t>To conclude, Crime prevention has entered a new, more powerful pe</w:t>
      </w:r>
      <w:r>
        <w:t xml:space="preserve">riod of exploration movement and holds more noteworthy importance to strategy and practice today than any time in recent memory. It remains as a significant part of a general system to decrease crime. These accomplishments are not only the total impact of </w:t>
      </w:r>
      <w:r>
        <w:t xml:space="preserve">long stretches of a sluggish, here and there not exactly consistent advancement of a social development; different improvements figure all the more conspicuously. Maybe most significant is the new development toward normal and </w:t>
      </w:r>
      <w:r>
        <w:lastRenderedPageBreak/>
        <w:t xml:space="preserve">evidence-based crime policy. </w:t>
      </w:r>
      <w:r>
        <w:t xml:space="preserve">developmental and situational wrongdoing counteraction appear to be very much ready to assist with meaningfully having an impact on this situation and make a significant commitment to crime decrease in this country. </w:t>
      </w:r>
    </w:p>
    <w:p w:rsidR="00BB343E" w:rsidRDefault="008A5EDE">
      <w:pPr>
        <w:spacing w:after="413" w:line="259" w:lineRule="auto"/>
        <w:ind w:left="-5"/>
      </w:pPr>
      <w:r>
        <w:t xml:space="preserve">REFERENCES </w:t>
      </w:r>
    </w:p>
    <w:p w:rsidR="00BB343E" w:rsidRDefault="008A5EDE">
      <w:pPr>
        <w:spacing w:after="0" w:line="486" w:lineRule="auto"/>
        <w:ind w:left="-5"/>
      </w:pPr>
      <w:r>
        <w:rPr>
          <w:rFonts w:ascii="Times New Roman" w:eastAsia="Times New Roman" w:hAnsi="Times New Roman" w:cs="Times New Roman"/>
        </w:rPr>
        <w:t>Berrueta-</w:t>
      </w:r>
      <w:r>
        <w:rPr>
          <w:rFonts w:ascii="Times New Roman" w:eastAsia="Times New Roman" w:hAnsi="Times New Roman" w:cs="Times New Roman"/>
        </w:rPr>
        <w:t xml:space="preserve">Clement, J. R., Schweinhart L. J., Barnett W. S., Epstein A. S., and Weikart D. P. 1984. </w:t>
      </w:r>
      <w:r>
        <w:rPr>
          <w:rFonts w:ascii="Times New Roman" w:eastAsia="Times New Roman" w:hAnsi="Times New Roman" w:cs="Times New Roman"/>
          <w:i/>
        </w:rPr>
        <w:t xml:space="preserve">Changed Lives: The Effects of the Perry Preschool Program on Youths Through Age </w:t>
      </w:r>
    </w:p>
    <w:p w:rsidR="00BB343E" w:rsidRDefault="008A5EDE">
      <w:pPr>
        <w:spacing w:after="410" w:line="259" w:lineRule="auto"/>
        <w:ind w:left="-5"/>
      </w:pPr>
      <w:r>
        <w:rPr>
          <w:rFonts w:ascii="Times New Roman" w:eastAsia="Times New Roman" w:hAnsi="Times New Roman" w:cs="Times New Roman"/>
          <w:i/>
        </w:rPr>
        <w:t xml:space="preserve">19. </w:t>
      </w:r>
      <w:r>
        <w:rPr>
          <w:rFonts w:ascii="Times New Roman" w:eastAsia="Times New Roman" w:hAnsi="Times New Roman" w:cs="Times New Roman"/>
        </w:rPr>
        <w:t xml:space="preserve">Ypsilanti, Michigan: High/Scope Press. </w:t>
      </w:r>
    </w:p>
    <w:p w:rsidR="00BB343E" w:rsidRDefault="008A5EDE">
      <w:pPr>
        <w:spacing w:after="0" w:line="486" w:lineRule="auto"/>
        <w:ind w:left="-5"/>
      </w:pPr>
      <w:r>
        <w:rPr>
          <w:rFonts w:ascii="Times New Roman" w:eastAsia="Times New Roman" w:hAnsi="Times New Roman" w:cs="Times New Roman"/>
        </w:rPr>
        <w:t>Campbell, F. A., Ramey, C. T., Pungello, E</w:t>
      </w:r>
      <w:r>
        <w:rPr>
          <w:rFonts w:ascii="Times New Roman" w:eastAsia="Times New Roman" w:hAnsi="Times New Roman" w:cs="Times New Roman"/>
        </w:rPr>
        <w:t xml:space="preserve">., Sparling, J. and Miller-Johnson, S. 2002. </w:t>
      </w:r>
      <w:r>
        <w:rPr>
          <w:rFonts w:ascii="Times New Roman" w:eastAsia="Times New Roman" w:hAnsi="Times New Roman" w:cs="Times New Roman"/>
          <w:i/>
        </w:rPr>
        <w:t>Early childhood education: Young adult outcomes from the Abecedarian project</w:t>
      </w:r>
      <w:r>
        <w:rPr>
          <w:rFonts w:ascii="Times New Roman" w:eastAsia="Times New Roman" w:hAnsi="Times New Roman" w:cs="Times New Roman"/>
        </w:rPr>
        <w:t xml:space="preserve">. Applied </w:t>
      </w:r>
    </w:p>
    <w:p w:rsidR="00BB343E" w:rsidRDefault="008A5EDE">
      <w:pPr>
        <w:spacing w:after="428" w:line="259" w:lineRule="auto"/>
        <w:ind w:left="-5"/>
      </w:pPr>
      <w:r>
        <w:rPr>
          <w:rFonts w:ascii="Times New Roman" w:eastAsia="Times New Roman" w:hAnsi="Times New Roman" w:cs="Times New Roman"/>
        </w:rPr>
        <w:t xml:space="preserve">Developmental Science 6: 42-57 </w:t>
      </w:r>
    </w:p>
    <w:p w:rsidR="00BB343E" w:rsidRDefault="008A5EDE">
      <w:pPr>
        <w:spacing w:after="151" w:line="486" w:lineRule="auto"/>
        <w:ind w:left="-5"/>
      </w:pPr>
      <w:r>
        <w:rPr>
          <w:rFonts w:ascii="Times New Roman" w:eastAsia="Times New Roman" w:hAnsi="Times New Roman" w:cs="Times New Roman"/>
        </w:rPr>
        <w:t xml:space="preserve">Clarke, R. V. 1995b. </w:t>
      </w:r>
      <w:r>
        <w:rPr>
          <w:rFonts w:ascii="Times New Roman" w:eastAsia="Times New Roman" w:hAnsi="Times New Roman" w:cs="Times New Roman"/>
          <w:i/>
        </w:rPr>
        <w:t xml:space="preserve">“Situational Crime Prevention.” In Building a Safer Society: Strategic </w:t>
      </w:r>
      <w:r>
        <w:rPr>
          <w:rFonts w:ascii="Times New Roman" w:eastAsia="Times New Roman" w:hAnsi="Times New Roman" w:cs="Times New Roman"/>
          <w:i/>
        </w:rPr>
        <w:t>Approaches to Crime Prevention</w:t>
      </w:r>
      <w:r>
        <w:rPr>
          <w:rFonts w:ascii="Times New Roman" w:eastAsia="Times New Roman" w:hAnsi="Times New Roman" w:cs="Times New Roman"/>
        </w:rPr>
        <w:t xml:space="preserve">, edited by Michael Tonry and David P. Farrington. Vol. 19 of Crime and Justice: A Review of Research. Chicago: University of Chicago Press. </w:t>
      </w:r>
    </w:p>
    <w:p w:rsidR="00BB343E" w:rsidRDefault="008A5EDE">
      <w:pPr>
        <w:spacing w:after="178" w:line="486" w:lineRule="auto"/>
        <w:ind w:left="-5"/>
      </w:pPr>
      <w:r>
        <w:rPr>
          <w:rFonts w:ascii="Times New Roman" w:eastAsia="Times New Roman" w:hAnsi="Times New Roman" w:cs="Times New Roman"/>
        </w:rPr>
        <w:t xml:space="preserve">Clarke, R. V. 2009. </w:t>
      </w:r>
      <w:r>
        <w:rPr>
          <w:rFonts w:ascii="Times New Roman" w:eastAsia="Times New Roman" w:hAnsi="Times New Roman" w:cs="Times New Roman"/>
          <w:i/>
        </w:rPr>
        <w:t>“Situational Crime Prevention: Theoretical Background and Curren</w:t>
      </w:r>
      <w:r>
        <w:rPr>
          <w:rFonts w:ascii="Times New Roman" w:eastAsia="Times New Roman" w:hAnsi="Times New Roman" w:cs="Times New Roman"/>
          <w:i/>
        </w:rPr>
        <w:t>t Practice.”</w:t>
      </w:r>
      <w:r>
        <w:rPr>
          <w:rFonts w:ascii="Times New Roman" w:eastAsia="Times New Roman" w:hAnsi="Times New Roman" w:cs="Times New Roman"/>
        </w:rPr>
        <w:t xml:space="preserve"> In Handbook on Crime and Deviance, edited by Marvin D. Krohn, Alan J. Lizotte, and Gina Penly Hall. New York: Springer. </w:t>
      </w:r>
    </w:p>
    <w:p w:rsidR="00BB343E" w:rsidRDefault="008A5EDE">
      <w:pPr>
        <w:spacing w:after="151" w:line="486" w:lineRule="auto"/>
        <w:ind w:left="-5"/>
      </w:pPr>
      <w:r>
        <w:rPr>
          <w:rFonts w:ascii="Times New Roman" w:eastAsia="Times New Roman" w:hAnsi="Times New Roman" w:cs="Times New Roman"/>
        </w:rPr>
        <w:t>Cohen, Lawrence E., and Marcus Felson. 1979. “</w:t>
      </w:r>
      <w:r>
        <w:rPr>
          <w:rFonts w:ascii="Times New Roman" w:eastAsia="Times New Roman" w:hAnsi="Times New Roman" w:cs="Times New Roman"/>
          <w:i/>
        </w:rPr>
        <w:t>Social Change and Crime Rate Trends: A Routine Activity Approach</w:t>
      </w:r>
      <w:r>
        <w:rPr>
          <w:rFonts w:ascii="Times New Roman" w:eastAsia="Times New Roman" w:hAnsi="Times New Roman" w:cs="Times New Roman"/>
        </w:rPr>
        <w:t xml:space="preserve">.” American </w:t>
      </w:r>
      <w:r>
        <w:rPr>
          <w:rFonts w:ascii="Times New Roman" w:eastAsia="Times New Roman" w:hAnsi="Times New Roman" w:cs="Times New Roman"/>
        </w:rPr>
        <w:t xml:space="preserve">Sociological Review 44: 588-608. </w:t>
      </w:r>
    </w:p>
    <w:p w:rsidR="00BB343E" w:rsidRDefault="008A5EDE">
      <w:pPr>
        <w:spacing w:after="255" w:line="259" w:lineRule="auto"/>
        <w:ind w:left="-5"/>
      </w:pPr>
      <w:r>
        <w:rPr>
          <w:rFonts w:ascii="Times New Roman" w:eastAsia="Times New Roman" w:hAnsi="Times New Roman" w:cs="Times New Roman"/>
        </w:rPr>
        <w:t xml:space="preserve">Cornish, Derek B., and Ronald V. Clarke. 2003. </w:t>
      </w:r>
      <w:r>
        <w:rPr>
          <w:rFonts w:ascii="Times New Roman" w:eastAsia="Times New Roman" w:hAnsi="Times New Roman" w:cs="Times New Roman"/>
          <w:i/>
        </w:rPr>
        <w:t xml:space="preserve">“Opportunities, Precipitators and Criminal </w:t>
      </w:r>
    </w:p>
    <w:p w:rsidR="00BB343E" w:rsidRDefault="008A5EDE">
      <w:pPr>
        <w:spacing w:after="0" w:line="486" w:lineRule="auto"/>
        <w:ind w:left="-5"/>
      </w:pPr>
      <w:r>
        <w:rPr>
          <w:rFonts w:ascii="Times New Roman" w:eastAsia="Times New Roman" w:hAnsi="Times New Roman" w:cs="Times New Roman"/>
          <w:i/>
        </w:rPr>
        <w:t>Decisions: A Reply to Wortley’s Critique of Situational Crime Prevention</w:t>
      </w:r>
      <w:r>
        <w:rPr>
          <w:rFonts w:ascii="Times New Roman" w:eastAsia="Times New Roman" w:hAnsi="Times New Roman" w:cs="Times New Roman"/>
        </w:rPr>
        <w:t xml:space="preserve">.” In Theory for Practice in Situational Crime Prevention, </w:t>
      </w:r>
      <w:r>
        <w:rPr>
          <w:rFonts w:ascii="Times New Roman" w:eastAsia="Times New Roman" w:hAnsi="Times New Roman" w:cs="Times New Roman"/>
        </w:rPr>
        <w:t xml:space="preserve">edited by Martha J. Smith and Derek B. Cornish. </w:t>
      </w:r>
    </w:p>
    <w:p w:rsidR="00BB343E" w:rsidRDefault="008A5EDE">
      <w:pPr>
        <w:spacing w:after="151" w:line="259" w:lineRule="auto"/>
        <w:ind w:left="-5"/>
      </w:pPr>
      <w:r>
        <w:rPr>
          <w:rFonts w:ascii="Times New Roman" w:eastAsia="Times New Roman" w:hAnsi="Times New Roman" w:cs="Times New Roman"/>
        </w:rPr>
        <w:t xml:space="preserve">Vol. 16 of Crime Prevention Studies. Monsey, NY: Criminal Justice Press. </w:t>
      </w:r>
    </w:p>
    <w:p w:rsidR="00BB343E" w:rsidRDefault="008A5EDE">
      <w:pPr>
        <w:spacing w:after="487" w:line="259" w:lineRule="auto"/>
        <w:ind w:left="225" w:firstLine="0"/>
      </w:pPr>
      <w:r>
        <w:rPr>
          <w:rFonts w:ascii="Calibri" w:eastAsia="Calibri" w:hAnsi="Calibri" w:cs="Calibri"/>
          <w:sz w:val="22"/>
        </w:rPr>
        <w:lastRenderedPageBreak/>
        <w:t xml:space="preserve"> </w:t>
      </w:r>
    </w:p>
    <w:p w:rsidR="00BB343E" w:rsidRDefault="008A5EDE">
      <w:pPr>
        <w:spacing w:after="0" w:line="486" w:lineRule="auto"/>
        <w:ind w:left="-5"/>
      </w:pPr>
      <w:r>
        <w:rPr>
          <w:rFonts w:ascii="Times New Roman" w:eastAsia="Times New Roman" w:hAnsi="Times New Roman" w:cs="Times New Roman"/>
        </w:rPr>
        <w:t>Eck, J. E. 2006. “</w:t>
      </w:r>
      <w:r>
        <w:rPr>
          <w:rFonts w:ascii="Times New Roman" w:eastAsia="Times New Roman" w:hAnsi="Times New Roman" w:cs="Times New Roman"/>
          <w:i/>
        </w:rPr>
        <w:t>Preventing Crime at Places.” In Evidence-Based Crime Prevention</w:t>
      </w:r>
      <w:r>
        <w:rPr>
          <w:rFonts w:ascii="Times New Roman" w:eastAsia="Times New Roman" w:hAnsi="Times New Roman" w:cs="Times New Roman"/>
        </w:rPr>
        <w:t>, rev. ed., edited by Lawrence W. Sherman, David P</w:t>
      </w:r>
      <w:r>
        <w:rPr>
          <w:rFonts w:ascii="Times New Roman" w:eastAsia="Times New Roman" w:hAnsi="Times New Roman" w:cs="Times New Roman"/>
        </w:rPr>
        <w:t xml:space="preserve">. Farrington, Brandon C. Welsh, and Doris L. </w:t>
      </w:r>
    </w:p>
    <w:p w:rsidR="00BB343E" w:rsidRDefault="008A5EDE">
      <w:pPr>
        <w:spacing w:after="410" w:line="259" w:lineRule="auto"/>
        <w:ind w:left="-5"/>
      </w:pPr>
      <w:r>
        <w:rPr>
          <w:rFonts w:ascii="Times New Roman" w:eastAsia="Times New Roman" w:hAnsi="Times New Roman" w:cs="Times New Roman"/>
        </w:rPr>
        <w:t xml:space="preserve">MacKenzie. New York: Routledge. </w:t>
      </w:r>
    </w:p>
    <w:p w:rsidR="00BB343E" w:rsidRDefault="008A5EDE">
      <w:pPr>
        <w:spacing w:after="158"/>
        <w:ind w:left="-5"/>
      </w:pPr>
      <w:r>
        <w:rPr>
          <w:rFonts w:ascii="Times New Roman" w:eastAsia="Times New Roman" w:hAnsi="Times New Roman" w:cs="Times New Roman"/>
        </w:rPr>
        <w:t xml:space="preserve">Farrington, D. and Welsh, B., 2007. </w:t>
      </w:r>
      <w:r>
        <w:rPr>
          <w:rFonts w:ascii="Times New Roman" w:eastAsia="Times New Roman" w:hAnsi="Times New Roman" w:cs="Times New Roman"/>
          <w:i/>
        </w:rPr>
        <w:t>Saving children from a life of crime: early risk factors and effective interventions</w:t>
      </w:r>
      <w:r>
        <w:rPr>
          <w:rFonts w:ascii="Times New Roman" w:eastAsia="Times New Roman" w:hAnsi="Times New Roman" w:cs="Times New Roman"/>
        </w:rPr>
        <w:t xml:space="preserve">. Oxford: Oxford University Press. </w:t>
      </w:r>
    </w:p>
    <w:p w:rsidR="00BB343E" w:rsidRDefault="008A5EDE">
      <w:pPr>
        <w:spacing w:after="158"/>
        <w:ind w:left="-5"/>
      </w:pPr>
      <w:r>
        <w:rPr>
          <w:rFonts w:ascii="Times New Roman" w:eastAsia="Times New Roman" w:hAnsi="Times New Roman" w:cs="Times New Roman"/>
        </w:rPr>
        <w:t xml:space="preserve">France, A. P. and Homel, R. 2007. </w:t>
      </w:r>
      <w:r>
        <w:rPr>
          <w:rFonts w:ascii="Times New Roman" w:eastAsia="Times New Roman" w:hAnsi="Times New Roman" w:cs="Times New Roman"/>
          <w:i/>
        </w:rPr>
        <w:t>Pathways and crime prevention: theory, policy and practice.</w:t>
      </w:r>
      <w:r>
        <w:rPr>
          <w:rFonts w:ascii="Times New Roman" w:eastAsia="Times New Roman" w:hAnsi="Times New Roman" w:cs="Times New Roman"/>
        </w:rPr>
        <w:t xml:space="preserve"> Devon: Willan Publishing. </w:t>
      </w:r>
    </w:p>
    <w:p w:rsidR="00BB343E" w:rsidRDefault="008A5EDE">
      <w:pPr>
        <w:spacing w:after="158"/>
        <w:ind w:left="-5"/>
      </w:pPr>
      <w:r>
        <w:rPr>
          <w:rFonts w:ascii="Times New Roman" w:eastAsia="Times New Roman" w:hAnsi="Times New Roman" w:cs="Times New Roman"/>
        </w:rPr>
        <w:t xml:space="preserve">Gardner, F., Burton, J., and Klimes, I. 2006. </w:t>
      </w:r>
      <w:r>
        <w:rPr>
          <w:rFonts w:ascii="Times New Roman" w:eastAsia="Times New Roman" w:hAnsi="Times New Roman" w:cs="Times New Roman"/>
          <w:i/>
        </w:rPr>
        <w:t>Randomized controlled trial of a parenting intervention in the voluntary sector for reducing child conduct problems: Outcomes and mechanisms of change.</w:t>
      </w:r>
      <w:r>
        <w:rPr>
          <w:rFonts w:ascii="Times New Roman" w:eastAsia="Times New Roman" w:hAnsi="Times New Roman" w:cs="Times New Roman"/>
        </w:rPr>
        <w:t xml:space="preserve"> Journal of Child Psychology and Psychiatry, 47, 1123-1132. </w:t>
      </w:r>
    </w:p>
    <w:p w:rsidR="00BB343E" w:rsidRDefault="008A5EDE">
      <w:pPr>
        <w:spacing w:after="151" w:line="486" w:lineRule="auto"/>
        <w:ind w:left="-5"/>
      </w:pPr>
      <w:r>
        <w:rPr>
          <w:rFonts w:ascii="Times New Roman" w:eastAsia="Times New Roman" w:hAnsi="Times New Roman" w:cs="Times New Roman"/>
        </w:rPr>
        <w:t xml:space="preserve">Homel, R. and Thomsen, L., 2017. </w:t>
      </w:r>
      <w:r>
        <w:rPr>
          <w:rFonts w:ascii="Times New Roman" w:eastAsia="Times New Roman" w:hAnsi="Times New Roman" w:cs="Times New Roman"/>
          <w:i/>
        </w:rPr>
        <w:t>Development</w:t>
      </w:r>
      <w:r>
        <w:rPr>
          <w:rFonts w:ascii="Times New Roman" w:eastAsia="Times New Roman" w:hAnsi="Times New Roman" w:cs="Times New Roman"/>
          <w:i/>
        </w:rPr>
        <w:t>al Crime Prevention</w:t>
      </w:r>
      <w:r>
        <w:rPr>
          <w:rFonts w:ascii="Times New Roman" w:eastAsia="Times New Roman" w:hAnsi="Times New Roman" w:cs="Times New Roman"/>
        </w:rPr>
        <w:t xml:space="preserve">. In N. Tilley and A. Sidebottom, eds. Handbook of Crime Prevention and Community Safety. Devon: Willan Publishing. </w:t>
      </w:r>
    </w:p>
    <w:p w:rsidR="00BB343E" w:rsidRDefault="008A5EDE">
      <w:pPr>
        <w:spacing w:after="410" w:line="259" w:lineRule="auto"/>
        <w:ind w:left="-5"/>
      </w:pPr>
      <w:r>
        <w:rPr>
          <w:rFonts w:ascii="Times New Roman" w:eastAsia="Times New Roman" w:hAnsi="Times New Roman" w:cs="Times New Roman"/>
        </w:rPr>
        <w:t xml:space="preserve">Jacobs, J. 1961. </w:t>
      </w:r>
      <w:r>
        <w:rPr>
          <w:rFonts w:ascii="Times New Roman" w:eastAsia="Times New Roman" w:hAnsi="Times New Roman" w:cs="Times New Roman"/>
          <w:i/>
        </w:rPr>
        <w:t>The Death and Life of Great American Cities</w:t>
      </w:r>
      <w:r>
        <w:rPr>
          <w:rFonts w:ascii="Times New Roman" w:eastAsia="Times New Roman" w:hAnsi="Times New Roman" w:cs="Times New Roman"/>
        </w:rPr>
        <w:t xml:space="preserve">. New York: Random House </w:t>
      </w:r>
    </w:p>
    <w:p w:rsidR="00BB343E" w:rsidRDefault="008A5EDE">
      <w:pPr>
        <w:spacing w:after="151" w:line="486" w:lineRule="auto"/>
        <w:ind w:left="-5"/>
      </w:pPr>
      <w:r>
        <w:rPr>
          <w:rFonts w:ascii="Times New Roman" w:eastAsia="Times New Roman" w:hAnsi="Times New Roman" w:cs="Times New Roman"/>
        </w:rPr>
        <w:t xml:space="preserve">Jenkins, S., 2021. </w:t>
      </w:r>
      <w:r>
        <w:rPr>
          <w:rFonts w:ascii="Times New Roman" w:eastAsia="Times New Roman" w:hAnsi="Times New Roman" w:cs="Times New Roman"/>
          <w:i/>
        </w:rPr>
        <w:t>Our justice sys</w:t>
      </w:r>
      <w:r>
        <w:rPr>
          <w:rFonts w:ascii="Times New Roman" w:eastAsia="Times New Roman" w:hAnsi="Times New Roman" w:cs="Times New Roman"/>
          <w:i/>
        </w:rPr>
        <w:t>tem is in crisis, so why not abolish jury trials?</w:t>
      </w:r>
      <w:r>
        <w:rPr>
          <w:rFonts w:ascii="Times New Roman" w:eastAsia="Times New Roman" w:hAnsi="Times New Roman" w:cs="Times New Roman"/>
        </w:rPr>
        <w:t xml:space="preserve"> [Online] The Guardian. Available at: &lt;https://www.theguardian.com/commentisfree/2021/jan/22/justicesystem-crisis-abolish-jury-trials-covid&gt; [Accessed 9 July 2022]. </w:t>
      </w:r>
    </w:p>
    <w:p w:rsidR="00BB343E" w:rsidRDefault="008A5EDE">
      <w:pPr>
        <w:spacing w:after="250" w:line="259" w:lineRule="auto"/>
        <w:ind w:left="-5"/>
      </w:pPr>
      <w:r>
        <w:rPr>
          <w:rFonts w:ascii="Times New Roman" w:eastAsia="Times New Roman" w:hAnsi="Times New Roman" w:cs="Times New Roman"/>
        </w:rPr>
        <w:t>Piquero, A. R., Farrington D. P., Welsh B</w:t>
      </w:r>
      <w:r>
        <w:rPr>
          <w:rFonts w:ascii="Times New Roman" w:eastAsia="Times New Roman" w:hAnsi="Times New Roman" w:cs="Times New Roman"/>
        </w:rPr>
        <w:t xml:space="preserve">. C., Tremblay R. E., and Jennings W. G.. 2009. </w:t>
      </w:r>
    </w:p>
    <w:p w:rsidR="00BB343E" w:rsidRDefault="008A5EDE">
      <w:pPr>
        <w:spacing w:after="158"/>
        <w:ind w:left="-5"/>
      </w:pPr>
      <w:r>
        <w:rPr>
          <w:rFonts w:ascii="Times New Roman" w:eastAsia="Times New Roman" w:hAnsi="Times New Roman" w:cs="Times New Roman"/>
        </w:rPr>
        <w:t>“</w:t>
      </w:r>
      <w:r>
        <w:rPr>
          <w:rFonts w:ascii="Times New Roman" w:eastAsia="Times New Roman" w:hAnsi="Times New Roman" w:cs="Times New Roman"/>
          <w:i/>
        </w:rPr>
        <w:t>Effects of Early/Family Parent Training Programs on Antisocial Behavior and Delinquency.”</w:t>
      </w:r>
      <w:r>
        <w:rPr>
          <w:rFonts w:ascii="Times New Roman" w:eastAsia="Times New Roman" w:hAnsi="Times New Roman" w:cs="Times New Roman"/>
        </w:rPr>
        <w:t xml:space="preserve"> Journal of Experimental Criminology 5: 83-120. </w:t>
      </w:r>
    </w:p>
    <w:p w:rsidR="00BB343E" w:rsidRDefault="008A5EDE">
      <w:pPr>
        <w:spacing w:after="410" w:line="259" w:lineRule="auto"/>
        <w:ind w:left="-5"/>
      </w:pPr>
      <w:r>
        <w:rPr>
          <w:rFonts w:ascii="Times New Roman" w:eastAsia="Times New Roman" w:hAnsi="Times New Roman" w:cs="Times New Roman"/>
        </w:rPr>
        <w:t xml:space="preserve">Ratcliffe, J. H. 2006. </w:t>
      </w:r>
      <w:r>
        <w:rPr>
          <w:rFonts w:ascii="Times New Roman" w:eastAsia="Times New Roman" w:hAnsi="Times New Roman" w:cs="Times New Roman"/>
          <w:i/>
        </w:rPr>
        <w:t>Video Surveillance of Public Places</w:t>
      </w:r>
      <w:r>
        <w:rPr>
          <w:rFonts w:ascii="Times New Roman" w:eastAsia="Times New Roman" w:hAnsi="Times New Roman" w:cs="Times New Roman"/>
        </w:rPr>
        <w:t>. Problem-</w:t>
      </w:r>
      <w:r>
        <w:rPr>
          <w:rFonts w:ascii="Times New Roman" w:eastAsia="Times New Roman" w:hAnsi="Times New Roman" w:cs="Times New Roman"/>
        </w:rPr>
        <w:t xml:space="preserve">Oriented Guides for </w:t>
      </w:r>
    </w:p>
    <w:p w:rsidR="00BB343E" w:rsidRDefault="008A5EDE">
      <w:pPr>
        <w:spacing w:after="255" w:line="259" w:lineRule="auto"/>
        <w:ind w:left="-5"/>
      </w:pPr>
      <w:r>
        <w:rPr>
          <w:rFonts w:ascii="Times New Roman" w:eastAsia="Times New Roman" w:hAnsi="Times New Roman" w:cs="Times New Roman"/>
        </w:rPr>
        <w:lastRenderedPageBreak/>
        <w:t xml:space="preserve">Police Response Guides Series, no. 4. Washington, DC: Office of Community Oriented </w:t>
      </w:r>
    </w:p>
    <w:p w:rsidR="00BB343E" w:rsidRDefault="008A5EDE">
      <w:pPr>
        <w:spacing w:after="151" w:line="259" w:lineRule="auto"/>
        <w:ind w:left="-5"/>
      </w:pPr>
      <w:r>
        <w:rPr>
          <w:rFonts w:ascii="Times New Roman" w:eastAsia="Times New Roman" w:hAnsi="Times New Roman" w:cs="Times New Roman"/>
        </w:rPr>
        <w:t xml:space="preserve">Policing Services, U.S. Department of Justice. </w:t>
      </w:r>
    </w:p>
    <w:p w:rsidR="00BB343E" w:rsidRDefault="008A5EDE">
      <w:pPr>
        <w:spacing w:after="460" w:line="259" w:lineRule="auto"/>
        <w:ind w:left="225" w:firstLine="0"/>
      </w:pPr>
      <w:r>
        <w:rPr>
          <w:rFonts w:ascii="Calibri" w:eastAsia="Calibri" w:hAnsi="Calibri" w:cs="Calibri"/>
          <w:sz w:val="22"/>
        </w:rPr>
        <w:t xml:space="preserve"> </w:t>
      </w:r>
    </w:p>
    <w:p w:rsidR="00BB343E" w:rsidRDefault="008A5EDE">
      <w:pPr>
        <w:spacing w:after="158"/>
        <w:ind w:left="-5"/>
      </w:pPr>
      <w:r>
        <w:rPr>
          <w:rFonts w:ascii="Times New Roman" w:eastAsia="Times New Roman" w:hAnsi="Times New Roman" w:cs="Times New Roman"/>
        </w:rPr>
        <w:t xml:space="preserve">Schweinhart, L. J. and Weikart, D. P. 1980. </w:t>
      </w:r>
      <w:r>
        <w:rPr>
          <w:rFonts w:ascii="Times New Roman" w:eastAsia="Times New Roman" w:hAnsi="Times New Roman" w:cs="Times New Roman"/>
          <w:i/>
        </w:rPr>
        <w:t>Young Children Grow Up: The Effects of the Perry Preschoo</w:t>
      </w:r>
      <w:r>
        <w:rPr>
          <w:rFonts w:ascii="Times New Roman" w:eastAsia="Times New Roman" w:hAnsi="Times New Roman" w:cs="Times New Roman"/>
          <w:i/>
        </w:rPr>
        <w:t>l Program on Youths Through Age 15</w:t>
      </w:r>
      <w:r>
        <w:rPr>
          <w:rFonts w:ascii="Times New Roman" w:eastAsia="Times New Roman" w:hAnsi="Times New Roman" w:cs="Times New Roman"/>
        </w:rPr>
        <w:t xml:space="preserve">. Ypsilanti, Michigan: High/Scope Press. </w:t>
      </w:r>
    </w:p>
    <w:p w:rsidR="00BB343E" w:rsidRDefault="008A5EDE">
      <w:pPr>
        <w:spacing w:after="151" w:line="486" w:lineRule="auto"/>
        <w:ind w:left="-5"/>
      </w:pPr>
      <w:r>
        <w:rPr>
          <w:rFonts w:ascii="Times New Roman" w:eastAsia="Times New Roman" w:hAnsi="Times New Roman" w:cs="Times New Roman"/>
        </w:rPr>
        <w:t xml:space="preserve">Schweinhart, L. J., Montie, J., Zongping, X., Barnett, W. S., Belfield, C. R. and Nores, M. 2005. </w:t>
      </w:r>
      <w:r>
        <w:rPr>
          <w:rFonts w:ascii="Times New Roman" w:eastAsia="Times New Roman" w:hAnsi="Times New Roman" w:cs="Times New Roman"/>
          <w:i/>
        </w:rPr>
        <w:t>Lifetime Effects: The High/Scope Perry Preschool Study Through Age 40</w:t>
      </w:r>
      <w:r>
        <w:rPr>
          <w:rFonts w:ascii="Times New Roman" w:eastAsia="Times New Roman" w:hAnsi="Times New Roman" w:cs="Times New Roman"/>
        </w:rPr>
        <w:t xml:space="preserve">. Ypsilanti, </w:t>
      </w:r>
      <w:r>
        <w:rPr>
          <w:rFonts w:ascii="Times New Roman" w:eastAsia="Times New Roman" w:hAnsi="Times New Roman" w:cs="Times New Roman"/>
        </w:rPr>
        <w:t xml:space="preserve">Michigan: High/Scope Press. </w:t>
      </w:r>
    </w:p>
    <w:p w:rsidR="00BB343E" w:rsidRDefault="008A5EDE">
      <w:pPr>
        <w:spacing w:after="151" w:line="486" w:lineRule="auto"/>
        <w:ind w:left="-5"/>
      </w:pPr>
      <w:r>
        <w:rPr>
          <w:rFonts w:ascii="Times New Roman" w:eastAsia="Times New Roman" w:hAnsi="Times New Roman" w:cs="Times New Roman"/>
        </w:rPr>
        <w:t xml:space="preserve">Scott, S., Spender, Q., Doolan, M., Jacobs, B. and Aspland, H. 2001. </w:t>
      </w:r>
      <w:r>
        <w:rPr>
          <w:rFonts w:ascii="Times New Roman" w:eastAsia="Times New Roman" w:hAnsi="Times New Roman" w:cs="Times New Roman"/>
          <w:i/>
        </w:rPr>
        <w:t>Multicentre controlled trial of parenting groups for child antisocial behaviour in clinical practice</w:t>
      </w:r>
      <w:r>
        <w:rPr>
          <w:rFonts w:ascii="Times New Roman" w:eastAsia="Times New Roman" w:hAnsi="Times New Roman" w:cs="Times New Roman"/>
        </w:rPr>
        <w:t xml:space="preserve">. British Medical Journal, 323, 194-196. </w:t>
      </w:r>
    </w:p>
    <w:p w:rsidR="00BB343E" w:rsidRDefault="008A5EDE">
      <w:pPr>
        <w:spacing w:after="151" w:line="486" w:lineRule="auto"/>
        <w:ind w:left="-5"/>
      </w:pPr>
      <w:r>
        <w:rPr>
          <w:rFonts w:ascii="Times New Roman" w:eastAsia="Times New Roman" w:hAnsi="Times New Roman" w:cs="Times New Roman"/>
        </w:rPr>
        <w:t>Tilley, N., 1993</w:t>
      </w:r>
      <w:r>
        <w:rPr>
          <w:rFonts w:ascii="Times New Roman" w:eastAsia="Times New Roman" w:hAnsi="Times New Roman" w:cs="Times New Roman"/>
        </w:rPr>
        <w:t xml:space="preserve">. </w:t>
      </w:r>
      <w:r>
        <w:rPr>
          <w:rFonts w:ascii="Times New Roman" w:eastAsia="Times New Roman" w:hAnsi="Times New Roman" w:cs="Times New Roman"/>
          <w:i/>
        </w:rPr>
        <w:t>Understanding Car Parks, Crime and CCTV: Evaluation Lessons from Safer Cities</w:t>
      </w:r>
      <w:r>
        <w:rPr>
          <w:rFonts w:ascii="Times New Roman" w:eastAsia="Times New Roman" w:hAnsi="Times New Roman" w:cs="Times New Roman"/>
        </w:rPr>
        <w:t xml:space="preserve">. Crime Prevention Unit Series Paper, No. 42. London: Home Office. </w:t>
      </w:r>
    </w:p>
    <w:p w:rsidR="00BB343E" w:rsidRDefault="008A5EDE">
      <w:pPr>
        <w:spacing w:after="151" w:line="486" w:lineRule="auto"/>
        <w:ind w:left="-5"/>
      </w:pPr>
      <w:r>
        <w:rPr>
          <w:rFonts w:ascii="Times New Roman" w:eastAsia="Times New Roman" w:hAnsi="Times New Roman" w:cs="Times New Roman"/>
        </w:rPr>
        <w:t xml:space="preserve">United Nations Office of Drugs and Crime (UNODC). 2010. </w:t>
      </w:r>
      <w:r>
        <w:rPr>
          <w:rFonts w:ascii="Times New Roman" w:eastAsia="Times New Roman" w:hAnsi="Times New Roman" w:cs="Times New Roman"/>
          <w:i/>
        </w:rPr>
        <w:t xml:space="preserve">Handbook on the Crime Prevention Guidelines - Making </w:t>
      </w:r>
      <w:r>
        <w:rPr>
          <w:rFonts w:ascii="Times New Roman" w:eastAsia="Times New Roman" w:hAnsi="Times New Roman" w:cs="Times New Roman"/>
          <w:i/>
        </w:rPr>
        <w:t>them work</w:t>
      </w:r>
      <w:r>
        <w:rPr>
          <w:rFonts w:ascii="Times New Roman" w:eastAsia="Times New Roman" w:hAnsi="Times New Roman" w:cs="Times New Roman"/>
        </w:rPr>
        <w:t xml:space="preserve">. Vienna: UNODC. </w:t>
      </w:r>
    </w:p>
    <w:p w:rsidR="00BB343E" w:rsidRDefault="008A5EDE">
      <w:pPr>
        <w:spacing w:after="410" w:line="259" w:lineRule="auto"/>
        <w:ind w:left="0" w:firstLine="0"/>
      </w:pPr>
      <w:r>
        <w:rPr>
          <w:rFonts w:ascii="Times New Roman" w:eastAsia="Times New Roman" w:hAnsi="Times New Roman" w:cs="Times New Roman"/>
        </w:rPr>
        <w:t xml:space="preserve"> </w:t>
      </w:r>
    </w:p>
    <w:p w:rsidR="00BB343E" w:rsidRDefault="008A5EDE">
      <w:pPr>
        <w:spacing w:after="0" w:line="259" w:lineRule="auto"/>
        <w:ind w:left="0" w:firstLine="0"/>
      </w:pPr>
      <w:r>
        <w:t xml:space="preserve"> </w:t>
      </w:r>
    </w:p>
    <w:sectPr w:rsidR="00BB343E">
      <w:headerReference w:type="even" r:id="rId6"/>
      <w:headerReference w:type="default" r:id="rId7"/>
      <w:headerReference w:type="first" r:id="rId8"/>
      <w:pgSz w:w="11905" w:h="16840"/>
      <w:pgMar w:top="751" w:right="1441" w:bottom="1534" w:left="1441" w:header="75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EDE" w:rsidRDefault="008A5EDE">
      <w:pPr>
        <w:spacing w:after="0" w:line="240" w:lineRule="auto"/>
      </w:pPr>
      <w:r>
        <w:separator/>
      </w:r>
    </w:p>
  </w:endnote>
  <w:endnote w:type="continuationSeparator" w:id="0">
    <w:p w:rsidR="008A5EDE" w:rsidRDefault="008A5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EDE" w:rsidRDefault="008A5EDE">
      <w:pPr>
        <w:spacing w:after="0" w:line="240" w:lineRule="auto"/>
      </w:pPr>
      <w:r>
        <w:separator/>
      </w:r>
    </w:p>
  </w:footnote>
  <w:footnote w:type="continuationSeparator" w:id="0">
    <w:p w:rsidR="008A5EDE" w:rsidRDefault="008A5E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43E" w:rsidRDefault="008A5EDE">
    <w:pPr>
      <w:spacing w:after="0" w:line="259" w:lineRule="auto"/>
      <w:ind w:left="0" w:firstLine="0"/>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BB343E" w:rsidRDefault="008A5EDE">
    <w:pPr>
      <w:spacing w:after="0" w:line="259" w:lineRule="auto"/>
      <w:ind w:left="0" w:firstLine="0"/>
    </w:pPr>
    <w:r>
      <w:rPr>
        <w:rFonts w:ascii="Calibri" w:eastAsia="Calibri" w:hAnsi="Calibri" w:cs="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43E" w:rsidRDefault="008A5EDE">
    <w:pPr>
      <w:spacing w:after="0" w:line="259" w:lineRule="auto"/>
      <w:ind w:left="0" w:firstLine="0"/>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E863A7">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BB343E" w:rsidRDefault="008A5EDE">
    <w:pPr>
      <w:spacing w:after="0" w:line="259" w:lineRule="auto"/>
      <w:ind w:left="0" w:firstLine="0"/>
    </w:pPr>
    <w:r>
      <w:rPr>
        <w:rFonts w:ascii="Calibri" w:eastAsia="Calibri" w:hAnsi="Calibri" w:cs="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343E" w:rsidRDefault="008A5EDE">
    <w:pPr>
      <w:spacing w:after="0" w:line="259" w:lineRule="auto"/>
      <w:ind w:left="0" w:firstLine="0"/>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BB343E" w:rsidRDefault="008A5EDE">
    <w:pPr>
      <w:spacing w:after="0" w:line="259" w:lineRule="auto"/>
      <w:ind w:left="0" w:firstLine="0"/>
    </w:pPr>
    <w:r>
      <w:rPr>
        <w:rFonts w:ascii="Calibri" w:eastAsia="Calibri" w:hAnsi="Calibri" w:cs="Calibri"/>
        <w:sz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43E"/>
    <w:rsid w:val="008A5EDE"/>
    <w:rsid w:val="00BB343E"/>
    <w:rsid w:val="00E86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BE786C-05A6-48BC-A68B-85F91E11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480" w:lineRule="auto"/>
      <w:ind w:left="1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2648</Words>
  <Characters>15096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dc:creator>
  <cp:keywords/>
  <cp:lastModifiedBy>Portia Boateng</cp:lastModifiedBy>
  <cp:revision>2</cp:revision>
  <dcterms:created xsi:type="dcterms:W3CDTF">2022-07-22T09:37:00Z</dcterms:created>
  <dcterms:modified xsi:type="dcterms:W3CDTF">2022-07-22T09:37:00Z</dcterms:modified>
</cp:coreProperties>
</file>