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6" w:beforeLines="50" w:after="156" w:afterLines="50" w:line="360" w:lineRule="auto"/>
        <w:ind w:left="360" w:hanging="360"/>
        <w:jc w:val="both"/>
        <w:rPr>
          <w:rFonts w:ascii="Times New Roman" w:hAnsi="Times New Roman" w:cs="Times New Roman"/>
        </w:rPr>
      </w:pPr>
    </w:p>
    <w:p>
      <w:pPr>
        <w:spacing w:before="156" w:beforeLines="50" w:after="156" w:afterLines="50" w:line="360" w:lineRule="auto"/>
        <w:ind w:left="360" w:hanging="360"/>
        <w:jc w:val="both"/>
        <w:rPr>
          <w:rFonts w:ascii="Times New Roman" w:hAnsi="Times New Roman" w:cs="Times New Roman"/>
        </w:rPr>
      </w:pPr>
    </w:p>
    <w:p>
      <w:pPr>
        <w:spacing w:before="156" w:beforeLines="50" w:after="156" w:afterLines="50" w:line="360" w:lineRule="auto"/>
        <w:ind w:left="360" w:hanging="360"/>
        <w:jc w:val="both"/>
        <w:rPr>
          <w:rFonts w:ascii="Times New Roman" w:hAnsi="Times New Roman" w:cs="Times New Roman"/>
        </w:rPr>
      </w:pPr>
    </w:p>
    <w:p>
      <w:pPr>
        <w:spacing w:before="156" w:beforeLines="50" w:after="156" w:afterLines="50" w:line="360" w:lineRule="auto"/>
        <w:ind w:left="360" w:hanging="360"/>
        <w:jc w:val="both"/>
        <w:rPr>
          <w:rFonts w:ascii="Times New Roman" w:hAnsi="Times New Roman" w:cs="Times New Roman"/>
        </w:rPr>
      </w:pPr>
    </w:p>
    <w:p>
      <w:pPr>
        <w:spacing w:before="156" w:beforeLines="50" w:after="156" w:afterLines="50" w:line="360" w:lineRule="auto"/>
        <w:ind w:left="360" w:hanging="360"/>
        <w:jc w:val="center"/>
        <w:rPr>
          <w:rFonts w:ascii="Times New Roman" w:hAnsi="Times New Roman" w:cs="Times New Roman"/>
        </w:rPr>
      </w:pPr>
      <w:r>
        <w:rPr>
          <w:rFonts w:ascii="Times New Roman" w:hAnsi="Times New Roman" w:cs="Times New Roman"/>
        </w:rPr>
        <w:drawing>
          <wp:inline distT="0" distB="0" distL="0" distR="0">
            <wp:extent cx="4617085" cy="171005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625078" cy="1712992"/>
                    </a:xfrm>
                    <a:prstGeom prst="rect">
                      <a:avLst/>
                    </a:prstGeom>
                    <a:noFill/>
                  </pic:spPr>
                </pic:pic>
              </a:graphicData>
            </a:graphic>
          </wp:inline>
        </w:drawing>
      </w:r>
    </w:p>
    <w:p>
      <w:pPr>
        <w:pStyle w:val="19"/>
        <w:spacing w:before="156" w:beforeLines="50" w:after="156" w:afterLines="50" w:line="360" w:lineRule="auto"/>
        <w:jc w:val="center"/>
        <w:rPr>
          <w:rFonts w:hint="default" w:ascii="Arial" w:hAnsi="Arial" w:cs="Arial"/>
          <w:sz w:val="56"/>
          <w:szCs w:val="56"/>
        </w:rPr>
      </w:pPr>
      <w:r>
        <w:rPr>
          <w:rFonts w:hint="default" w:ascii="Arial" w:hAnsi="Arial" w:cs="Arial"/>
          <w:sz w:val="56"/>
          <w:szCs w:val="56"/>
        </w:rPr>
        <w:t>A strategic audit and marketing plan developed for Huazhu</w:t>
      </w:r>
    </w:p>
    <w:p>
      <w:pPr>
        <w:spacing w:before="156" w:beforeLines="50" w:after="156" w:afterLines="50" w:line="360" w:lineRule="auto"/>
        <w:jc w:val="both"/>
        <w:rPr>
          <w:rFonts w:ascii="Times New Roman" w:hAnsi="Times New Roman" w:cs="Times New Roman" w:eastAsiaTheme="majorEastAsia"/>
          <w:color w:val="262626" w:themeColor="text1" w:themeTint="D9"/>
          <w:spacing w:val="-15"/>
          <w:sz w:val="56"/>
          <w:szCs w:val="56"/>
          <w14:textFill>
            <w14:solidFill>
              <w14:schemeClr w14:val="tx1">
                <w14:lumMod w14:val="85000"/>
                <w14:lumOff w14:val="15000"/>
              </w14:schemeClr>
            </w14:solidFill>
          </w14:textFill>
        </w:rPr>
      </w:pPr>
      <w:r>
        <w:rPr>
          <w:rFonts w:ascii="Times New Roman" w:hAnsi="Times New Roman" w:cs="Times New Roman"/>
          <w:sz w:val="56"/>
          <w:szCs w:val="56"/>
        </w:rPr>
        <w:br w:type="page"/>
      </w:r>
    </w:p>
    <w:p>
      <w:pPr>
        <w:pStyle w:val="19"/>
        <w:spacing w:before="156" w:beforeLines="50" w:after="156" w:afterLines="50" w:line="360" w:lineRule="auto"/>
        <w:jc w:val="both"/>
        <w:rPr>
          <w:rFonts w:hint="default" w:ascii="Arial" w:hAnsi="Arial" w:cs="Arial"/>
          <w:sz w:val="56"/>
          <w:szCs w:val="56"/>
        </w:rPr>
      </w:pPr>
      <w:r>
        <w:rPr>
          <w:rFonts w:hint="default" w:ascii="Arial" w:hAnsi="Arial" w:cs="Arial"/>
          <w:sz w:val="56"/>
          <w:szCs w:val="56"/>
        </w:rPr>
        <w:t>Executive summary</w:t>
      </w:r>
    </w:p>
    <w:p>
      <w:pPr>
        <w:pStyle w:val="19"/>
        <w:spacing w:before="156" w:beforeLines="50" w:after="156" w:afterLines="50" w:line="360" w:lineRule="auto"/>
        <w:jc w:val="both"/>
        <w:rPr>
          <w:rFonts w:hint="default" w:ascii="Arial" w:hAnsi="Arial" w:cs="Arial" w:eastAsiaTheme="minorEastAsia"/>
          <w:color w:val="auto"/>
          <w:spacing w:val="0"/>
          <w:sz w:val="28"/>
          <w:szCs w:val="28"/>
        </w:rPr>
      </w:pPr>
      <w:bookmarkStart w:id="11" w:name="_GoBack"/>
      <w:r>
        <w:rPr>
          <w:rFonts w:hint="default" w:ascii="Arial" w:hAnsi="Arial" w:cs="Arial" w:eastAsiaTheme="minorEastAsia"/>
          <w:color w:val="auto"/>
          <w:spacing w:val="0"/>
          <w:sz w:val="28"/>
          <w:szCs w:val="28"/>
        </w:rPr>
        <w:t xml:space="preserve">The covid-19 has significantly disrupted the hotel sector as hotel establishments are places with intensive interactions between service providers and customers. With covid-19 continuing to shadow the industry, hotel incumbents need to change their passive responses to active transformation to uncover opportunities hidden in the covid-19 pandemic. </w:t>
      </w:r>
    </w:p>
    <w:p>
      <w:pPr>
        <w:spacing w:before="156" w:beforeLines="50" w:after="156" w:afterLines="50" w:line="360" w:lineRule="auto"/>
        <w:jc w:val="both"/>
        <w:rPr>
          <w:rFonts w:hint="default" w:ascii="Arial" w:hAnsi="Arial" w:cs="Arial"/>
          <w:sz w:val="24"/>
          <w:szCs w:val="24"/>
        </w:rPr>
      </w:pPr>
      <w:r>
        <w:rPr>
          <w:rFonts w:hint="default" w:ascii="Arial" w:hAnsi="Arial" w:cs="Arial"/>
          <w:sz w:val="28"/>
          <w:szCs w:val="28"/>
        </w:rPr>
        <w:t>The present report is a strategic marketing audit based on Huazhu, an international hotel chain based in China. A combination of complementary strategic marketing tools has been used to perform the audit at different levels from different aspects. The issues identified from the audit include over-reliance on the Chinese domestic market, the focus of digitalization in backstage operation, the eroded profitability, the fierce competition due to declined demands, ineffective communication across divisions, etc. Some recommendations are provided to Huazhu to actively seizes the opportunities and eliminate threats, such as the ingratiation of technologies to provide contact-less services, the effective communication of covid-19 codes of conduct across divisions and to customers, creative marketing through initiatives such as appealing offerings to boost domestic demands, etc.</w:t>
      </w:r>
      <w:bookmarkEnd w:id="11"/>
      <w:r>
        <w:rPr>
          <w:rFonts w:hint="default" w:ascii="Arial" w:hAnsi="Arial" w:cs="Arial"/>
          <w:sz w:val="24"/>
          <w:szCs w:val="24"/>
        </w:rPr>
        <w:t xml:space="preserve"> </w:t>
      </w:r>
    </w:p>
    <w:p>
      <w:pPr>
        <w:spacing w:before="156" w:beforeLines="50" w:after="156" w:afterLines="50" w:line="360" w:lineRule="auto"/>
        <w:jc w:val="both"/>
        <w:rPr>
          <w:rFonts w:hint="default" w:ascii="Arial" w:hAnsi="Arial" w:cs="Arial" w:eastAsiaTheme="majorEastAsia"/>
          <w:color w:val="262626" w:themeColor="text1" w:themeTint="D9"/>
          <w:spacing w:val="-15"/>
          <w:sz w:val="56"/>
          <w:szCs w:val="56"/>
          <w14:textFill>
            <w14:solidFill>
              <w14:schemeClr w14:val="tx1">
                <w14:lumMod w14:val="85000"/>
                <w14:lumOff w14:val="15000"/>
              </w14:schemeClr>
            </w14:solidFill>
          </w14:textFill>
        </w:rPr>
      </w:pPr>
      <w:r>
        <w:rPr>
          <w:rFonts w:hint="default" w:ascii="Arial" w:hAnsi="Arial" w:cs="Arial"/>
          <w:sz w:val="56"/>
          <w:szCs w:val="56"/>
        </w:rPr>
        <w:br w:type="page"/>
      </w:r>
    </w:p>
    <w:sdt>
      <w:sdtPr>
        <w:rPr>
          <w:rFonts w:hint="default" w:ascii="Arial" w:hAnsi="Arial" w:cs="Arial" w:eastAsiaTheme="minorEastAsia"/>
          <w:color w:val="auto"/>
          <w:sz w:val="21"/>
          <w:szCs w:val="21"/>
          <w:lang w:val="zh-CN"/>
        </w:rPr>
        <w:id w:val="-1276399906"/>
        <w:docPartObj>
          <w:docPartGallery w:val="Table of Contents"/>
          <w:docPartUnique/>
        </w:docPartObj>
      </w:sdtPr>
      <w:sdtEndPr>
        <w:rPr>
          <w:rFonts w:hint="default" w:ascii="Arial" w:hAnsi="Arial" w:cs="Arial" w:eastAsiaTheme="minorEastAsia"/>
          <w:b/>
          <w:bCs/>
          <w:color w:val="auto"/>
          <w:sz w:val="21"/>
          <w:szCs w:val="21"/>
          <w:lang w:val="zh-CN"/>
        </w:rPr>
      </w:sdtEndPr>
      <w:sdtContent>
        <w:p>
          <w:pPr>
            <w:pStyle w:val="48"/>
            <w:spacing w:before="156" w:beforeLines="50" w:after="156" w:afterLines="50" w:line="360" w:lineRule="auto"/>
            <w:jc w:val="both"/>
            <w:rPr>
              <w:rFonts w:hint="default" w:ascii="Arial" w:hAnsi="Arial" w:cs="Arial"/>
            </w:rPr>
          </w:pPr>
          <w:r>
            <w:rPr>
              <w:rFonts w:hint="default" w:ascii="Arial" w:hAnsi="Arial" w:cs="Arial"/>
            </w:rPr>
            <w:t>Table of contents</w:t>
          </w:r>
        </w:p>
        <w:p>
          <w:pPr>
            <w:pStyle w:val="15"/>
            <w:tabs>
              <w:tab w:val="left" w:pos="210"/>
              <w:tab w:val="right" w:leader="dot" w:pos="9736"/>
            </w:tabs>
            <w:spacing w:before="50" w:after="50" w:line="360" w:lineRule="auto"/>
            <w:rPr>
              <w:rFonts w:hint="default" w:ascii="Arial" w:hAnsi="Arial" w:cs="Arial"/>
              <w:kern w:val="2"/>
              <w:sz w:val="24"/>
              <w:szCs w:val="28"/>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rPr>
            <w:fldChar w:fldCharType="begin"/>
          </w:r>
          <w:r>
            <w:rPr>
              <w:rFonts w:hint="default" w:ascii="Arial" w:hAnsi="Arial" w:cs="Arial"/>
            </w:rPr>
            <w:instrText xml:space="preserve"> HYPERLINK \l "_Toc98489104" </w:instrText>
          </w:r>
          <w:r>
            <w:rPr>
              <w:rFonts w:hint="default" w:ascii="Arial" w:hAnsi="Arial" w:cs="Arial"/>
            </w:rPr>
            <w:fldChar w:fldCharType="separate"/>
          </w:r>
          <w:r>
            <w:rPr>
              <w:rStyle w:val="25"/>
              <w:rFonts w:hint="default" w:ascii="Arial" w:hAnsi="Arial" w:cs="Arial"/>
              <w:sz w:val="24"/>
              <w:szCs w:val="24"/>
            </w:rPr>
            <w:t>1.</w:t>
          </w:r>
          <w:r>
            <w:rPr>
              <w:rFonts w:hint="default" w:ascii="Arial" w:hAnsi="Arial" w:cs="Arial"/>
              <w:kern w:val="2"/>
              <w:sz w:val="24"/>
              <w:szCs w:val="28"/>
            </w:rPr>
            <w:tab/>
          </w:r>
          <w:r>
            <w:rPr>
              <w:rStyle w:val="25"/>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_Toc98489104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sz w:val="24"/>
              <w:szCs w:val="24"/>
            </w:rPr>
            <w:fldChar w:fldCharType="end"/>
          </w:r>
        </w:p>
        <w:p>
          <w:pPr>
            <w:pStyle w:val="15"/>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"_Toc98489105" </w:instrText>
          </w:r>
          <w:r>
            <w:rPr>
              <w:rFonts w:hint="default" w:ascii="Arial" w:hAnsi="Arial" w:cs="Arial"/>
            </w:rPr>
            <w:fldChar w:fldCharType="separate"/>
          </w:r>
          <w:r>
            <w:rPr>
              <w:rStyle w:val="25"/>
              <w:rFonts w:hint="default" w:ascii="Arial" w:hAnsi="Arial" w:cs="Arial"/>
              <w:sz w:val="24"/>
              <w:szCs w:val="24"/>
            </w:rPr>
            <w:t>2. Main body: strategic audit of Huazhu</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pPr>
            <w:pStyle w:val="18"/>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"_Toc98489106" </w:instrText>
          </w:r>
          <w:r>
            <w:rPr>
              <w:rFonts w:hint="default" w:ascii="Arial" w:hAnsi="Arial" w:cs="Arial"/>
            </w:rPr>
            <w:fldChar w:fldCharType="separate"/>
          </w:r>
          <w:r>
            <w:rPr>
              <w:rStyle w:val="25"/>
              <w:rFonts w:hint="default" w:ascii="Arial" w:hAnsi="Arial" w:cs="Arial"/>
              <w:sz w:val="24"/>
              <w:szCs w:val="24"/>
            </w:rPr>
            <w:t>2.1 Macro audit: PESTEL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pPr>
            <w:pStyle w:val="18"/>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"_Toc98489107" </w:instrText>
          </w:r>
          <w:r>
            <w:rPr>
              <w:rFonts w:hint="default" w:ascii="Arial" w:hAnsi="Arial" w:cs="Arial"/>
            </w:rPr>
            <w:fldChar w:fldCharType="separate"/>
          </w:r>
          <w:r>
            <w:rPr>
              <w:rStyle w:val="25"/>
              <w:rFonts w:hint="default" w:ascii="Arial" w:hAnsi="Arial" w:cs="Arial"/>
              <w:sz w:val="24"/>
              <w:szCs w:val="24"/>
            </w:rPr>
            <w:t>2.2 Micro audit: Porter’s five forces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_Toc98489107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18"/>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"_Toc98489108" </w:instrText>
          </w:r>
          <w:r>
            <w:rPr>
              <w:rFonts w:hint="default" w:ascii="Arial" w:hAnsi="Arial" w:cs="Arial"/>
            </w:rPr>
            <w:fldChar w:fldCharType="separate"/>
          </w:r>
          <w:r>
            <w:rPr>
              <w:rStyle w:val="25"/>
              <w:rFonts w:hint="default" w:ascii="Arial" w:hAnsi="Arial" w:cs="Arial"/>
              <w:sz w:val="24"/>
              <w:szCs w:val="24"/>
            </w:rPr>
            <w:t>2.3 Internal audit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12"/>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"_Toc98489109" </w:instrText>
          </w:r>
          <w:r>
            <w:rPr>
              <w:rFonts w:hint="default" w:ascii="Arial" w:hAnsi="Arial" w:cs="Arial"/>
            </w:rPr>
            <w:fldChar w:fldCharType="separate"/>
          </w:r>
          <w:r>
            <w:rPr>
              <w:rStyle w:val="25"/>
              <w:rFonts w:hint="default" w:ascii="Arial" w:hAnsi="Arial" w:cs="Arial"/>
              <w:sz w:val="24"/>
              <w:szCs w:val="24"/>
            </w:rPr>
            <w:t>2.3.1 McKinsey 7S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_Toc98489109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12"/>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"_Toc98489110" </w:instrText>
          </w:r>
          <w:r>
            <w:rPr>
              <w:rFonts w:hint="default" w:ascii="Arial" w:hAnsi="Arial" w:cs="Arial"/>
            </w:rPr>
            <w:fldChar w:fldCharType="separate"/>
          </w:r>
          <w:r>
            <w:rPr>
              <w:rStyle w:val="25"/>
              <w:rFonts w:hint="default" w:ascii="Arial" w:hAnsi="Arial" w:cs="Arial"/>
              <w:sz w:val="24"/>
              <w:szCs w:val="24"/>
            </w:rPr>
            <w:t>2.3.2 VRIO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_Toc98489110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12"/>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"_Toc98489111" </w:instrText>
          </w:r>
          <w:r>
            <w:rPr>
              <w:rFonts w:hint="default" w:ascii="Arial" w:hAnsi="Arial" w:cs="Arial"/>
            </w:rPr>
            <w:fldChar w:fldCharType="separate"/>
          </w:r>
          <w:r>
            <w:rPr>
              <w:rStyle w:val="25"/>
              <w:rFonts w:hint="default" w:ascii="Arial" w:hAnsi="Arial" w:cs="Arial"/>
              <w:sz w:val="24"/>
              <w:szCs w:val="24"/>
            </w:rPr>
            <w:t>2.3.3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_Toc98489111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18"/>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"_Toc98489112" </w:instrText>
          </w:r>
          <w:r>
            <w:rPr>
              <w:rFonts w:hint="default" w:ascii="Arial" w:hAnsi="Arial" w:cs="Arial"/>
            </w:rPr>
            <w:fldChar w:fldCharType="separate"/>
          </w:r>
          <w:r>
            <w:rPr>
              <w:rStyle w:val="25"/>
              <w:rFonts w:hint="default" w:ascii="Arial" w:hAnsi="Arial" w:cs="Arial"/>
              <w:sz w:val="24"/>
              <w:szCs w:val="24"/>
            </w:rPr>
            <w:t>2. 4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_Toc98489112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5"/>
            <w:tabs>
              <w:tab w:val="left" w:pos="420"/>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"_Toc98489113" </w:instrText>
          </w:r>
          <w:r>
            <w:rPr>
              <w:rFonts w:hint="default" w:ascii="Arial" w:hAnsi="Arial" w:cs="Arial"/>
            </w:rPr>
            <w:fldChar w:fldCharType="separate"/>
          </w:r>
          <w:r>
            <w:rPr>
              <w:rStyle w:val="25"/>
              <w:rFonts w:hint="default" w:ascii="Arial" w:hAnsi="Arial" w:cs="Arial"/>
              <w:sz w:val="24"/>
              <w:szCs w:val="24"/>
            </w:rPr>
            <w:t>3.</w:t>
          </w:r>
          <w:r>
            <w:rPr>
              <w:rFonts w:hint="default" w:ascii="Arial" w:hAnsi="Arial" w:cs="Arial"/>
              <w:kern w:val="2"/>
              <w:sz w:val="24"/>
              <w:szCs w:val="28"/>
            </w:rPr>
            <w:tab/>
          </w:r>
          <w:r>
            <w:rPr>
              <w:rStyle w:val="25"/>
              <w:rFonts w:hint="default" w:ascii="Arial" w:hAnsi="Arial" w:cs="Arial"/>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_Toc98489113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5"/>
            <w:tabs>
              <w:tab w:val="right" w:leader="dot" w:pos="9736"/>
            </w:tabs>
            <w:spacing w:before="50" w:after="50" w:line="360" w:lineRule="auto"/>
            <w:rPr>
              <w:rFonts w:hint="default" w:ascii="Arial" w:hAnsi="Arial" w:cs="Arial"/>
              <w:kern w:val="2"/>
              <w:sz w:val="24"/>
              <w:szCs w:val="28"/>
            </w:rPr>
          </w:pPr>
          <w:r>
            <w:rPr>
              <w:rFonts w:hint="default" w:ascii="Arial" w:hAnsi="Arial" w:cs="Arial"/>
            </w:rPr>
            <w:fldChar w:fldCharType="begin"/>
          </w:r>
          <w:r>
            <w:rPr>
              <w:rFonts w:hint="default" w:ascii="Arial" w:hAnsi="Arial" w:cs="Arial"/>
            </w:rPr>
            <w:instrText xml:space="preserve"> HYPERLINK \l "_Toc98489114" </w:instrText>
          </w:r>
          <w:r>
            <w:rPr>
              <w:rFonts w:hint="default" w:ascii="Arial" w:hAnsi="Arial" w:cs="Arial"/>
            </w:rPr>
            <w:fldChar w:fldCharType="separate"/>
          </w:r>
          <w:r>
            <w:rPr>
              <w:rStyle w:val="25"/>
              <w:rFonts w:hint="default" w:ascii="Arial" w:hAnsi="Arial" w:cs="Arial"/>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_Toc98489114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spacing w:before="156" w:beforeLines="50" w:after="156" w:afterLines="50" w:line="360" w:lineRule="auto"/>
            <w:jc w:val="both"/>
            <w:rPr>
              <w:rFonts w:hint="default" w:ascii="Arial" w:hAnsi="Arial" w:cs="Arial"/>
            </w:rPr>
          </w:pPr>
          <w:r>
            <w:rPr>
              <w:rFonts w:hint="default" w:ascii="Arial" w:hAnsi="Arial" w:cs="Arial"/>
              <w:b/>
              <w:bCs/>
              <w:sz w:val="24"/>
              <w:szCs w:val="24"/>
              <w:lang w:val="zh-CN"/>
            </w:rPr>
            <w:fldChar w:fldCharType="end"/>
          </w:r>
        </w:p>
      </w:sdtContent>
    </w:sdt>
    <w:p>
      <w:pPr>
        <w:spacing w:before="156" w:beforeLines="50" w:after="156" w:afterLines="50" w:line="360" w:lineRule="auto"/>
        <w:jc w:val="both"/>
        <w:rPr>
          <w:rFonts w:hint="default" w:ascii="Arial" w:hAnsi="Arial" w:cs="Arial" w:eastAsiaTheme="majorEastAsia"/>
          <w:color w:val="262626" w:themeColor="text1" w:themeTint="D9"/>
          <w:spacing w:val="-15"/>
          <w:sz w:val="56"/>
          <w:szCs w:val="56"/>
          <w14:textFill>
            <w14:solidFill>
              <w14:schemeClr w14:val="tx1">
                <w14:lumMod w14:val="85000"/>
                <w14:lumOff w14:val="15000"/>
              </w14:schemeClr>
            </w14:solidFill>
          </w14:textFill>
        </w:rPr>
      </w:pPr>
      <w:r>
        <w:rPr>
          <w:rFonts w:hint="default" w:ascii="Arial" w:hAnsi="Arial" w:cs="Arial"/>
          <w:sz w:val="56"/>
          <w:szCs w:val="56"/>
        </w:rPr>
        <w:br w:type="page"/>
      </w:r>
    </w:p>
    <w:p>
      <w:pPr>
        <w:pStyle w:val="2"/>
        <w:numPr>
          <w:ilvl w:val="0"/>
          <w:numId w:val="1"/>
        </w:numPr>
        <w:spacing w:before="156" w:beforeLines="50" w:after="156" w:afterLines="50" w:line="360" w:lineRule="auto"/>
        <w:jc w:val="both"/>
        <w:rPr>
          <w:rFonts w:hint="default" w:ascii="Arial" w:hAnsi="Arial" w:cs="Arial"/>
        </w:rPr>
        <w:sectPr>
          <w:footerReference r:id="rId5" w:type="default"/>
          <w:pgSz w:w="11906" w:h="16838"/>
          <w:pgMar w:top="1440" w:right="1080" w:bottom="1440" w:left="1080" w:header="851" w:footer="992" w:gutter="0"/>
          <w:cols w:space="425" w:num="1"/>
          <w:docGrid w:type="lines" w:linePitch="312" w:charSpace="0"/>
        </w:sectPr>
      </w:pPr>
    </w:p>
    <w:p>
      <w:pPr>
        <w:pStyle w:val="2"/>
        <w:numPr>
          <w:ilvl w:val="0"/>
          <w:numId w:val="1"/>
        </w:numPr>
        <w:spacing w:before="156" w:beforeLines="50" w:after="156" w:afterLines="50" w:line="360" w:lineRule="auto"/>
        <w:jc w:val="both"/>
        <w:rPr>
          <w:rFonts w:hint="default" w:ascii="Arial" w:hAnsi="Arial" w:cs="Arial"/>
        </w:rPr>
      </w:pPr>
      <w:bookmarkStart w:id="0" w:name="_Toc98489104"/>
      <w:r>
        <w:rPr>
          <w:rFonts w:hint="default" w:ascii="Arial" w:hAnsi="Arial" w:cs="Arial"/>
        </w:rPr>
        <w:t>Introduction</w:t>
      </w:r>
      <w:bookmarkEnd w:id="0"/>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After more than three decades of growth, the global tourism industry has come to a standstill due to the covid-19 epidemic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{"citationItems":[{"id":"ITEM-1","itemData":{"DOI":"10.1108/IJCHM-03-2020-0237","ISSN":"09596119","abstract":"Purpose: This paper aims to discuss the effects of COVID-19 on hotel marketing and management practices and outlines a three-pronged research agenda to stimulate knowledge development in the hotel sector. Design/methodology/approach: This paper is based on an overview of the relevant literature on hotel marketing and management and the hotel guest behavior. The authors also investigated hospitality service trends to propose a research agenda. Findings: This paper presents a research agenda from three dimensions – artificial intelligence (AI) and robotics, hygiene and cleanliness and health and health care. First, different types of AI (mechanical, thinking and feeling) might open up distinct research streams at the intersection of health crises and hotel management, in light of the COVID-19 pandemic. Additionally, this paper recommends that researchers move beyond typical perspectives on the antecedents and outcomes of hotel hygiene and cleanliness to delve into guests’ perceptions of the cleanliness of specific hotel surfaces. Furthermore, a more in-depth analysis is warranted about the evolving relationship between hotels and the health-care sector. Practical implications: The recommended research areas are intended to advance the knowledge base to help hotels recover from the COVID-19 pandemic. The suggested research streams are expected to provide actionable insights to promote the development and sustainability of the hotel sector. Originality/value: This paper appears to be a frontier study, critically examining possible effects of the COVID-19 pandemic on hotel marketing and management practices and how hoteliers may respond to such challenges to recover after this pandemic.","author":[{"dropping-particle":"","family":"Jiang","given":"Yangyang","non-dropping-particle":"","parse-names":false,"suffix":""},{"dropping-particle":"","family":"Wen","given":"Jun","non-dropping-particle":"","parse-names":false,"suffix":""}],"container-title":"International Journal of Contemporary Hospitality Management","id":"ITEM-1","issue":"8","issued":{"date-parts":[["2020","8","4"]]},"page":"2563-2573","publisher":"Emerald Group Holdings Ltd.","title":"Effects of COVID-19 on hotel marketing and management: a perspective article","type":"article-journal","volume":"32"},"uris":["http://www.mendeley.com/documents/?uuid=152c47d3-57b1-3f43-9f7b-fc47654c7b1f"]}],"mendeley":{"formattedCitation":"(Jiang and Wen, 2020)","plainTextFormattedCitation":"(Jiang and Wen, 2020)","previouslyFormattedCitation":"(Jiang and Wen, 2020)"},"properties":{"noteIndex":0},"schema":"https://github.com/citation-style-language/schema/raw/master/csl-citation.json"}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(Jiang and Wen, 2020)</w:t>
      </w:r>
      <w:r>
        <w:rPr>
          <w:rFonts w:hint="default" w:ascii="Arial" w:hAnsi="Arial" w:cs="Arial"/>
          <w:sz w:val="24"/>
          <w:szCs w:val="24"/>
        </w:rPr>
        <w:fldChar w:fldCharType="end"/>
      </w:r>
      <w:r>
        <w:rPr>
          <w:rFonts w:hint="default" w:ascii="Arial" w:hAnsi="Arial" w:cs="Arial"/>
          <w:sz w:val="24"/>
          <w:szCs w:val="24"/>
        </w:rPr>
        <w:t xml:space="preserve">. However, because the tourism ecosystem is so broad in scope, it is not only limited to the tourism industry but many other industries and sectors that depend on tourism for their growth have also suffered a fatal blow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{"citationItems":[{"id":"ITEM-1","itemData":{"DOI":"10.1108/IJCHM-06-2020-0623","ISSN":"09596119","abstract":"Purpose: The revenue management (RM) discipline is built on the principle of demand-based pricing. This study aims to examine how and to what extent RM can be implemented in the hotel industry during low-demand periods, particularly during the coronavirus disease 2019 (COVID-19) crisis. Design/methodology/approach: This paper used semi-structured interviews to gather information from hotel RM executives, RM consultants and RM system providers. Participants were asked to think about the impact of COVID-19 on their RM practices. This paper interviewed 26 revenue executives between January and March 2020. Findings: Core RM processes are still relevant during the COVID-19 crisis; however, not all components are equally important. Business analysis, pricing strategy and demand modeling and forecasting are the most critical RM processes. Inventory and price optimization and setting booking controls are not as important at this time; along with distribution channel management, these processes will become more relevant as demand picks up. Research limitations/implications: Future research in this area should focus on each core RM process separately and in-depth to understand how implementation changes during the crisis and recovery periods. Future studies should also investigate how these processes operate during the recovery period. The full breadth of consequences of the COVID-19 crisis in hotel RM will likely manifest gradually. Therefore, the core RM processes should also be examined when the crisis is over. Originality/value: Apart from a few studies that touched on RM-related strategies during economic downturns, to the knowledge, this is the first study to systematically examine the extent to which RM can be implemented during a crisis.","author":[{"dropping-particle":"","family":"Denizci Guillet","given":"Basak","non-dropping-particle":"","parse-names":false,"suffix":""},{"dropping-particle":"","family":"Chu","given":"Angela Mai Chi","non-dropping-particle":"","parse-names":false,"suffix":""}],"container-title":"International Journal of Contemporary Hospitality Management","id":"ITEM-1","issue":"2","issued":{"date-parts":[["2021","3","15"]]},"page":"604-627","publisher":"Emerald Group Holdings Ltd.","title":"Managing hotel revenue amid the COVID-19 crisis","type":"article-journal","volume":"33"},"uris":["http://www.mendeley.com/documents/?uuid=9e514c35-239c-3bde-927f-4e95dd2f7135"]}],"mendeley":{"formattedCitation":"(Denizci Guillet and Chu, 2021)","plainTextFormattedCitation":"(Denizci Guillet and Chu, 2021)","previouslyFormattedCitation":"(Denizci Guillet and Chu,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(Denizci Guillet and Chu, 2021)</w:t>
      </w:r>
      <w:r>
        <w:rPr>
          <w:rFonts w:hint="default" w:ascii="Arial" w:hAnsi="Arial" w:cs="Arial"/>
          <w:sz w:val="24"/>
          <w:szCs w:val="24"/>
        </w:rPr>
        <w:fldChar w:fldCharType="end"/>
      </w:r>
      <w:r>
        <w:rPr>
          <w:rFonts w:hint="default" w:ascii="Arial" w:hAnsi="Arial" w:cs="Arial"/>
          <w:sz w:val="24"/>
          <w:szCs w:val="24"/>
        </w:rPr>
        <w:t xml:space="preserve">. Specifically, from the demand side, under covid-19, all non-essential travels have been discouraged by the government, and travel restrictions resulted in the cancels of the majority of flights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{"citationItems":[{"id":"ITEM-1","itemData":{"DOI":"10.1016/j.ijhm.2020.102659","ISSN":"02784319","abstract":"The COVID-19 pandemic will reduce the attractiveness of hospitality occupations. This particularly concerns senior management positions whose holders may substitute hospitality jobs with more secure and rewarding employment in other economic sectors. Organisational resilience of hospitality businesses, including their response to COVID-19, and corporate social responsibility (CSR) practices may, however, affect perceived job security of senior managers and, thus, influence their commitment to remain in their host organisations. This paper quantitatively tests the inter-linkages between the above variables on a sample of senior managers in hotels in Spain. It finds that the levels of organisational resilience and the extent of CSR practices reinforce perceived job security of managers which, in turn, determines their organisational commitment. Organisational response to COVID-19 affects perceived job security and enhances managers’ organisational commitment. To retain senior management teams in light of future disastrous events, hotels should, therefore, strengthen their organisational resilience and invest in CSR.","author":[{"dropping-particle":"","family":"Filimonau","given":"Viachaslau","non-dropping-particle":"","parse-names":false,"suffix":""},{"dropping-particle":"","family":"Derqui","given":"Belen","non-dropping-particle":"","parse-names":false,"suffix":""},{"dropping-particle":"","family":"Matute","given":"Jorge","non-dropping-particle":"","parse-names":false,"suffix":""}],"container-title":"International Journal of Hospitality Management","id":"ITEM-1","issued":{"date-parts":[["2020"]]},"title":"The COVID-19 pandemic and organisational commitment of senior hotel managers","type":"article-journal","volume":"91"},"uris":["http://www.mendeley.com/documents/?uuid=8f0fb882-530b-3241-9e52-7d348d98e4fe"]}],"mendeley":{"formattedCitation":"(Filimonau, Derqui and Matute, 2020)","plainTextFormattedCitation":"(Filimonau, Derqui and Matute, 2020)","previouslyFormattedCitation":"(Filimonau, Derqui and Matute, 2020)"},"properties":{"noteIndex":0},"schema":"https://github.com/citation-style-language/schema/raw/master/csl-citation.json"}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(Filimonau, Derqui and Matute, 2020)</w:t>
      </w:r>
      <w:r>
        <w:rPr>
          <w:rFonts w:hint="default" w:ascii="Arial" w:hAnsi="Arial" w:cs="Arial"/>
          <w:sz w:val="24"/>
          <w:szCs w:val="24"/>
        </w:rPr>
        <w:fldChar w:fldCharType="end"/>
      </w:r>
      <w:r>
        <w:rPr>
          <w:rFonts w:hint="default" w:ascii="Arial" w:hAnsi="Arial" w:cs="Arial"/>
          <w:sz w:val="24"/>
          <w:szCs w:val="24"/>
        </w:rPr>
        <w:t xml:space="preserve">. Even upon arrival, additional mandatory quarantine, negative covid-19 are required by the local authorities to prevent infections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{"citationItems":[{"id":"ITEM-1","itemData":{"DOI":"10.1108/IJCHM-03-2021-0289","ISSN":"09596119","abstract":"Purpose: This study aims to adopt Carroll’s corporate social responsibility (CSR) pyramid framework as a theoretical lens for examining employee perspectives on South Korean hotels operating as quarantine facilities during the COVID-19 pandemic. Design/methodology/approach: The study adopted a qualitative approach consisting of the following components: in-depth interviews with employees and stakeholders of quarantine hotels, including frontline staff, government officials and medical staff, field observations and data from one researcher’s direct experience in a quarantined hotel. Findings: Six themes regarding the experience of operating quarantine hotels emerged from the in-depth interviews and field observations. The findings also showed an interplay between the hotel employees’ perspectives, the four components of the CSR pyramid and the benefits and costs to hotels operating as quarantine facilities. Research limitations/implications: This study focusses on the particular case of quarantine hotels in South Korea, and therefore caution is required in generalising the findings. Practical implications: The findings suggest that strategic partnerships can help to protect local communities whilst alleviating the hotel industry’s financial difficulties. They also explore an opportunity for business revitalisation in the midst of a global pandemic. Originality/value: This study finds that the voluntary decision of hotels to operate as coronavirus quarantine facilities is aligned with CSR because its ultimate aim is to protect the community from the risk of coronavirus from overseas arrivals. This study broadens the CSR literature in the fields of COVID-19 and hospitality.","author":[{"dropping-particle":"","family":"Choi","given":"Miju","non-dropping-particle":"","parse-names":false,"suffix":""},{"dropping-particle":"","family":"Choi","given":"Youngjoon","non-dropping-particle":"","parse-names":false,"suffix":""}],"container-title":"International Journal of Contemporary Hospitality Management","id":"ITEM-1","issue":"10","issued":{"date-parts":[["2021","10","20"]]},"page":"3355-3378","publisher":"Emerald Group Holdings Ltd.","title":"Employee perceptions of hotel CSR activities during the COVID-19 pandemic","type":"article-journal","volume":"33"},"uris":["http://www.mendeley.com/documents/?uuid=9c706ca7-13b3-3b62-8f69-b73d91661555"]}],"mendeley":{"formattedCitation":"(Choi and Choi, 2021)","plainTextFormattedCitation":"(Choi and Choi, 2021)","previouslyFormattedCitation":"(Choi and Choi,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(Choi and Choi, 2021)</w:t>
      </w:r>
      <w:r>
        <w:rPr>
          <w:rFonts w:hint="default" w:ascii="Arial" w:hAnsi="Arial" w:cs="Arial"/>
          <w:sz w:val="24"/>
          <w:szCs w:val="24"/>
        </w:rPr>
        <w:fldChar w:fldCharType="end"/>
      </w:r>
      <w:r>
        <w:rPr>
          <w:rFonts w:hint="default" w:ascii="Arial" w:hAnsi="Arial" w:cs="Arial"/>
          <w:sz w:val="24"/>
          <w:szCs w:val="24"/>
        </w:rPr>
        <w:t xml:space="preserve">. Thereby, the time and money costs for traveling have been unprecedented high than ever, resulting in record-low demands in hotels. From the supply side, the hotels are temporarily closed or are required to take additional measures, most out of compliances of local regulations to address safety concerns, resulting in higher operational and maintaining costs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DOI":"10.1080/13032917.2020.1851553","ISSN":"21566909","author":[{"dropping-particle":"","family":"Hameed","given":"Nabila","non-dropping-particle":"","parse-names":false,"suffix":""},{"dropping-particle":"","family":"Mahomed","given":"Ridwan","non-dropping-particle":"","parse-names":false,"suffix":""},{"dropping-particle":"","family":"Carvalho","given":"Inês","non-dropping-particle":"","parse-names":false,"suffix":""}],"container-title":"Anatolia","id":"ITEM-1","issue":"1","issued":{"date-parts":[["2021"]]},"page":"172-175","publisher":"Routledge","title":"Measures to be implemented in the hotel buffets during the COVID-19 pandemic","type":"article-journal","volume":"32"},"uris":["http://www.mendeley.com/documents/?uuid=08355eaf-4c12-3698-8ba5-a59a60549336"]}],"mendeley":{"formattedCitation":"(Hameed, Mahomed and Carvalho, 2021)","plainTextFormattedCitation":"(Hameed, Mahomed and Carvalho, 2021)","previouslyFormattedCitation":"(Hameed, Mahomed and Carvalho,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(Hameed, Mahomed and Carvalho, 2021)</w:t>
      </w:r>
      <w:r>
        <w:rPr>
          <w:rFonts w:hint="default" w:ascii="Arial" w:hAnsi="Arial" w:cs="Arial"/>
          <w:sz w:val="24"/>
          <w:szCs w:val="24"/>
        </w:rPr>
        <w:fldChar w:fldCharType="end"/>
      </w:r>
      <w:r>
        <w:rPr>
          <w:rFonts w:hint="default" w:ascii="Arial" w:hAnsi="Arial" w:cs="Arial"/>
          <w:sz w:val="24"/>
          <w:szCs w:val="24"/>
        </w:rPr>
        <w:t xml:space="preserve">. The current reality in the hotel industry will have a lasting impact in the future since covid-19 is still threatening public health.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Huazhu is a leading mul0brand hotel group headquartered in China but with an international presence. The brands managed by Huazhu are presented in Figure 1. As of the fiscal year of 2020, Huazhu has above 6000 hotels in operation with 153 million loyal customers managed but its H Club membership program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{"citationItems":[{"id":"ITEM-1","itemData":{"author":[{"dropping-particle":"","family":"Huazhu","given":"","non-dropping-particle":"","parse-names":false,"suffix":""}],"id":"ITEM-1","issued":{"date-parts":[["2021"]]},"title":"Huazhu annual report 2020","type":"report"},"uris":["http://www.mendeley.com/documents/?uuid=dbe2beda-b6b8-4a62-a9c9-ac20c9e9fa4b"]}],"mendeley":{"formattedCitation":"(Huazhu, 2021)","plainTextFormattedCitation":"(Huazhu, 2021)","previouslyFormattedCitation":"(Huazhu,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(Huazhu, 2021)</w:t>
      </w:r>
      <w:r>
        <w:rPr>
          <w:rFonts w:hint="default" w:ascii="Arial" w:hAnsi="Arial" w:cs="Arial"/>
          <w:sz w:val="24"/>
          <w:szCs w:val="24"/>
        </w:rPr>
        <w:fldChar w:fldCharType="end"/>
      </w:r>
      <w:r>
        <w:rPr>
          <w:rFonts w:hint="default" w:ascii="Arial" w:hAnsi="Arial" w:cs="Arial"/>
          <w:sz w:val="24"/>
          <w:szCs w:val="24"/>
        </w:rPr>
        <w:t xml:space="preserve">. The present report provides a strategic audit for Huazhu in the context of covid-19. Based on the audit, some actionable recommendations are provided at the end of the report to help Huazhu actively navigate the pandemic. </w:t>
      </w:r>
    </w:p>
    <w:p>
      <w:pPr>
        <w:spacing w:before="156" w:beforeLines="50" w:after="156" w:afterLines="50" w:line="360" w:lineRule="auto"/>
        <w:jc w:val="both"/>
        <w:rPr>
          <w:rFonts w:hint="default" w:ascii="Arial" w:hAnsi="Arial" w:cs="Arial"/>
        </w:rPr>
      </w:pPr>
      <w:r>
        <w:rPr>
          <w:rFonts w:hint="default" w:ascii="Arial" w:hAnsi="Arial" w:cs="Arial"/>
        </w:rPr>
        <w:drawing>
          <wp:inline distT="0" distB="0" distL="0" distR="0">
            <wp:extent cx="3378200" cy="364744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381778" cy="3651780"/>
                    </a:xfrm>
                    <a:prstGeom prst="rect">
                      <a:avLst/>
                    </a:prstGeom>
                  </pic:spPr>
                </pic:pic>
              </a:graphicData>
            </a:graphic>
          </wp:inline>
        </w:drawing>
      </w:r>
    </w:p>
    <w:p>
      <w:pPr>
        <w:spacing w:before="156" w:beforeLines="50" w:after="156" w:afterLines="50" w:line="360" w:lineRule="auto"/>
        <w:jc w:val="both"/>
        <w:rPr>
          <w:rFonts w:hint="default" w:ascii="Arial" w:hAnsi="Arial" w:cs="Arial"/>
        </w:rPr>
      </w:pPr>
      <w:r>
        <w:rPr>
          <w:rFonts w:hint="default" w:ascii="Arial" w:hAnsi="Arial" w:cs="Arial"/>
        </w:rPr>
        <w:t xml:space="preserve">Figure 1. Major brands of Huazhu , by category as of the date of the annual report </w:t>
      </w:r>
      <w:r>
        <w:rPr>
          <w:rStyle w:val="26"/>
          <w:rFonts w:hint="default" w:ascii="Arial" w:hAnsi="Arial" w:cs="Arial"/>
        </w:rPr>
        <w:fldChar w:fldCharType="begin" w:fldLock="1"/>
      </w:r>
      <w:r>
        <w:rPr>
          <w:rFonts w:hint="default" w:ascii="Arial" w:hAnsi="Arial" w:cs="Arial"/>
        </w:rPr>
        <w:instrText xml:space="preserve">ADDIN CSL_CITATION {"citationItems":[{"id":"ITEM-1","itemData":{"author":[{"dropping-particle":"","family":"Huazhu","given":"","non-dropping-particle":"","parse-names":false,"suffix":""}],"id":"ITEM-1","issued":{"date-parts":[["2021"]]},"title":"Huazhu annual report 2020","type":"report"},"uris":["http://www.mendeley.com/documents/?uuid=dbe2beda-b6b8-4a62-a9c9-ac20c9e9fa4b"]}],"mendeley":{"formattedCitation":"(Huazhu, 2021)","plainTextFormattedCitation":"(Huazhu, 2021)","previouslyFormattedCitation":"(Huazhu, 2021)"},"properties":{"noteIndex":0},"schema":"https://github.com/citation-style-language/schema/raw/master/csl-citation.json"}</w:instrText>
      </w:r>
      <w:r>
        <w:rPr>
          <w:rStyle w:val="26"/>
          <w:rFonts w:hint="default" w:ascii="Arial" w:hAnsi="Arial" w:cs="Arial"/>
        </w:rPr>
        <w:fldChar w:fldCharType="separate"/>
      </w:r>
      <w:r>
        <w:rPr>
          <w:rFonts w:hint="default" w:ascii="Arial" w:hAnsi="Arial" w:cs="Arial"/>
        </w:rPr>
        <w:t>(Huazhu, 2021)</w:t>
      </w:r>
      <w:r>
        <w:rPr>
          <w:rStyle w:val="26"/>
          <w:rFonts w:hint="default" w:ascii="Arial" w:hAnsi="Arial" w:cs="Arial"/>
        </w:rPr>
        <w:fldChar w:fldCharType="end"/>
      </w:r>
    </w:p>
    <w:p>
      <w:pPr>
        <w:spacing w:before="50" w:after="50" w:line="360" w:lineRule="auto"/>
        <w:rPr>
          <w:rFonts w:hint="default" w:ascii="Arial" w:hAnsi="Arial" w:cs="Arial"/>
        </w:rPr>
      </w:pPr>
      <w:r>
        <w:rPr>
          <w:rFonts w:hint="default" w:ascii="Arial" w:hAnsi="Arial" w:cs="Arial"/>
        </w:rPr>
        <w:br w:type="page"/>
      </w:r>
    </w:p>
    <w:p>
      <w:pPr>
        <w:pStyle w:val="2"/>
        <w:spacing w:before="156" w:beforeLines="50" w:after="156" w:afterLines="50" w:line="360" w:lineRule="auto"/>
        <w:jc w:val="both"/>
        <w:rPr>
          <w:rFonts w:hint="default" w:ascii="Arial" w:hAnsi="Arial" w:cs="Arial"/>
        </w:rPr>
      </w:pPr>
      <w:bookmarkStart w:id="1" w:name="_Toc98489105"/>
      <w:r>
        <w:rPr>
          <w:rFonts w:hint="default" w:ascii="Arial" w:hAnsi="Arial" w:cs="Arial"/>
        </w:rPr>
        <w:t>2. Main body: strategic audit of Huazhu</w:t>
      </w:r>
      <w:bookmarkEnd w:id="1"/>
      <w:r>
        <w:rPr>
          <w:rFonts w:hint="default" w:ascii="Arial" w:hAnsi="Arial" w:cs="Arial"/>
        </w:rPr>
        <w:t xml:space="preserve"> </w:t>
      </w:r>
    </w:p>
    <w:p>
      <w:pPr>
        <w:pStyle w:val="3"/>
        <w:spacing w:before="156" w:beforeLines="50" w:after="156" w:afterLines="50" w:line="360" w:lineRule="auto"/>
        <w:jc w:val="both"/>
        <w:rPr>
          <w:rFonts w:hint="default" w:ascii="Arial" w:hAnsi="Arial" w:cs="Arial"/>
        </w:rPr>
      </w:pPr>
      <w:bookmarkStart w:id="2" w:name="_Toc98489106"/>
      <w:r>
        <w:rPr>
          <w:rFonts w:hint="default" w:ascii="Arial" w:hAnsi="Arial" w:cs="Arial"/>
        </w:rPr>
        <w:t>2.1 Macro audit: PESTEL analysis</w:t>
      </w:r>
      <w:bookmarkEnd w:id="2"/>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PESTEL, an acronym for the political, economic, social, technological, environmental and legal factors, is a strategic management framework that helps managers to access the risk arising from the impact of external factors on a macro level, particularly when operating internationally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{"citationItems":[{"id":"ITEM-1","itemData":{"author":[{"dropping-particle":"","family":"Cravens","given":"David W","non-dropping-particle":"","parse-names":false,"suffix":""},{"dropping-particle":"","family":"Piercy","given":"Nigel","non-dropping-particle":"","parse-names":false,"suffix":""}],"id":"ITEM-1","issued":{"date-parts":[["2006"]]},"publisher":"McGraw-Hill New York","title":"Strategic marketing","type":"book","volume":"6"},"uris":["http://www.mendeley.com/documents/?uuid=bff0fc94-4bf7-434e-b657-9ac708187418"]}],"mendeley":{"formattedCitation":"(Cravens and Piercy, 2006)","plainTextFormattedCitation":"(Cravens and Piercy, 2006)","previouslyFormattedCitation":"(Cravens and Piercy, 2006)"},"properties":{"noteIndex":0},"schema":"https://github.com/citation-style-language/schema/raw/master/csl-citation.json"}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(Cravens and Piercy, 2006)</w:t>
      </w:r>
      <w:r>
        <w:rPr>
          <w:rFonts w:hint="default" w:ascii="Arial" w:hAnsi="Arial" w:cs="Arial"/>
          <w:sz w:val="24"/>
          <w:szCs w:val="24"/>
        </w:rPr>
        <w:fldChar w:fldCharType="end"/>
      </w:r>
      <w:r>
        <w:rPr>
          <w:rFonts w:hint="default" w:ascii="Arial" w:hAnsi="Arial" w:cs="Arial"/>
          <w:sz w:val="24"/>
          <w:szCs w:val="24"/>
        </w:rPr>
        <w:t xml:space="preserve">. The model is used to audit the macro environment of Huazhu and identify particular factors impacting Huazhu ’s strategic development. However, only points of the greatest relevancy will be highlighted here. </w:t>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Political: China is the first country to be affected by the covid-19 outbreak, and the local hotel industry has been the first to bear the brunt as Wuhan has declared a city closure and other parts of mainland China have adopted strict travel restrictions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1744-8603","author":[{"dropping-particle":"","family":"Sun","given":"Shuangyi","non-dropping-particle":"","parse-names":false,"suffix":""},{"dropping-particle":"","family":"Xie","given":"Zhen","non-dropping-particle":"","parse-names":false,"suffix":""},{"dropping-particle":"","family":"Yu","given":"Keting","non-dropping-particle":"","parse-names":false,"suffix":""},{"dropping-particle":"","family":"Jiang","given":"Bingqian","non-dropping-particle":"","parse-names":false,"suffix":""},{"dropping-particle":"","family":"Zheng","given":"Siwei","non-dropping-particle":"","parse-names":false,"suffix":""},{"dropping-particle":"","family":"Pan","given":"Xiaoting","non-dropping-particle":"","parse-names":false,"suffix":""}],"container-title":"Globalization and Health","id":"ITEM-1","issue":"1","issued":{"date-parts":[["2021"]]},"page":"1-8","publisher":"BioMed Central","title":"COVID-19 and healthcare system in China: challenges and progression for a sustainable future","type":"article-journal","volume":"17"},"uris":["http://www.mendeley.com/documents/?uuid=bab22ec0-943f-4831-81a1-5754bbcf698c"]}],"mendeley":{"formattedCitation":"(Sun &lt;i&gt;et al.&lt;/i&gt;, 2021)","plainTextFormattedCitation":"(Sun et al., 2021)","previouslyFormattedCitation":"(Sun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(Sun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Over the past year, the hotel business throughout China has been severely impacted by the lack of inbound travelers. In the face of the covid-19, which is not yet fully understood by human beings and has no way to be conquered in a short period, the Chinese government has reviewed the situation, made a comprehensive study and judgment, and made a decisive decision to put "people's life safety and health in the first place", that is, to adhere to the principle of "people first and life first", adopt the strategy of "internal prevention of rebound and external prevention of import", and ensure "dynamic zero" as the normal prevention policy goal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2041-1723","author":[{"dropping-particle":"","family":"Feng","given":"Luzhao","non-dropping-particle":"","parse-names":false,"suffix":""},{"dropping-particle":"","family":"Zhang","given":"Ting","non-dropping-particle":"","parse-names":false,"suffix":""},{"dropping-particle":"","family":"Wang","given":"Qing","non-dropping-particle":"","parse-names":false,"suffix":""},{"dropping-particle":"","family":"Xie","given":"Yiran","non-dropping-particle":"","parse-names":false,"suffix":""},{"dropping-particle":"","family":"Peng","given":"Zhibin","non-dropping-particle":"","parse-names":false,"suffix":""},{"dropping-particle":"","family":"Zheng","given":"Jiandong","non-dropping-particle":"","parse-names":false,"suffix":""},{"dropping-particle":"","family":"Qin","given":"Ying","non-dropping-particle":"","parse-names":false,"suffix":""},{"dropping-particle":"","family":"Zhang","given":"Muli","non-dropping-particle":"","parse-names":false,"suffix":""},{"dropping-particle":"","family":"Lai","given":"Shengjie","non-dropping-particle":"","parse-names":false,"suffix":""},{"dropping-particle":"","family":"Wang","given":"Dayan","non-dropping-particle":"","parse-names":false,"suffix":""}],"container-title":"Nature communications","id":"ITEM-1","issue":"1","issued":{"date-parts":[["2021"]]},"page":"1-8","publisher":"Nature Publishing Group","title":"Impact of COVID-19 outbreaks and interventions on influenza in China and the United States","type":"article-journal","volume":"12"},"uris":["http://www.mendeley.com/documents/?uuid=75362713-1fbe-4b4a-a024-e1faf3842456"]},{"id":"ITEM-2","itemData":{"ISSN":"1476-5578","author":[{"dropping-particle":"","family":"Wang","given":"Yunhe","non-dropping-particle":"","parse-names":false,"suffix":""},{"dropping-particle":"","family":"Shi","given":"Le","non-dropping-particle":"","parse-names":false,"suffix":""},{"dropping-particle":"","family":"Que","given":"Jianyu","non-dropping-particle":"","parse-names":false,"suffix":""},{"dropping-particle":"","family":"Lu","given":"Qingdong","non-dropping-particle":"","parse-names":false,"suffix":""},{"dropping-particle":"","family":"Liu","given":"Lin","non-dropping-particle":"","parse-names":false,"suffix":""},{"dropping-particle":"","family":"Lu","given":"Zhengan","non-dropping-particle":"","parse-names":false,"suffix":""},{"dropping-particle":"","family":"Xu","given":"Yingying","non-dropping-particle":"","parse-names":false,"suffix":""},{"dropping-particle":"","family":"Liu","given":"Jiajia","non-dropping-particle":"","parse-names":false,"suffix":""},{"dropping-particle":"","family":"Sun","given":"Yankun","non-dropping-particle":"","parse-names":false,"suffix":""},{"dropping-particle":"","family":"Meng","given":"Shiqiu","non-dropping-particle":"","parse-names":false,"suffix":""}],"container-title":"Molecular psychiatry","id":"ITEM-2","issue":"9","issued":{"date-parts":[["2021"]]},"page":"4813-4822","publisher":"Nature Publishing Group","title":"The impact of quarantine on mental health status among general population in China during the COVID-19 pandemic","type":"article-journal","volume":"26"},"uris":["http://www.mendeley.com/documents/?uuid=ee6ffc0a-11df-4013-9f99-9aa335803c41"]},{"id":"ITEM-3","itemData":{"ISSN":"1573-3521","author":[{"dropping-particle":"","family":"Wang","given":"Cuiyan","non-dropping-particle":"","parse-names":false,"suffix":""},{"dropping-particle":"","family":"Tripp","given":"Connor","non-dropping-particle":"","parse-names":false,"suffix":""},{"dropping-particle":"","family":"Sears","given":"Samuel F","non-dropping-particle":"","parse-names":false,"suffix":""},{"dropping-particle":"","family":"Xu","given":"Linkang","non-dropping-particle":"","parse-names":false,"suffix":""},{"dropping-particle":"","family":"Tan","given":"Yilin","non-dropping-particle":"","parse-names":false,"suffix":""},{"dropping-particle":"","family":"Zhou","given":"Danqing","non-dropping-particle":"","parse-names":false,"suffix":""},{"dropping-particle":"","family":"Ma","given":"Wenfang","non-dropping-particle":"","parse-names":false,"suffix":""},{"dropping-particle":"","family":"Xu","given":"Ziqi","non-dropping-particle":"","parse-names":false,"suffix":""},{"dropping-particle":"","family":"Chan","given":"Natalie A","non-dropping-particle":"","parse-names":false,"suffix":""},{"dropping-particle":"","family":"Ho","given":"Cyrus","non-dropping-particle":"","parse-names":false,"suffix":""}],"container-title":"Journal of behavioral medicine","id":"ITEM-3","issue":"6","issued":{"date-parts":[["2021"]]},"page":"741-759","publisher":"Springer","title":"The impact of the COVID-19 pandemic on physical and mental health in the two largest economies in the world: a comparison between the United States and China","type":"article-journal","volume":"44"},"uris":["http://www.mendeley.com/documents/?uuid=995c249f-d804-4da5-81c5-379ee107cb3b"]}],"mendeley":{"formattedCitation":"(C. Wang &lt;i&gt;et al.&lt;/i&gt;, 2021; Feng &lt;i&gt;et al.&lt;/i&gt;, 2021; Y. Wang &lt;i&gt;et al.&lt;/i&gt;, 2021)","plainTextFormattedCitation":"(C. Wang et al., 2021; Feng et al., 2021; Y. Wang et al., 2021)","previouslyFormattedCitation":"(C. Wang &lt;i&gt;et al.&lt;/i&gt;, 2021; Feng &lt;i&gt;et al.&lt;/i&gt;, 2021; Y. Wang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(C. Wang </w:t>
      </w:r>
      <w:r>
        <w:rPr>
          <w:rFonts w:hint="default" w:ascii="Arial" w:hAnsi="Arial" w:cs="Arial"/>
          <w:i/>
          <w:sz w:val="24"/>
          <w:szCs w:val="24"/>
        </w:rPr>
        <w:t>et al.</w:t>
      </w:r>
      <w:r>
        <w:rPr>
          <w:rFonts w:hint="default" w:ascii="Arial" w:hAnsi="Arial" w:cs="Arial"/>
          <w:sz w:val="24"/>
          <w:szCs w:val="24"/>
        </w:rPr>
        <w:t xml:space="preserve">, 2021; Feng </w:t>
      </w:r>
      <w:r>
        <w:rPr>
          <w:rFonts w:hint="default" w:ascii="Arial" w:hAnsi="Arial" w:cs="Arial"/>
          <w:i/>
          <w:sz w:val="24"/>
          <w:szCs w:val="24"/>
        </w:rPr>
        <w:t>et al.</w:t>
      </w:r>
      <w:r>
        <w:rPr>
          <w:rFonts w:hint="default" w:ascii="Arial" w:hAnsi="Arial" w:cs="Arial"/>
          <w:sz w:val="24"/>
          <w:szCs w:val="24"/>
        </w:rPr>
        <w:t xml:space="preserve">, 2021; Y. Wang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The stringent prevention and control policies here have resulted in nearly zero international customers towards China, and significantly erodes the profitability of Huazhu (since China is Huazhu’s major market.). However, the current outbreak may continue to weigh on the business performance of the China hospitality industry in 2021 and beyond, considering that we have yet to see any signs of the covid-19 epidemic subsiding and international cross-border travel activity resuming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0163-4453","author":[{"dropping-particle":"","family":"Bou-Karroum","given":"Lama","non-dropping-particle":"","parse-names":false,"suffix":""},{"dropping-particle":"","family":"Khabsa","given":"Joanne","non-dropping-particle":"","parse-names":false,"suffix":""},{"dropping-particle":"","family":"Jabbour","given":"Mathilda","non-dropping-particle":"","parse-names":false,"suffix":""},{"dropping-particle":"","family":"Hilal","given":"Nadeen","non-dropping-particle":"","parse-names":false,"suffix":""},{"dropping-particle":"","family":"Haidar","given":"Zeinab","non-dropping-particle":"","parse-names":false,"suffix":""},{"dropping-particle":"","family":"Abi Khalil","given":"Pamela","non-dropping-particle":"","parse-names":false,"suffix":""},{"dropping-particle":"","family":"Khalek","given":"Rima Abdul","non-dropping-particle":"","parse-names":false,"suffix":""},{"dropping-particle":"","family":"Assaf","given":"Jana","non-dropping-particle":"","parse-names":false,"suffix":""},{"dropping-particle":"","family":"Honein-AbouHaidar","given":"Gladys","non-dropping-particle":"","parse-names":false,"suffix":""},{"dropping-particle":"","family":"Abou Samra","given":"Clara","non-dropping-particle":"","parse-names":false,"suffix":""}],"container-title":"Journal of Infection","id":"ITEM-1","issue":"4","issued":{"date-parts":[["2021"]]},"page":"413-423","publisher":"Elsevier","title":"Public health effects of travel-related policies on the COVID-19 pandemic: a mixed-methods systematic review","type":"article-journal","volume":"83"},"uris":["http://www.mendeley.com/documents/?uuid=cf5a5cda-8bef-4d0b-a9d4-b1543e111cb4"]}],"mendeley":{"formattedCitation":"(Bou-Karroum &lt;i&gt;et al.&lt;/i&gt;, 2021)","plainTextFormattedCitation":"(Bou-Karroum et al., 2021)","previouslyFormattedCitation":"(Bou-Karroum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(Bou-Karroum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However, we remain cautiously optimistic about the performance of the hospitality industry as the restart of leisure travel in mainland China has provided good support for the recovery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{"citationItems":[{"id":"ITEM-1","itemData":{"ISSN":"0378-5920","author":[{"dropping-particle":"","family":"Egger","given":"Peter H","non-dropping-particle":"","parse-names":false,"suffix":""},{"dropping-particle":"","family":"Zhu","given":"Jiaqing","non-dropping-particle":"","parse-names":false,"suffix":""}],"container-title":"The World Economy","id":"ITEM-1","issue":"2","issued":{"date-parts":[["2022"]]},"page":"523-538","publisher":"Wiley Online Library","title":"How COVID�\\19 travels in�\\and outside of value chains and then affects the stock market: Evidence from China","type":"article-journal","volume":"45"},"uris":["http://www.mendeley.com/documents/?uuid=ca1b3427-fe2c-4c62-9cdd-359a277dea14"]}],"mendeley":{"formattedCitation":"(Egger and Zhu, 2022)","plainTextFormattedCitation":"(Egger and Zhu, 2022)","previouslyFormattedCitation":"(Egger and Zhu, 2022)"},"properties":{"noteIndex":0},"schema":"https://github.com/citation-style-language/schema/raw/master/csl-citation.json"}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(Egger and Zhu, 2022)</w:t>
      </w:r>
      <w:r>
        <w:rPr>
          <w:rFonts w:hint="default" w:ascii="Arial" w:hAnsi="Arial" w:cs="Arial"/>
          <w:sz w:val="24"/>
          <w:szCs w:val="24"/>
        </w:rPr>
        <w:fldChar w:fldCharType="end"/>
      </w:r>
      <w:r>
        <w:rPr>
          <w:rFonts w:hint="default" w:ascii="Arial" w:hAnsi="Arial" w:cs="Arial"/>
          <w:sz w:val="24"/>
          <w:szCs w:val="24"/>
        </w:rPr>
        <w:t xml:space="preserve">. In the post-epidemic era, the report is confident in the long-term outlook of the China hotel industry, driven by the expansion of China's middle class and the overall upgrade in consumption power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1356-7667","author":[{"dropping-particle":"","family":"Ran","given":"Li","non-dropping-particle":"","parse-names":false,"suffix":""},{"dropping-particle":"","family":"Zhenpeng","given":"Luo","non-dropping-particle":"","parse-names":false,"suffix":""},{"dropping-particle":"","family":"Bilgihan","given":"Anil","non-dropping-particle":"","parse-names":false,"suffix":""},{"dropping-particle":"","family":"Okumus","given":"Fevzi","non-dropping-particle":"","parse-names":false,"suffix":""}],"container-title":"Journal of Vacation Marketing","id":"ITEM-1","issue":"3","issued":{"date-parts":[["2021"]]},"page":"267-286","publisher":"SAGE Publications Sage UK: London, England","title":"Marketing China to US travelers through electronic word-of-mouth and destination image: Taking Beijing as an example","type":"article-journal","volume":"27"},"uris":["http://www.mendeley.com/documents/?uuid=17622063-380c-45e4-9e89-d15ba7538a12"]}],"mendeley":{"formattedCitation":"(Ran &lt;i&gt;et al.&lt;/i&gt;, 2021)","plainTextFormattedCitation":"(Ran et al., 2021)","previouslyFormattedCitation":"(Ran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(Ran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Among another international markets within which Huazhu operates, it is delightful to see that the suppressed travel demand will probably be released supported by the loosened international travel regulations. Against this backdrop, the role played by hotels in the prevention of infections has been highlighted by the authorities. </w:t>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Technological: Biometrics is a very effective tool for verifying identity at various border crossings, especially at airports. Some hotels have already adopted identification technology that allows retina scans and fingerprint scans to be used to open hotel rooms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{"citationItems":[{"id":"ITEM-1","itemData":{"ISSN":"0897-3806","author":[{"dropping-particle":"","family":"Byrnes","given":"Kevin G","non-dropping-particle":"","parse-names":false,"suffix":""},{"dropping-particle":"","family":"Kiely","given":"Patrick A","non-dropping-particle":"","parse-names":false,"suffix":""},{"dropping-particle":"","family":"Dunne","given":"Colum P","non-dropping-particle":"","parse-names":false,"suffix":""},{"dropping-particle":"","family":"McDermott","given":"Kieran W","non-dropping-particle":"","parse-names":false,"suffix":""},{"dropping-particle":"","family":"Coffey","given":"John Calvin","non-dropping-particle":"","parse-names":false,"suffix":""}],"container-title":"Clinical anatomy","id":"ITEM-1","issue":"1","issued":{"date-parts":[["2021"]]},"page":"82-89","publisher":"Wiley Online Library","title":"Communication, collaboration and contagion:��Virtualisation�� of anatomy during COVID�\\19","type":"article-journal","volume":"34"},"uris":["http://www.mendeley.com/documents/?uuid=36c31672-8914-4cf6-9d80-8111eff72c7f"]}],"mendeley":{"formattedCitation":"(Byrnes &lt;i&gt;et al.&lt;/i&gt;, 2021)","plainTextFormattedCitation":"(Byrnes et al., 2021)","previouslyFormattedCitation":"(Byrnes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(Byrnes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The technology is now being used more and more widely because of its great advantages, which means that it is vital to ensure its security. Besides, the hotel industry is a labor-intensive industry, and to reduce personnel costs, the industry is creating smart hotels to reform the hotel industry in response to the demand for non-stop, experiential hotels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0376-835X","author":[{"dropping-particle":"","family":"Woyo","given":"Erisher","non-dropping-particle":"","parse-names":false,"suffix":""},{"dropping-particle":"","family":"Nyamandi","given":"Costantine","non-dropping-particle":"","parse-names":false,"suffix":""}],"container-title":"Development Southern Africa","id":"ITEM-1","issue":"1","issued":{"date-parts":[["2022"]]},"page":"20-34","publisher":"Taylor &amp; Francis","title":"Application of virtual reality technologies in the comrades�� marathon as a response to COVID-19 pandemic","type":"article-journal","volume":"39"},"uris":["http://www.mendeley.com/documents/?uuid=4a205a08-0d51-4868-bc29-965e97de9774"]}],"mendeley":{"formattedCitation":"(Woyo and Nyamandi, 2022)","plainTextFormattedCitation":"(Woyo and Nyamandi, 2022)","previouslyFormattedCitation":"(Woyo and Nyamandi, 2022)"},"properties":{"noteIndex":0},"schema":"https://github.com/citation-style-language/schema/raw/master/csl-citation.json"}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(Woyo and Nyamandi, 2022)</w:t>
      </w:r>
      <w:r>
        <w:rPr>
          <w:rFonts w:hint="default" w:ascii="Arial" w:hAnsi="Arial" w:cs="Arial"/>
          <w:sz w:val="24"/>
          <w:szCs w:val="24"/>
        </w:rPr>
        <w:fldChar w:fldCharType="end"/>
      </w:r>
      <w:r>
        <w:rPr>
          <w:rFonts w:hint="default" w:ascii="Arial" w:hAnsi="Arial" w:cs="Arial"/>
          <w:sz w:val="24"/>
          <w:szCs w:val="24"/>
        </w:rPr>
        <w:t xml:space="preserve">. By replacing human labor with machines and combining various intelligent functions such as face recognition and mobile room cards, the hotel industry can improve its economic effect. Some pioneers use artificial intelligence as a front door to replace receptionists, baggage handlers, and room service staff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{"citationItems":[{"id":"ITEM-1","itemData":{"ISSN":"0278-4319","author":[{"dropping-particle":"","family":"Kim","given":"Seongseop Sam","non-dropping-particle":"","parse-names":false,"suffix":""},{"dropping-particle":"","family":"Kim","given":"Jungkeun","non-dropping-particle":"","parse-names":false,"suffix":""},{"dropping-particle":"","family":"Badu-Baiden","given":"Frank","non-dropping-particle":"","parse-names":false,"suffix":""},{"dropping-particle":"","family":"Giroux","given":"Marilyn","non-dropping-particle":"","parse-names":false,"suffix":""},{"dropping-particle":"","family":"Choi","given":"Youngjoon","non-dropping-particle":"","parse-names":false,"suffix":""}],"container-title":"International Journal of Hospitality Management","id":"ITEM-1","issued":{"date-parts":[["2021"]]},"page":"102795","publisher":"Elsevier","title":"Preference for robot service or human service in hotels? Impacts of the COVID-19 pandemic","type":"article-journal","volume":"93"},"uris":["http://www.mendeley.com/documents/?uuid=4f8685c4-63cf-4444-ae3b-0928d039ac28"]}],"mendeley":{"formattedCitation":"(Kim &lt;i&gt;et al.&lt;/i&gt;, 2021)","plainTextFormattedCitation":"(Kim et al., 2021)","previouslyFormattedCitation":"(Kim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(Kim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In addition to artificial intelligence, in-room facilities are also being reformed, such as smart closets that can dry clothes and kill bacteria on their own to improve comfort and increase the possibility of personalized services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ISSN":"1936-8623","author":[{"dropping-particle":"","family":"Chen","given":"Shu-Hsiang","non-dropping-particle":"","parse-names":false,"suffix":""},{"dropping-particle":"","family":"Tzeng","given":"Shian-Yang","non-dropping-particle":"","parse-names":false,"suffix":""},{"dropping-particle":"","family":"Tham","given":"Aaron","non-dropping-particle":"","parse-names":false,"suffix":""},{"dropping-particle":"","family":"Chu","given":"Peng-Xu","non-dropping-particle":"","parse-names":false,"suffix":""}],"container-title":"Journal of Hospitality Marketing &amp; Management","id":"ITEM-1","issue":"8","issued":{"date-parts":[["2021"]]},"page":"905-928","publisher":"Taylor &amp; Francis","title":"Hospitality services in the post COVID-19 era: Are we ready for high-tech and no touch service delivery in smart hotels?","type":"article-journal","volume":"30"},"uris":["http://www.mendeley.com/documents/?uuid=62c829c4-cb59-46d9-b8ef-f772b92f4360"]}],"mendeley":{"formattedCitation":"(Chen &lt;i&gt;et al.&lt;/i&gt;, 2021)","plainTextFormattedCitation":"(Chen et al., 2021)","previouslyFormattedCitation":"(Chen &lt;i&gt;et al.&lt;/i&gt;,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 xml:space="preserve">(Chen </w:t>
      </w:r>
      <w:r>
        <w:rPr>
          <w:rFonts w:hint="default" w:ascii="Arial" w:hAnsi="Arial" w:cs="Arial"/>
          <w:i/>
          <w:sz w:val="24"/>
          <w:szCs w:val="24"/>
        </w:rPr>
        <w:t>et al.</w:t>
      </w:r>
      <w:r>
        <w:rPr>
          <w:rFonts w:hint="default" w:ascii="Arial" w:hAnsi="Arial" w:cs="Arial"/>
          <w:sz w:val="24"/>
          <w:szCs w:val="24"/>
        </w:rPr>
        <w:t>, 2021)</w:t>
      </w:r>
      <w:r>
        <w:rPr>
          <w:rFonts w:hint="default" w:ascii="Arial" w:hAnsi="Arial" w:cs="Arial"/>
          <w:sz w:val="24"/>
          <w:szCs w:val="24"/>
        </w:rPr>
        <w:fldChar w:fldCharType="end"/>
      </w:r>
      <w:r>
        <w:rPr>
          <w:rFonts w:hint="default" w:ascii="Arial" w:hAnsi="Arial" w:cs="Arial"/>
          <w:sz w:val="24"/>
          <w:szCs w:val="24"/>
        </w:rPr>
        <w:t xml:space="preserve">. The introduction of technologies in the contact-intensive hotel industry helps effectively address the public safety concerns during covid-19, and deliver a worry-free accommodation experience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{"citationItems":[{"id":"ITEM-1","itemData":{"URL":"https://www.hospitalitynet.org/news/4104620.html","accessed":{"date-parts":[["2022","3","17"]]},"author":[{"dropping-particle":"","family":"Hospitality Net","given":"","non-dropping-particle":"","parse-names":false,"suffix":""}],"id":"ITEM-1","issued":{"date-parts":[["2021"]]},"title":"The role innovative technology will play in the hospitality industry post Covid","type":"webpage"},"uris":["http://www.mendeley.com/documents/?uuid=845dae1b-84f9-3d03-a51b-33562d7dd9c7"]},{"id":"ITEM-2","itemData":{"author":[{"dropping-particle":"","family":"Deloitte","given":"","non-dropping-particle":"","parse-names":false,"suffix":""}],"id":"ITEM-2","issued":{"date-parts":[["2022"]]},"title":"The future of hospitality","type":"article-journal"},"uris":["http://www.mendeley.com/documents/?uuid=58528293-f6cd-30a7-8e36-8c9670ad408f"]}],"mendeley":{"formattedCitation":"(Hospitality Net, 2021; Deloitte, 2022)","plainTextFormattedCitation":"(Hospitality Net, 2021; Deloitte, 2022)","previouslyFormattedCitation":"(Hospitality Net, 2021; Deloitte, 2022)"},"properties":{"noteIndex":0},"schema":"https://github.com/citation-style-language/schema/raw/master/csl-citation.json"}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(Hospitality Net, 2021; Deloitte, 2022)</w:t>
      </w:r>
      <w:r>
        <w:rPr>
          <w:rFonts w:hint="default" w:ascii="Arial" w:hAnsi="Arial" w:cs="Arial"/>
          <w:sz w:val="24"/>
          <w:szCs w:val="24"/>
        </w:rPr>
        <w:fldChar w:fldCharType="end"/>
      </w:r>
      <w:r>
        <w:rPr>
          <w:rFonts w:hint="default" w:ascii="Arial" w:hAnsi="Arial" w:cs="Arial"/>
          <w:sz w:val="24"/>
          <w:szCs w:val="24"/>
        </w:rPr>
        <w:t xml:space="preserve">. </w:t>
      </w:r>
    </w:p>
    <w:p>
      <w:pPr>
        <w:pStyle w:val="3"/>
        <w:spacing w:before="156" w:beforeLines="50" w:after="156" w:afterLines="50" w:line="360" w:lineRule="auto"/>
        <w:jc w:val="both"/>
        <w:rPr>
          <w:rFonts w:hint="default" w:ascii="Arial" w:hAnsi="Arial" w:cs="Arial"/>
        </w:rPr>
      </w:pPr>
      <w:bookmarkStart w:id="3" w:name="_Toc98489107"/>
      <w:r>
        <w:rPr>
          <w:rFonts w:hint="default" w:ascii="Arial" w:hAnsi="Arial" w:cs="Arial"/>
        </w:rPr>
        <w:t>2.2 Micro audit: Porter’s five forces</w:t>
      </w:r>
      <w:bookmarkEnd w:id="3"/>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Porter’s five forces are one of the most widely known tools for auditing the competitive environment, which helps in explaining how major forces in the industry shape strategies and affect performance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{"citationItems":[{"id":"ITEM-1","itemData":{"author":[{"dropping-particle":"","family":"Cravens","given":"David W","non-dropping-particle":"","parse-names":false,"suffix":""},{"dropping-particle":"","family":"Piercy","given":"Nigel","non-dropping-particle":"","parse-names":false,"suffix":""}],"id":"ITEM-1","issued":{"date-parts":[["2006"]]},"publisher":"McGraw-Hill New York","title":"Strategic marketing","type":"book","volume":"6"},"uris":["http://www.mendeley.com/documents/?uuid=bff0fc94-4bf7-434e-b657-9ac708187418"]}],"mendeley":{"formattedCitation":"(Cravens and Piercy, 2006)","plainTextFormattedCitation":"(Cravens and Piercy, 2006)","previouslyFormattedCitation":"(Cravens and Piercy, 2006)"},"properties":{"noteIndex":0},"schema":"https://github.com/citation-style-language/schema/raw/master/csl-citation.json"}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(Cravens and Piercy, 2006)</w:t>
      </w:r>
      <w:r>
        <w:rPr>
          <w:rFonts w:hint="default" w:ascii="Arial" w:hAnsi="Arial" w:cs="Arial"/>
          <w:sz w:val="24"/>
          <w:szCs w:val="24"/>
        </w:rPr>
        <w:fldChar w:fldCharType="end"/>
      </w:r>
      <w:r>
        <w:rPr>
          <w:rFonts w:hint="default" w:ascii="Arial" w:hAnsi="Arial" w:cs="Arial"/>
          <w:sz w:val="24"/>
          <w:szCs w:val="24"/>
        </w:rPr>
        <w:t xml:space="preserve">. After the above audit of the macro-environment, it is necessary to audit the industry-specific factors that impact Huazhu, but attention will be only placed on several points of high implications. </w:t>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Threats of new entrants: The threats of new entrants are audited as low. The entry barriers are relatively high, representing high capital investment in setting up the infrastructure and value delivery chain (high staff and high furnishing costs), and it is difficult to realize economies of scale during the shrank demands of hotels during covid-19. </w:t>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Threats of substitutes: Airbnb which connects private hosts directly with travelers to share the spare accommodations with lower prices and heterogeneous offerings has been the primary substitute for the traditional hotels. During the covid-19, both hosts and travelers are more reluctant to use Airbnb due to potential infection risks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Nhamo","given":"Godwell","non-dropping-particle":"","parse-names":false,"suffix":""},{"dropping-particle":"","family":"Dube","given":"Kaitano","non-dropping-particle":"","parse-names":false,"suffix":""},{"dropping-particle":"","family":"Chikodzi","given":"David","non-dropping-particle":"","parse-names":false,"suffix":""}],"container-title":"Counting the cost of COVID-19 on the global tourism industry","id":"ITEM-1","issued":{"date-parts":[["2020"]]},"page":"183-204","publisher":"Springer","title":"Impacts and implications of COVID-19 on the global hotel industry and Airbnb","type":"chapter"},"uris":["http://www.mendeley.com/documents/?uuid=40da902e-3eed-433a-9673-f0c0f15b4892"]}],"mendeley":{"formattedCitation":"(Nhamo, Dube and Chikodzi, 2020)","manualFormatting":"(Nhamo, Dube, and Chikodzi, 2020)","plainTextFormattedCitation":"(Nhamo, Dube and Chikodzi, 2020)","previouslyFormattedCitation":"(Nhamo, Dube and Chikodzi, 2020)"},"properties":{"noteIndex":0},"schema":"https://github.com/citation-style-language/schema/raw/master/csl-citation.json"}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(Nhamo, Dube, and Chikodzi, 2020)</w:t>
      </w:r>
      <w:r>
        <w:rPr>
          <w:rFonts w:hint="default" w:ascii="Arial" w:hAnsi="Arial" w:cs="Arial"/>
          <w:sz w:val="24"/>
          <w:szCs w:val="24"/>
        </w:rPr>
        <w:fldChar w:fldCharType="end"/>
      </w:r>
      <w:r>
        <w:rPr>
          <w:rFonts w:hint="default" w:ascii="Arial" w:hAnsi="Arial" w:cs="Arial"/>
          <w:sz w:val="24"/>
          <w:szCs w:val="24"/>
        </w:rPr>
        <w:t xml:space="preserve">. The threats of substitutes are lower than the usual in this regard.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It can be summarized from the above analysis that the industry exhibits a relatively low attractiveness towards new entrants, and a high level of competition. The focus of Huazhu’s strategies should be in how to differentiate itself from other hotel chains and stimulate more traveling demands. </w:t>
      </w:r>
    </w:p>
    <w:p>
      <w:pPr>
        <w:pStyle w:val="3"/>
        <w:spacing w:before="156" w:beforeLines="50" w:after="156" w:afterLines="50" w:line="360" w:lineRule="auto"/>
        <w:jc w:val="both"/>
        <w:rPr>
          <w:rFonts w:hint="default" w:ascii="Arial" w:hAnsi="Arial" w:cs="Arial"/>
        </w:rPr>
      </w:pPr>
      <w:bookmarkStart w:id="4" w:name="_Toc98489108"/>
      <w:r>
        <w:rPr>
          <w:rFonts w:hint="default" w:ascii="Arial" w:hAnsi="Arial" w:cs="Arial"/>
        </w:rPr>
        <w:t>2.3 Internal audit</w:t>
      </w:r>
      <w:bookmarkEnd w:id="4"/>
      <w:r>
        <w:rPr>
          <w:rFonts w:hint="default" w:ascii="Arial" w:hAnsi="Arial" w:cs="Arial"/>
        </w:rPr>
        <w:t xml:space="preserve"> </w:t>
      </w:r>
    </w:p>
    <w:p>
      <w:pPr>
        <w:pStyle w:val="4"/>
        <w:spacing w:before="156" w:beforeLines="50" w:after="156" w:afterLines="50" w:line="360" w:lineRule="auto"/>
        <w:jc w:val="both"/>
        <w:rPr>
          <w:rFonts w:hint="default" w:ascii="Arial" w:hAnsi="Arial" w:cs="Arial"/>
        </w:rPr>
      </w:pPr>
      <w:bookmarkStart w:id="5" w:name="_Toc98489109"/>
      <w:r>
        <w:rPr>
          <w:rFonts w:hint="default" w:ascii="Arial" w:hAnsi="Arial" w:cs="Arial"/>
        </w:rPr>
        <w:t>2.3.1 McKinsey 7S model</w:t>
      </w:r>
      <w:bookmarkEnd w:id="5"/>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The internal audit is facilitated with different models to audit the different aspects of Huazhu’s operation. The first model used here is called McKinsey 7S, and VRIO. The Mckinsey 7S identifies 7 elements that could help Huazhu to achieve goals and implement change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{"citationItems":[{"id":"ITEM-1","itemData":{"author":[{"dropping-particle":"","family":"Cravens","given":"David W","non-dropping-particle":"","parse-names":false,"suffix":""},{"dropping-particle":"","family":"Piercy","given":"Nigel","non-dropping-particle":"","parse-names":false,"suffix":""}],"id":"ITEM-1","issued":{"date-parts":[["2006"]]},"publisher":"McGraw-Hill New York","title":"Strategic marketing","type":"book","volume":"6"},"uris":["http://www.mendeley.com/documents/?uuid=bff0fc94-4bf7-434e-b657-9ac708187418"]}],"mendeley":{"formattedCitation":"(Cravens and Piercy, 2006)","plainTextFormattedCitation":"(Cravens and Piercy, 2006)","previouslyFormattedCitation":"(Cravens and Piercy, 2006)"},"properties":{"noteIndex":0},"schema":"https://github.com/citation-style-language/schema/raw/master/csl-citation.json"}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(Cravens and Piercy, 2006)</w:t>
      </w:r>
      <w:r>
        <w:rPr>
          <w:rFonts w:hint="default" w:ascii="Arial" w:hAnsi="Arial" w:cs="Arial"/>
          <w:sz w:val="24"/>
          <w:szCs w:val="24"/>
        </w:rPr>
        <w:fldChar w:fldCharType="end"/>
      </w:r>
      <w:r>
        <w:rPr>
          <w:rFonts w:hint="default" w:ascii="Arial" w:hAnsi="Arial" w:cs="Arial"/>
          <w:sz w:val="24"/>
          <w:szCs w:val="24"/>
        </w:rPr>
        <w:t xml:space="preserve">. The model categorizes the seven elements into hard ones (strategy, structure, and systems) and soft ones (shared value, skills, style, and staff). The sector focus on the structure and system of Huazhu. </w:t>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Structure: Huazhu follows the department system organizational structure. The wide portfolio of Huazhu is managed through the subsidiaries and departments under Huazhu. The multi-divisional structure of Huazhu allows it to gains a competitive advantage in each brand as it endows high autonomy of decision making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{"citationItems":[{"id":"ITEM-1","itemData":{"author":[{"dropping-particle":"","family":"Huazhu","given":"","non-dropping-particle":"","parse-names":false,"suffix":""}],"id":"ITEM-1","issued":{"date-parts":[["2021"]]},"title":"Huazhu annual report 2020","type":"report"},"uris":["http://www.mendeley.com/documents/?uuid=dbe2beda-b6b8-4a62-a9c9-ac20c9e9fa4b"]}],"mendeley":{"formattedCitation":"(Huazhu, 2021)","plainTextFormattedCitation":"(Huazhu, 2021)","previouslyFormattedCitation":"(Huazhu,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(Huazhu, 2021)</w:t>
      </w:r>
      <w:r>
        <w:rPr>
          <w:rFonts w:hint="default" w:ascii="Arial" w:hAnsi="Arial" w:cs="Arial"/>
          <w:sz w:val="24"/>
          <w:szCs w:val="24"/>
        </w:rPr>
        <w:fldChar w:fldCharType="end"/>
      </w:r>
      <w:r>
        <w:rPr>
          <w:rFonts w:hint="default" w:ascii="Arial" w:hAnsi="Arial" w:cs="Arial"/>
          <w:sz w:val="24"/>
          <w:szCs w:val="24"/>
        </w:rPr>
        <w:t xml:space="preserve">. However, communication across brands to remain cohesive culture during the covid-19 crisis can be challenging, and communication to update codes of conduct to prevent infection requires additional efforts.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drawing>
          <wp:inline distT="0" distB="0" distL="0" distR="0">
            <wp:extent cx="5399405" cy="32385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5399676" cy="3238500"/>
                    </a:xfrm>
                    <a:prstGeom prst="rect">
                      <a:avLst/>
                    </a:prstGeom>
                    <a:noFill/>
                    <a:ln>
                      <a:noFill/>
                    </a:ln>
                  </pic:spPr>
                </pic:pic>
              </a:graphicData>
            </a:graphic>
          </wp:inline>
        </w:drawing>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Figure 2: organizational structure of Huazhu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{"citationItems":[{"id":"ITEM-1","itemData":{"author":[{"dropping-particle":"","family":"Huazhu","given":"","non-dropping-particle":"","parse-names":false,"suffix":""}],"id":"ITEM-1","issued":{"date-parts":[["2021"]]},"title":"Huazhu annual report 2020","type":"report"},"uris":["http://www.mendeley.com/documents/?uuid=dbe2beda-b6b8-4a62-a9c9-ac20c9e9fa4b"]}],"mendeley":{"formattedCitation":"(Huazhu, 2021)","plainTextFormattedCitation":"(Huazhu, 2021)","previouslyFormattedCitation":"(Huazhu,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(Huazhu, 2021)</w:t>
      </w:r>
      <w:r>
        <w:rPr>
          <w:rFonts w:hint="default" w:ascii="Arial" w:hAnsi="Arial" w:cs="Arial"/>
          <w:sz w:val="24"/>
          <w:szCs w:val="24"/>
        </w:rPr>
        <w:fldChar w:fldCharType="end"/>
      </w:r>
    </w:p>
    <w:p>
      <w:pPr>
        <w:pStyle w:val="49"/>
        <w:numPr>
          <w:ilvl w:val="0"/>
          <w:numId w:val="2"/>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System: Huazhu continues to improve its existing operational, administrative, and technological systems to enhance its current operational efficacy, while developing resilience against the crisis. For instance, Huazhu has developed proprietary technology infrastructure that enhances customer experiences based on a comprehensive suite of modularized applications, including a cloud-based property management system and centralized reservation, procurement, and revenue management system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{"citationItems":[{"id":"ITEM-1","itemData":{"author":[{"dropping-particle":"","family":"Huazhu","given":"","non-dropping-particle":"","parse-names":false,"suffix":""}],"id":"ITEM-1","issued":{"date-parts":[["2021"]]},"title":"Huazhu annual report 2020","type":"report"},"uris":["http://www.mendeley.com/documents/?uuid=dbe2beda-b6b8-4a62-a9c9-ac20c9e9fa4b"]},{"id":"ITEM-2","itemData":{"URL":"https://www.shine.cn/biz/economy/2105098609/","accessed":{"date-parts":[["2022","3","17"]]},"author":[{"dropping-particle":"","family":"SHINE News","given":"","non-dropping-particle":"","parse-names":false,"suffix":""}],"id":"ITEM-2","issued":{"date-parts":[["2021"]]},"title":"Latest digitalization efforts on show at Exposition on China Indigenous Brands ","type":"webpage"},"uris":["http://www.mendeley.com/documents/?uuid=03c3d975-5539-390a-a718-6ded1bf36eed"]}],"mendeley":{"formattedCitation":"(Huazhu, 2021; SHINE News, 2021)","plainTextFormattedCitation":"(Huazhu, 2021; SHINE News, 2021)","previouslyFormattedCitation":"(Huazhu, 2021; SHINE News,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(Huazhu, 2021; SHINE News, 2021)</w:t>
      </w:r>
      <w:r>
        <w:rPr>
          <w:rFonts w:hint="default" w:ascii="Arial" w:hAnsi="Arial" w:cs="Arial"/>
          <w:sz w:val="24"/>
          <w:szCs w:val="24"/>
        </w:rPr>
        <w:fldChar w:fldCharType="end"/>
      </w:r>
      <w:r>
        <w:rPr>
          <w:rFonts w:hint="default" w:ascii="Arial" w:hAnsi="Arial" w:cs="Arial"/>
          <w:sz w:val="24"/>
          <w:szCs w:val="24"/>
        </w:rPr>
        <w:t xml:space="preserve">. Enabled by the technological capabilities and operational experiences, Huazhu has developed a centralized service center to benefit the economies of scale.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The discussion on the 7S of Huazhu indicates its operation has been experienced problems in cross-division communication, and over-focus in the backstage technology development but less attention on the technological innovation in customer touchpoints</w:t>
      </w:r>
    </w:p>
    <w:p>
      <w:pPr>
        <w:pStyle w:val="4"/>
        <w:spacing w:before="156" w:beforeLines="50" w:after="156" w:afterLines="50" w:line="360" w:lineRule="auto"/>
        <w:jc w:val="both"/>
        <w:rPr>
          <w:rFonts w:hint="default" w:ascii="Arial" w:hAnsi="Arial" w:cs="Arial"/>
        </w:rPr>
      </w:pPr>
      <w:bookmarkStart w:id="6" w:name="_Toc98489110"/>
      <w:r>
        <w:rPr>
          <w:rFonts w:hint="default" w:ascii="Arial" w:hAnsi="Arial" w:cs="Arial"/>
        </w:rPr>
        <w:t>2.3.2 VRIO model</w:t>
      </w:r>
      <w:bookmarkEnd w:id="6"/>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A VRIO analysis allows the manager to audit the specific resources and competencies owned by Huazhu based on four dimensions (value, rarity, imitability, and organization), based on which, the manager can decide how to align resources and competencies to support strategic development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{"citationItems":[{"id":"ITEM-1","itemData":{"author":[{"dropping-particle":"","family":"Cravens","given":"David W","non-dropping-particle":"","parse-names":false,"suffix":""},{"dropping-particle":"","family":"Piercy","given":"Nigel","non-dropping-particle":"","parse-names":false,"suffix":""}],"id":"ITEM-1","issued":{"date-parts":[["2006"]]},"publisher":"McGraw-Hill New York","title":"Strategic marketing","type":"book","volume":"6"},"uris":["http://www.mendeley.com/documents/?uuid=bff0fc94-4bf7-434e-b657-9ac708187418"]}],"mendeley":{"formattedCitation":"(Cravens and Piercy, 2006)","plainTextFormattedCitation":"(Cravens and Piercy, 2006)","previouslyFormattedCitation":"(Cravens and Piercy, 2006)"},"properties":{"noteIndex":0},"schema":"https://github.com/citation-style-language/schema/raw/master/csl-citation.json"}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(Cravens and Piercy, 2006)</w:t>
      </w:r>
      <w:r>
        <w:rPr>
          <w:rFonts w:hint="default" w:ascii="Arial" w:hAnsi="Arial" w:cs="Arial"/>
          <w:sz w:val="24"/>
          <w:szCs w:val="24"/>
        </w:rPr>
        <w:fldChar w:fldCharType="end"/>
      </w:r>
      <w:r>
        <w:rPr>
          <w:rFonts w:hint="default" w:ascii="Arial" w:hAnsi="Arial" w:cs="Arial"/>
          <w:sz w:val="24"/>
          <w:szCs w:val="24"/>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Table 1: VRIO highlight (own summary)</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drawing>
          <wp:inline distT="0" distB="0" distL="0" distR="0">
            <wp:extent cx="6188710" cy="354965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6188710" cy="3549650"/>
                    </a:xfrm>
                    <a:prstGeom prst="rect">
                      <a:avLst/>
                    </a:prstGeom>
                    <a:noFill/>
                    <a:ln>
                      <a:noFill/>
                    </a:ln>
                  </pic:spPr>
                </pic:pic>
              </a:graphicData>
            </a:graphic>
          </wp:inline>
        </w:drawing>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The VRIO analysis indicates Huazhu’s abilities in its technology integration with hospitality service have not yet been fully exploited in the covid-19 time. The 500-day IT integration plan of Huazhu enables it fully digitalize its operation to improve its operational efficiency, by customer relationship management system, a central reservation system, a centralized revenue management system, and a centralized procurement system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{"citationItems":[{"id":"ITEM-1","itemData":{"URL":"https://www.chinatravelnews.com/article/90007","accessed":{"date-parts":[["2022","3","17"]]},"author":[{"dropping-particle":"","family":"China Travel News","given":"","non-dropping-particle":"","parse-names":false,"suffix":""}],"id":"ITEM-1","issued":{"date-parts":[["2015"]]},"title":"Huazhu Hotels plan - future is digital, but all stakeholders need to benefit ","type":"webpage"},"uris":["http://www.mendeley.com/documents/?uuid=7e5d6656-77bf-36cf-9358-50d609d9ee0b"]}],"mendeley":{"formattedCitation":"(China Travel News, 2015)","plainTextFormattedCitation":"(China Travel News, 2015)","previouslyFormattedCitation":"(China Travel News, 2015)"},"properties":{"noteIndex":0},"schema":"https://github.com/citation-style-language/schema/raw/master/csl-citation.json"}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(China Travel News, 2015)</w:t>
      </w:r>
      <w:r>
        <w:rPr>
          <w:rFonts w:hint="default" w:ascii="Arial" w:hAnsi="Arial" w:cs="Arial"/>
          <w:sz w:val="24"/>
          <w:szCs w:val="24"/>
        </w:rPr>
        <w:fldChar w:fldCharType="end"/>
      </w:r>
      <w:r>
        <w:rPr>
          <w:rFonts w:hint="default" w:ascii="Arial" w:hAnsi="Arial" w:cs="Arial"/>
          <w:sz w:val="24"/>
          <w:szCs w:val="24"/>
        </w:rPr>
        <w:t xml:space="preserve">. However, the digitalization efforts of Huazhu have been centered on the backstage efficiency improvement, but rarely been used in the different interactions with customers to improve customer experiences, especially during the covid-19. Also, while other traditional hotels are still competing with their peers' membership systems, Huazhu is already thinking farther ahead, and its membership development is a critical move to counteract the monopoly of OTA (online travel agency) platform traffic </w:t>
      </w:r>
      <w:r>
        <w:rPr>
          <w:rStyle w:val="26"/>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eglobaltravelmedia.com.au/huazhu-group-selects-sabre-to-power-its-distribution-strategy-and-support-its-next-chapter-of-growth/","accessed":{"date-parts":[["2022","3","18"]]},"author":[{"dropping-particle":"","family":"Global Travel Media","given":"","non-dropping-particle":"","parse-names":false,"suffix":""}],"id":"ITEM-1","issued":{"date-parts":[["2021"]]},"title":"Huazhu Group selects Sabre to power its distribution strategy and support its next chapter of growth | Global Travel Media","type":"webpage"},"uris":["http://www.mendeley.com/documents/?uuid=fc8f0fda-42ad-3dfb-b287-5ad09b01ee88"]}],"mendeley":{"formattedCitation":"(Global Travel Media, 2021)","plainTextFormattedCitation":"(Global Travel Media, 2021)","previouslyFormattedCitation":"(Global Travel Media, 2021)"},"properties":{"noteIndex":0},"schema":"https://github.com/citation-style-language/schema/raw/master/csl-citation.json"}</w:instrText>
      </w:r>
      <w:r>
        <w:rPr>
          <w:rStyle w:val="26"/>
          <w:rFonts w:hint="default" w:ascii="Arial" w:hAnsi="Arial" w:cs="Arial"/>
          <w:sz w:val="24"/>
          <w:szCs w:val="24"/>
        </w:rPr>
        <w:fldChar w:fldCharType="separate"/>
      </w:r>
      <w:r>
        <w:rPr>
          <w:rFonts w:hint="default" w:ascii="Arial" w:hAnsi="Arial" w:cs="Arial"/>
          <w:sz w:val="24"/>
          <w:szCs w:val="24"/>
        </w:rPr>
        <w:t>(Global Travel Media, 2021)</w:t>
      </w:r>
      <w:r>
        <w:rPr>
          <w:rStyle w:val="26"/>
          <w:rFonts w:hint="default" w:ascii="Arial" w:hAnsi="Arial" w:cs="Arial"/>
          <w:sz w:val="24"/>
          <w:szCs w:val="24"/>
        </w:rPr>
        <w:fldChar w:fldCharType="end"/>
      </w:r>
      <w:r>
        <w:rPr>
          <w:rFonts w:hint="default" w:ascii="Arial" w:hAnsi="Arial" w:cs="Arial"/>
          <w:sz w:val="24"/>
          <w:szCs w:val="24"/>
        </w:rPr>
        <w:t xml:space="preserve">. While OTAs and other platforms are still in the process of importing traffic easily and at low prices, traditional hotels are happy to enjoy the dividends brought by low-priced traffic, Huazhu realized that over-reliance on external imported traffic, once the traffic side forms a monopoly, the pricing power of traffic will be in the hands of OTAs and another traffic side. Huazhu attaches great importance to membership acquisition through providing value-added services to the membership and partnering with stakeholders within the hospitality industry to provide benefits to the membership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eglobaltravelmedia.com.au/huazhu-group-selects-sabre-to-power-its-distribution-strategy-and-support-its-next-chapter-of-growth/","accessed":{"date-parts":[["2022","3","18"]]},"author":[{"dropping-particle":"","family":"Global Travel Media","given":"","non-dropping-particle":"","parse-names":false,"suffix":""}],"id":"ITEM-1","issued":{"date-parts":[["2021"]]},"title":"Huazhu Group selects Sabre to power its distribution strategy and support its next chapter of growth | Global Travel Media","type":"webpage"},"uris":["http://www.mendeley.com/documents/?uuid=fc8f0fda-42ad-3dfb-b287-5ad09b01ee88"]}],"mendeley":{"formattedCitation":"(Global Travel Media, 2021)","plainTextFormattedCitation":"(Global Travel Media, 2021)","previouslyFormattedCitation":"(Global Travel Media,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(Global Travel Media, 2021)</w:t>
      </w:r>
      <w:r>
        <w:rPr>
          <w:rFonts w:hint="default" w:ascii="Arial" w:hAnsi="Arial" w:cs="Arial"/>
          <w:sz w:val="24"/>
          <w:szCs w:val="24"/>
        </w:rPr>
        <w:fldChar w:fldCharType="end"/>
      </w:r>
      <w:r>
        <w:rPr>
          <w:rFonts w:hint="default" w:ascii="Arial" w:hAnsi="Arial" w:cs="Arial"/>
          <w:sz w:val="24"/>
          <w:szCs w:val="24"/>
        </w:rPr>
        <w:t xml:space="preserve">. However, the vast base of Huazhu has not yet been fully exploited during the covid-19 crisis as no active measures have been observed in the management its members. </w:t>
      </w:r>
    </w:p>
    <w:p>
      <w:pPr>
        <w:pStyle w:val="4"/>
        <w:spacing w:before="156" w:beforeLines="50" w:after="156" w:afterLines="50" w:line="360" w:lineRule="auto"/>
        <w:jc w:val="both"/>
        <w:rPr>
          <w:rFonts w:hint="default" w:ascii="Arial" w:hAnsi="Arial" w:cs="Arial"/>
        </w:rPr>
      </w:pPr>
      <w:bookmarkStart w:id="7" w:name="_Toc98489111"/>
      <w:r>
        <w:rPr>
          <w:rFonts w:hint="default" w:ascii="Arial" w:hAnsi="Arial" w:cs="Arial"/>
        </w:rPr>
        <w:t>2.3.3 SWOT analysis</w:t>
      </w:r>
      <w:bookmarkEnd w:id="7"/>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The above audit on Huazhu and the external environment where Huazhu operates allow us to describe the competitive position of Huazhu through SWOT analysis, which highlights its strengths, weaknesses, opportunities, and threats during the covid-19 time. The special light was placed on the threat aspect.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Table 2: SWOT highlights (own summary)</w:t>
      </w:r>
    </w:p>
    <w:p>
      <w:pPr>
        <w:spacing w:before="156" w:beforeLines="50" w:after="156" w:afterLines="50" w:line="360" w:lineRule="auto"/>
        <w:jc w:val="both"/>
        <w:rPr>
          <w:rFonts w:hint="default" w:ascii="Arial" w:hAnsi="Arial" w:cs="Arial"/>
        </w:rPr>
      </w:pPr>
      <w:r>
        <w:rPr>
          <w:rFonts w:hint="default" w:ascii="Arial" w:hAnsi="Arial" w:cs="Arial"/>
        </w:rPr>
        <w:drawing>
          <wp:inline distT="0" distB="0" distL="0" distR="0">
            <wp:extent cx="6188710" cy="201993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6188710" cy="2019935"/>
                    </a:xfrm>
                    <a:prstGeom prst="rect">
                      <a:avLst/>
                    </a:prstGeom>
                    <a:noFill/>
                    <a:ln>
                      <a:noFill/>
                    </a:ln>
                  </pic:spPr>
                </pic:pic>
              </a:graphicData>
            </a:graphic>
          </wp:inline>
        </w:drawing>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Huazhu has to compare with the international hotel chains such as Hilton and Marriott, and local independent non-standard hotels in both international and local markets. The number of available rooms has reached a record high during covid-19 due to consumers’ concern over safety. The reduced demands together with the bare switching costs has intensified the competition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{"citationItems":[{"id":"ITEM-1","itemData":{"URL":"https://www.nbcnews.com/news/us-news/covid-hit-hotel-industry-hard-data-shows-it-s-still-n1280061","accessed":{"date-parts":[["2022","3","17"]]},"author":[{"dropping-particle":"","family":"NBC News","given":"","non-dropping-particle":"","parse-names":false,"suffix":""}],"id":"ITEM-1","issued":{"date-parts":[["2022"]]},"title":"Covid hit the hotel industry hard. Data shows it's still missing a key part of its business.","type":"webpage"},"uris":["http://www.mendeley.com/documents/?uuid=49237f20-7146-373e-9db5-9be809c821d0"]}],"mendeley":{"formattedCitation":"(NBC News, 2022)","plainTextFormattedCitation":"(NBC News, 2022)","previouslyFormattedCitation":"(NBC News, 2022)"},"properties":{"noteIndex":0},"schema":"https://github.com/citation-style-language/schema/raw/master/csl-citation.json"}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(NBC News, 2022)</w:t>
      </w:r>
      <w:r>
        <w:rPr>
          <w:rFonts w:hint="default" w:ascii="Arial" w:hAnsi="Arial" w:cs="Arial"/>
          <w:sz w:val="24"/>
          <w:szCs w:val="24"/>
        </w:rPr>
        <w:fldChar w:fldCharType="end"/>
      </w:r>
      <w:r>
        <w:rPr>
          <w:rFonts w:hint="default" w:ascii="Arial" w:hAnsi="Arial" w:cs="Arial"/>
          <w:sz w:val="24"/>
          <w:szCs w:val="24"/>
        </w:rPr>
        <w:t xml:space="preserve">. Specifically, since the rise of non-standard accommodation in 2011, online non-standard accommodation vertical booking platforms started to emerge and began to grow explosively by 2015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{"citationItems":[{"id":"ITEM-1","itemData":{"URL":"https://www.yicaiglobal.com/news/china-huazhu-has-90-of-hotels-open-amid-covid-19-battle","accessed":{"date-parts":[["2022","3","17"]]},"author":[{"dropping-particle":"","family":"YiCai Global","given":"","non-dropping-particle":"","parse-names":false,"suffix":""}],"id":"ITEM-1","issued":{"date-parts":[["2020"]]},"title":"China's Huazhu Has 90% of Hotels Open Amid Covid-19 Battle","type":"webpage"},"uris":["http://www.mendeley.com/documents/?uuid=9b9f36f6-f812-310c-bfdf-a11b78cdbe0f"]}],"mendeley":{"formattedCitation":"(YiCai Global, 2020)","plainTextFormattedCitation":"(YiCai Global, 2020)"},"properties":{"noteIndex":0},"schema":"https://github.com/citation-style-language/schema/raw/master/csl-citation.json"}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(YiCai Global, 2020)</w:t>
      </w:r>
      <w:r>
        <w:rPr>
          <w:rFonts w:hint="default" w:ascii="Arial" w:hAnsi="Arial" w:cs="Arial"/>
          <w:sz w:val="24"/>
          <w:szCs w:val="24"/>
        </w:rPr>
        <w:fldChar w:fldCharType="end"/>
      </w:r>
      <w:r>
        <w:rPr>
          <w:rFonts w:hint="default" w:ascii="Arial" w:hAnsi="Arial" w:cs="Arial"/>
          <w:sz w:val="24"/>
          <w:szCs w:val="24"/>
        </w:rPr>
        <w:t xml:space="preserve">. The supply of non-standard accommodation continued to rise between 2015 and 2019, growing from 4,538,000 rooms in 2015 to 5,216,000 rooms in 2017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{"citationItems":[{"id":"ITEM-1","itemData":{"URL":"https://www.yicaiglobal.com/news/china-huazhu-has-90-of-hotels-open-amid-covid-19-battle","accessed":{"date-parts":[["2022","3","17"]]},"author":[{"dropping-particle":"","family":"YiCai Global","given":"","non-dropping-particle":"","parse-names":false,"suffix":""}],"id":"ITEM-1","issued":{"date-parts":[["2020"]]},"title":"China's Huazhu Has 90% of Hotels Open Amid Covid-19 Battle","type":"webpage"},"uris":["http://www.mendeley.com/documents/?uuid=9b9f36f6-f812-310c-bfdf-a11b78cdbe0f"]}],"mendeley":{"formattedCitation":"(YiCai Global, 2020)","plainTextFormattedCitation":"(YiCai Global, 2020)","previouslyFormattedCitation":"(YiCai Global, 2020)"},"properties":{"noteIndex":0},"schema":"https://github.com/citation-style-language/schema/raw/master/csl-citation.json"}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(YiCai Global, 2020)</w:t>
      </w:r>
      <w:r>
        <w:rPr>
          <w:rFonts w:hint="default" w:ascii="Arial" w:hAnsi="Arial" w:cs="Arial"/>
          <w:sz w:val="24"/>
          <w:szCs w:val="24"/>
        </w:rPr>
        <w:fldChar w:fldCharType="end"/>
      </w:r>
      <w:r>
        <w:rPr>
          <w:rFonts w:hint="default" w:ascii="Arial" w:hAnsi="Arial" w:cs="Arial"/>
          <w:sz w:val="24"/>
          <w:szCs w:val="24"/>
        </w:rPr>
        <w:t xml:space="preserve">. The overall size of the non-standard accommodation industry rose from 12.935 billion yuan in 2015 to 23.488 billion yuan in 2017 during these three years, with an average annual compound growth rate of 22% </w:t>
      </w:r>
      <w:r>
        <w:rPr>
          <w:rFonts w:hint="default" w:ascii="Arial" w:hAnsi="Arial" w:cs="Arial"/>
          <w:sz w:val="24"/>
          <w:szCs w:val="24"/>
        </w:rPr>
        <w:fldChar w:fldCharType="begin" w:fldLock="1"/>
      </w:r>
      <w:r>
        <w:rPr>
          <w:rFonts w:hint="default" w:ascii="Arial" w:hAnsi="Arial" w:cs="Arial"/>
          <w:sz w:val="24"/>
          <w:szCs w:val="24"/>
        </w:rPr>
        <w:instrText xml:space="preserve">ADDIN CSL_CITATION {"citationItems":[{"id":"ITEM-1","itemData":{"URL":"https://eglobaltravelmedia.com.au/huazhu-group-selects-sabre-to-power-its-distribution-strategy-and-support-its-next-chapter-of-growth/","accessed":{"date-parts":[["2022","3","18"]]},"author":[{"dropping-particle":"","family":"Global Travel Media","given":"","non-dropping-particle":"","parse-names":false,"suffix":""}],"id":"ITEM-1","issued":{"date-parts":[["2021"]]},"title":"Huazhu Group selects Sabre to power its distribution strategy and support its next chapter of growth | Global Travel Media","type":"webpage"},"uris":["http://www.mendeley.com/documents/?uuid=fc8f0fda-42ad-3dfb-b287-5ad09b01ee88"]}],"mendeley":{"formattedCitation":"(Global Travel Media, 2021)","plainTextFormattedCitation":"(Global Travel Media, 2021)","previouslyFormattedCitation":"(Global Travel Media, 2021)"},"properties":{"noteIndex":0},"schema":"https://github.com/citation-style-language/schema/raw/master/csl-citation.json"}</w:instrText>
      </w:r>
      <w:r>
        <w:rPr>
          <w:rFonts w:hint="default" w:ascii="Arial" w:hAnsi="Arial" w:cs="Arial"/>
          <w:sz w:val="24"/>
          <w:szCs w:val="24"/>
        </w:rPr>
        <w:fldChar w:fldCharType="separate"/>
      </w:r>
      <w:r>
        <w:rPr>
          <w:rFonts w:hint="default" w:ascii="Arial" w:hAnsi="Arial" w:cs="Arial"/>
          <w:sz w:val="24"/>
          <w:szCs w:val="24"/>
        </w:rPr>
        <w:t>(Global Travel Media, 2021)</w:t>
      </w:r>
      <w:r>
        <w:rPr>
          <w:rFonts w:hint="default" w:ascii="Arial" w:hAnsi="Arial" w:cs="Arial"/>
          <w:sz w:val="24"/>
          <w:szCs w:val="24"/>
        </w:rPr>
        <w:fldChar w:fldCharType="end"/>
      </w:r>
      <w:r>
        <w:rPr>
          <w:rFonts w:hint="default" w:ascii="Arial" w:hAnsi="Arial" w:cs="Arial"/>
          <w:sz w:val="24"/>
          <w:szCs w:val="24"/>
        </w:rPr>
        <w:t xml:space="preserve">. Non-standard accommodation has diversified operating entities, decentralized room sources, and personalized service facilities, making consumers more selective. It is also more cost-effective, providing consumers with more added value at the same price, such as free transfer, local guided tours, etc. in terms of large hotel chains, Huazhu face competitions posed by domestic hotel chains, such as Jingjiang in China, and international hotel chains, such as Hilton and Marriott. These large hotel chains have a wider geographical presence, a more diversified portfolio, as well as a stronger financial strength, making them more resilient towards covid-19. </w:t>
      </w:r>
    </w:p>
    <w:p>
      <w:pPr>
        <w:pStyle w:val="3"/>
        <w:spacing w:before="156" w:beforeLines="50" w:after="156" w:afterLines="50" w:line="360" w:lineRule="auto"/>
        <w:jc w:val="both"/>
        <w:rPr>
          <w:rFonts w:hint="default" w:ascii="Arial" w:hAnsi="Arial" w:cs="Arial"/>
        </w:rPr>
      </w:pPr>
      <w:bookmarkStart w:id="8" w:name="_Toc98489112"/>
      <w:r>
        <w:rPr>
          <w:rFonts w:hint="default" w:ascii="Arial" w:hAnsi="Arial" w:cs="Arial"/>
        </w:rPr>
        <w:t>2. 4 Recommendations</w:t>
      </w:r>
      <w:bookmarkEnd w:id="8"/>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The above audit on Huazhu identifies some key issues facing Huazhu in its current operation. The primary one is the eroded profitability due to declined demands during the covid-19 time. Also, Huazhu facing problems such as over-focus on the technological application in backstage operation, the fierce competition in the hotel sector due to declined demands and offering surplus, the uncertain situation brought by covid-19 in the future, the over-reliance on the Chinese market, the difficulties in cross-divisional communication, etc. Given the low attractiveness of the global hotel market, it is probably not a good idea for Huazhu to invest in internationalization to get rid of its reliance on the Chinese market. However, some efforts focusing on its current business can help Huazhu to seize the opportunities hidden in the covid-19 crisis. Some recommendations are provided as follows </w:t>
      </w:r>
    </w:p>
    <w:p>
      <w:pPr>
        <w:pStyle w:val="49"/>
        <w:numPr>
          <w:ilvl w:val="0"/>
          <w:numId w:val="3"/>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Consider the integration of technologies in the touchpoints where Huazhu interacts with customers directly to improve accommodation experience during covid-19. Some initiatives, such as self-check-in/out kiosks using mobile applications supported by facial recognition can offer a completely automated replacement of the standard -check-in/out services. The active use of mobile applications for service inquiry and providing can reduce direct contacts and promote automation during the covid-19. The deployment of smart robots powered by artificial intelligence can travel across hotels to delivery hotel amenities, and greet and guide customers can further realize contactless experience during covid-19. </w:t>
      </w:r>
    </w:p>
    <w:p>
      <w:pPr>
        <w:pStyle w:val="49"/>
        <w:numPr>
          <w:ilvl w:val="0"/>
          <w:numId w:val="3"/>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Revisit the safety standards issued by the local authorities and effectively communicate to the local management team through meetings, emails, or trainings. Establish a group-wise industry-leading codes of conduct to ensure the cleanliness of service provision, and communicate the codes of conduct and Huazhu’s active responses (such as the use of latest technologies) with customers through media press or direct mails or social media to address the potential concerns of customers. Huazhu should also monitor travel restrictions and inform customers upon arrival. Communication should be in an integrated way to address concerns and stimulate travel desire. </w:t>
      </w:r>
    </w:p>
    <w:p>
      <w:pPr>
        <w:pStyle w:val="49"/>
        <w:numPr>
          <w:ilvl w:val="0"/>
          <w:numId w:val="3"/>
        </w:numPr>
        <w:spacing w:before="156" w:beforeLines="50" w:after="156" w:afterLines="50" w:line="360" w:lineRule="auto"/>
        <w:ind w:firstLineChars="0"/>
        <w:jc w:val="both"/>
        <w:rPr>
          <w:rFonts w:hint="default" w:ascii="Arial" w:hAnsi="Arial" w:cs="Arial"/>
          <w:sz w:val="24"/>
          <w:szCs w:val="24"/>
        </w:rPr>
      </w:pPr>
      <w:r>
        <w:rPr>
          <w:rFonts w:hint="default" w:ascii="Arial" w:hAnsi="Arial" w:cs="Arial"/>
          <w:sz w:val="24"/>
          <w:szCs w:val="24"/>
        </w:rPr>
        <w:t xml:space="preserve">Roll out creative offerings during the covid-19 to boost demands from the customer sides in the local market as international travel is still not revived yet. Typical measures include the discounted prices, the additional benefits and bonuses served with booking (such as personal covid-19 free travel plan making, in-room dining and entertainment, hotel staycation offers, etc.) to boost the local hotel demands. Huazhu should leverage its ability in data management to personalize customer offerings based on patterns and preferences mined from their consumption history. </w:t>
      </w:r>
    </w:p>
    <w:p>
      <w:pPr>
        <w:pStyle w:val="2"/>
        <w:numPr>
          <w:ilvl w:val="0"/>
          <w:numId w:val="4"/>
        </w:numPr>
        <w:spacing w:before="156" w:beforeLines="50" w:after="156" w:afterLines="50" w:line="360" w:lineRule="auto"/>
        <w:jc w:val="both"/>
        <w:rPr>
          <w:rFonts w:hint="default" w:ascii="Arial" w:hAnsi="Arial" w:cs="Arial"/>
        </w:rPr>
      </w:pPr>
      <w:bookmarkStart w:id="9" w:name="_Toc98489113"/>
      <w:r>
        <w:rPr>
          <w:rFonts w:hint="default" w:ascii="Arial" w:hAnsi="Arial" w:cs="Arial"/>
        </w:rPr>
        <w:t>Conclusion</w:t>
      </w:r>
      <w:bookmarkEnd w:id="9"/>
      <w:r>
        <w:rPr>
          <w:rFonts w:hint="default" w:ascii="Arial" w:hAnsi="Arial" w:cs="Arial"/>
        </w:rPr>
        <w:t xml:space="preserve">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t xml:space="preserve">The report serves as a marketing report for Huazhu, a hotel chain with an international presence based in China. The strategic audit at different levels using various strategic marketing tools has indicated the issues facing Huazhu, such as lack of technology adoption to ensure contactless service, problematic profitability, ineffective communication across divisions, the ever-fierce competition, etc. The recommendations provided for Huazhu is to consider the further integration of technologies in the customer touchpoints to reduce contacts and promote convenience, the communication of industry-wise and corporate-specific codes of conduct to divisions and customers, the roll-out of special product offerings to boost demands in the local markets. </w:t>
      </w:r>
    </w:p>
    <w:p>
      <w:pPr>
        <w:spacing w:before="156" w:beforeLines="50" w:after="156" w:afterLines="50" w:line="360" w:lineRule="auto"/>
        <w:jc w:val="both"/>
        <w:rPr>
          <w:rFonts w:hint="default" w:ascii="Arial" w:hAnsi="Arial" w:cs="Arial"/>
          <w:sz w:val="24"/>
          <w:szCs w:val="24"/>
        </w:rPr>
      </w:pPr>
      <w:r>
        <w:rPr>
          <w:rFonts w:hint="default" w:ascii="Arial" w:hAnsi="Arial" w:cs="Arial"/>
          <w:sz w:val="24"/>
          <w:szCs w:val="24"/>
        </w:rPr>
        <w:br w:type="page"/>
      </w:r>
    </w:p>
    <w:p>
      <w:pPr>
        <w:pStyle w:val="2"/>
        <w:spacing w:before="156" w:beforeLines="50" w:after="156" w:afterLines="50" w:line="360" w:lineRule="auto"/>
        <w:jc w:val="both"/>
        <w:rPr>
          <w:rFonts w:hint="default" w:ascii="Arial" w:hAnsi="Arial" w:cs="Arial"/>
        </w:rPr>
      </w:pPr>
      <w:bookmarkStart w:id="10" w:name="_Toc98489114"/>
      <w:r>
        <w:rPr>
          <w:rFonts w:hint="default" w:ascii="Arial" w:hAnsi="Arial" w:cs="Arial"/>
        </w:rPr>
        <w:t>References</w:t>
      </w:r>
      <w:bookmarkEnd w:id="10"/>
      <w:r>
        <w:rPr>
          <w:rFonts w:hint="default" w:ascii="Arial" w:hAnsi="Arial" w:cs="Arial"/>
        </w:rPr>
        <w:t xml:space="preserve"> </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fldChar w:fldCharType="begin" w:fldLock="1"/>
      </w:r>
      <w:r>
        <w:rPr>
          <w:rFonts w:hint="default" w:ascii="Arial" w:hAnsi="Arial" w:cs="Arial"/>
          <w:sz w:val="24"/>
          <w:szCs w:val="24"/>
        </w:rPr>
        <w:instrText xml:space="preserve">ADDIN Mendeley Bibliography CSL_BIBLIOGRAPHY </w:instrText>
      </w:r>
      <w:r>
        <w:rPr>
          <w:rFonts w:hint="default" w:ascii="Arial" w:hAnsi="Arial" w:cs="Arial"/>
          <w:sz w:val="24"/>
          <w:szCs w:val="24"/>
        </w:rPr>
        <w:fldChar w:fldCharType="separate"/>
      </w:r>
      <w:r>
        <w:rPr>
          <w:rFonts w:hint="default" w:ascii="Arial" w:hAnsi="Arial" w:cs="Arial"/>
          <w:sz w:val="24"/>
          <w:szCs w:val="24"/>
        </w:rPr>
        <w:t xml:space="preserve">Bou-Karroum, L. </w:t>
      </w:r>
      <w:r>
        <w:rPr>
          <w:rFonts w:hint="default" w:ascii="Arial" w:hAnsi="Arial" w:cs="Arial"/>
          <w:i/>
          <w:iCs/>
          <w:sz w:val="24"/>
          <w:szCs w:val="24"/>
        </w:rPr>
        <w:t>et al.</w:t>
      </w:r>
      <w:r>
        <w:rPr>
          <w:rFonts w:hint="default" w:ascii="Arial" w:hAnsi="Arial" w:cs="Arial"/>
          <w:sz w:val="24"/>
          <w:szCs w:val="24"/>
        </w:rPr>
        <w:t xml:space="preserve"> (2021) ‘Public health effects of travel-related policies on the COVID-19 pandemic: a mixed-methods systematic review’, </w:t>
      </w:r>
      <w:r>
        <w:rPr>
          <w:rFonts w:hint="default" w:ascii="Arial" w:hAnsi="Arial" w:cs="Arial"/>
          <w:i/>
          <w:iCs/>
          <w:sz w:val="24"/>
          <w:szCs w:val="24"/>
        </w:rPr>
        <w:t>Journal of Infection</w:t>
      </w:r>
      <w:r>
        <w:rPr>
          <w:rFonts w:hint="default" w:ascii="Arial" w:hAnsi="Arial" w:cs="Arial"/>
          <w:sz w:val="24"/>
          <w:szCs w:val="24"/>
        </w:rPr>
        <w:t>, 83(4), pp. 413–423.</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Byrnes, K. G. </w:t>
      </w:r>
      <w:r>
        <w:rPr>
          <w:rFonts w:hint="default" w:ascii="Arial" w:hAnsi="Arial" w:cs="Arial"/>
          <w:i/>
          <w:iCs/>
          <w:sz w:val="24"/>
          <w:szCs w:val="24"/>
        </w:rPr>
        <w:t>et al.</w:t>
      </w:r>
      <w:r>
        <w:rPr>
          <w:rFonts w:hint="default" w:ascii="Arial" w:hAnsi="Arial" w:cs="Arial"/>
          <w:sz w:val="24"/>
          <w:szCs w:val="24"/>
        </w:rPr>
        <w:t xml:space="preserve"> (2021) ‘Communication, collaboration and contagion:"Virtualisation" of anatomy during COVID-19’, </w:t>
      </w:r>
      <w:r>
        <w:rPr>
          <w:rFonts w:hint="default" w:ascii="Arial" w:hAnsi="Arial" w:cs="Arial"/>
          <w:i/>
          <w:iCs/>
          <w:sz w:val="24"/>
          <w:szCs w:val="24"/>
        </w:rPr>
        <w:t>Clinical anatomy</w:t>
      </w:r>
      <w:r>
        <w:rPr>
          <w:rFonts w:hint="default" w:ascii="Arial" w:hAnsi="Arial" w:cs="Arial"/>
          <w:sz w:val="24"/>
          <w:szCs w:val="24"/>
        </w:rPr>
        <w:t>, 34(1), pp. 82–89.</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Chen, S.-H. </w:t>
      </w:r>
      <w:r>
        <w:rPr>
          <w:rFonts w:hint="default" w:ascii="Arial" w:hAnsi="Arial" w:cs="Arial"/>
          <w:i/>
          <w:iCs/>
          <w:sz w:val="24"/>
          <w:szCs w:val="24"/>
        </w:rPr>
        <w:t>et al.</w:t>
      </w:r>
      <w:r>
        <w:rPr>
          <w:rFonts w:hint="default" w:ascii="Arial" w:hAnsi="Arial" w:cs="Arial"/>
          <w:sz w:val="24"/>
          <w:szCs w:val="24"/>
        </w:rPr>
        <w:t xml:space="preserve"> (2021) ‘Hospitality services in the post COVID-19 era: Are we ready for high-tech and no touch service delivery in smart hotels?’, </w:t>
      </w:r>
      <w:r>
        <w:rPr>
          <w:rFonts w:hint="default" w:ascii="Arial" w:hAnsi="Arial" w:cs="Arial"/>
          <w:i/>
          <w:iCs/>
          <w:sz w:val="24"/>
          <w:szCs w:val="24"/>
        </w:rPr>
        <w:t>Journal of Hospitality Marketing &amp; Management</w:t>
      </w:r>
      <w:r>
        <w:rPr>
          <w:rFonts w:hint="default" w:ascii="Arial" w:hAnsi="Arial" w:cs="Arial"/>
          <w:sz w:val="24"/>
          <w:szCs w:val="24"/>
        </w:rPr>
        <w:t>, 30(8), pp. 905–928.</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China Travel News (2015) </w:t>
      </w:r>
      <w:r>
        <w:rPr>
          <w:rFonts w:hint="default" w:ascii="Arial" w:hAnsi="Arial" w:cs="Arial"/>
          <w:i/>
          <w:iCs/>
          <w:sz w:val="24"/>
          <w:szCs w:val="24"/>
        </w:rPr>
        <w:t xml:space="preserve">Huazhu Hotels plan - future is digital, but all stakeholders need to benefit </w:t>
      </w:r>
      <w:r>
        <w:rPr>
          <w:rFonts w:hint="default" w:ascii="Arial" w:hAnsi="Arial" w:cs="Arial"/>
          <w:sz w:val="24"/>
          <w:szCs w:val="24"/>
        </w:rPr>
        <w:t>. Available at: https://www.chinatravelnews.com/article/90007 (Accessed: 17 March 2022).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Choi, M. and Choi, Y. (2021) ‘Employee perceptions of hotel CSR activities during the COVID-19 pandemic’, </w:t>
      </w:r>
      <w:r>
        <w:rPr>
          <w:rFonts w:hint="default" w:ascii="Arial" w:hAnsi="Arial" w:cs="Arial"/>
          <w:i/>
          <w:iCs/>
          <w:sz w:val="24"/>
          <w:szCs w:val="24"/>
        </w:rPr>
        <w:t>International Journal of Contemporary Hospitality Management</w:t>
      </w:r>
      <w:r>
        <w:rPr>
          <w:rFonts w:hint="default" w:ascii="Arial" w:hAnsi="Arial" w:cs="Arial"/>
          <w:sz w:val="24"/>
          <w:szCs w:val="24"/>
        </w:rPr>
        <w:t>, 33(10), pp. 3355–3378. doi: 10.1108/IJCHM-03-2021-0289.</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Cravens, D. W. and Piercy, N. (2006) </w:t>
      </w:r>
      <w:r>
        <w:rPr>
          <w:rFonts w:hint="default" w:ascii="Arial" w:hAnsi="Arial" w:cs="Arial"/>
          <w:i/>
          <w:iCs/>
          <w:sz w:val="24"/>
          <w:szCs w:val="24"/>
        </w:rPr>
        <w:t>Strategic marketing</w:t>
      </w:r>
      <w:r>
        <w:rPr>
          <w:rFonts w:hint="default" w:ascii="Arial" w:hAnsi="Arial" w:cs="Arial"/>
          <w:sz w:val="24"/>
          <w:szCs w:val="24"/>
        </w:rPr>
        <w:t>. McGraw-Hill New York.</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Deloitte (2022) ‘The future of hospitality’.</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Denizci Guillet, B. and Chu, A. M. C. (2021) ‘Managing hotel revenue amid the COVID-19 crisis’, </w:t>
      </w:r>
      <w:r>
        <w:rPr>
          <w:rFonts w:hint="default" w:ascii="Arial" w:hAnsi="Arial" w:cs="Arial"/>
          <w:i/>
          <w:iCs/>
          <w:sz w:val="24"/>
          <w:szCs w:val="24"/>
        </w:rPr>
        <w:t>International Journal of Contemporary Hospitality Management</w:t>
      </w:r>
      <w:r>
        <w:rPr>
          <w:rFonts w:hint="default" w:ascii="Arial" w:hAnsi="Arial" w:cs="Arial"/>
          <w:sz w:val="24"/>
          <w:szCs w:val="24"/>
        </w:rPr>
        <w:t>, 33(2), pp. 604–627. doi: 10.1108/IJCHM-06-2020-0623.</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Egger, P. H. and Zhu, J. (2022) ‘How COVID-19 travels in-and outside of value chains and then affects the stock market: Evidence from China’, </w:t>
      </w:r>
      <w:r>
        <w:rPr>
          <w:rFonts w:hint="default" w:ascii="Arial" w:hAnsi="Arial" w:cs="Arial"/>
          <w:i/>
          <w:iCs/>
          <w:sz w:val="24"/>
          <w:szCs w:val="24"/>
        </w:rPr>
        <w:t>The World Economy</w:t>
      </w:r>
      <w:r>
        <w:rPr>
          <w:rFonts w:hint="default" w:ascii="Arial" w:hAnsi="Arial" w:cs="Arial"/>
          <w:sz w:val="24"/>
          <w:szCs w:val="24"/>
        </w:rPr>
        <w:t>, 45(2), pp. 523–538.</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Feng, L. </w:t>
      </w:r>
      <w:r>
        <w:rPr>
          <w:rFonts w:hint="default" w:ascii="Arial" w:hAnsi="Arial" w:cs="Arial"/>
          <w:i/>
          <w:iCs/>
          <w:sz w:val="24"/>
          <w:szCs w:val="24"/>
        </w:rPr>
        <w:t>et al.</w:t>
      </w:r>
      <w:r>
        <w:rPr>
          <w:rFonts w:hint="default" w:ascii="Arial" w:hAnsi="Arial" w:cs="Arial"/>
          <w:sz w:val="24"/>
          <w:szCs w:val="24"/>
        </w:rPr>
        <w:t xml:space="preserve"> (2021) ‘Impact of COVID-19 outbreaks and interventions on influenza in China and the United States’, </w:t>
      </w:r>
      <w:r>
        <w:rPr>
          <w:rFonts w:hint="default" w:ascii="Arial" w:hAnsi="Arial" w:cs="Arial"/>
          <w:i/>
          <w:iCs/>
          <w:sz w:val="24"/>
          <w:szCs w:val="24"/>
        </w:rPr>
        <w:t>Nature communications</w:t>
      </w:r>
      <w:r>
        <w:rPr>
          <w:rFonts w:hint="default" w:ascii="Arial" w:hAnsi="Arial" w:cs="Arial"/>
          <w:sz w:val="24"/>
          <w:szCs w:val="24"/>
        </w:rPr>
        <w:t>, 12(1), pp. 1–8.</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Filimonau, V., Derqui, B. and Matute, J. (2020) ‘The COVID-19 pandemic and organisational commitment of senior hotel managers’, </w:t>
      </w:r>
      <w:r>
        <w:rPr>
          <w:rFonts w:hint="default" w:ascii="Arial" w:hAnsi="Arial" w:cs="Arial"/>
          <w:i/>
          <w:iCs/>
          <w:sz w:val="24"/>
          <w:szCs w:val="24"/>
        </w:rPr>
        <w:t>International Journal of Hospitality Management</w:t>
      </w:r>
      <w:r>
        <w:rPr>
          <w:rFonts w:hint="default" w:ascii="Arial" w:hAnsi="Arial" w:cs="Arial"/>
          <w:sz w:val="24"/>
          <w:szCs w:val="24"/>
        </w:rPr>
        <w:t>, 91. doi: 10.1016/j.ijhm.2020.102659.</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Global Travel Media (2021) </w:t>
      </w:r>
      <w:r>
        <w:rPr>
          <w:rFonts w:hint="default" w:ascii="Arial" w:hAnsi="Arial" w:cs="Arial"/>
          <w:i/>
          <w:iCs/>
          <w:sz w:val="24"/>
          <w:szCs w:val="24"/>
        </w:rPr>
        <w:t>Huazhu Group selects Sabre to power its distribution strategy and support its next chapter of growth | Global Travel Media</w:t>
      </w:r>
      <w:r>
        <w:rPr>
          <w:rFonts w:hint="default" w:ascii="Arial" w:hAnsi="Arial" w:cs="Arial"/>
          <w:sz w:val="24"/>
          <w:szCs w:val="24"/>
        </w:rPr>
        <w:t>. Available at: https://eglobaltravelmedia.com.au/huazhu-group-selects-sabre-to-power-its-distribution-strategy-and-support-its-next-chapter-of-growth/ (Accessed: 18 March 2022).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Hameed, N., Mahomed, R. and Carvalho, I. (2021) ‘Measures to be implemented in the hotel buffets during the COVID-19 pandemic’, </w:t>
      </w:r>
      <w:r>
        <w:rPr>
          <w:rFonts w:hint="default" w:ascii="Arial" w:hAnsi="Arial" w:cs="Arial"/>
          <w:i/>
          <w:iCs/>
          <w:sz w:val="24"/>
          <w:szCs w:val="24"/>
        </w:rPr>
        <w:t>Anatolia</w:t>
      </w:r>
      <w:r>
        <w:rPr>
          <w:rFonts w:hint="default" w:ascii="Arial" w:hAnsi="Arial" w:cs="Arial"/>
          <w:sz w:val="24"/>
          <w:szCs w:val="24"/>
        </w:rPr>
        <w:t>, 32(1), pp. 172–175. doi: 10.1080/13032917.2020.1851553.</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Hospitality Net (2021) </w:t>
      </w:r>
      <w:r>
        <w:rPr>
          <w:rFonts w:hint="default" w:ascii="Arial" w:hAnsi="Arial" w:cs="Arial"/>
          <w:i/>
          <w:iCs/>
          <w:sz w:val="24"/>
          <w:szCs w:val="24"/>
        </w:rPr>
        <w:t>The role innovative technology will play in the hospitality industry post Covid</w:t>
      </w:r>
      <w:r>
        <w:rPr>
          <w:rFonts w:hint="default" w:ascii="Arial" w:hAnsi="Arial" w:cs="Arial"/>
          <w:sz w:val="24"/>
          <w:szCs w:val="24"/>
        </w:rPr>
        <w:t>. Available at: https://www.hospitalitynet.org/news/4104620.html (Accessed: 17 March 2022).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Huazhu (2021) </w:t>
      </w:r>
      <w:r>
        <w:rPr>
          <w:rFonts w:hint="default" w:ascii="Arial" w:hAnsi="Arial" w:cs="Arial"/>
          <w:i/>
          <w:iCs/>
          <w:sz w:val="24"/>
          <w:szCs w:val="24"/>
        </w:rPr>
        <w:t>Huazhu annual report 2020</w:t>
      </w:r>
      <w:r>
        <w:rPr>
          <w:rFonts w:hint="default" w:ascii="Arial" w:hAnsi="Arial" w:cs="Arial"/>
          <w:sz w:val="24"/>
          <w:szCs w:val="24"/>
        </w:rPr>
        <w:t>.</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Jiang, Y. and Wen, J. (2020) ‘Effects of COVID-19 on hotel marketing and management: a perspective article’, </w:t>
      </w:r>
      <w:r>
        <w:rPr>
          <w:rFonts w:hint="default" w:ascii="Arial" w:hAnsi="Arial" w:cs="Arial"/>
          <w:i/>
          <w:iCs/>
          <w:sz w:val="24"/>
          <w:szCs w:val="24"/>
        </w:rPr>
        <w:t>International Journal of Contemporary Hospitality Management</w:t>
      </w:r>
      <w:r>
        <w:rPr>
          <w:rFonts w:hint="default" w:ascii="Arial" w:hAnsi="Arial" w:cs="Arial"/>
          <w:sz w:val="24"/>
          <w:szCs w:val="24"/>
        </w:rPr>
        <w:t>, 32(8), pp. 2563–2573. doi: 10.1108/IJCHM-03-2020-0237.</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Kim, S. S. </w:t>
      </w:r>
      <w:r>
        <w:rPr>
          <w:rFonts w:hint="default" w:ascii="Arial" w:hAnsi="Arial" w:cs="Arial"/>
          <w:i/>
          <w:iCs/>
          <w:sz w:val="24"/>
          <w:szCs w:val="24"/>
        </w:rPr>
        <w:t>et al.</w:t>
      </w:r>
      <w:r>
        <w:rPr>
          <w:rFonts w:hint="default" w:ascii="Arial" w:hAnsi="Arial" w:cs="Arial"/>
          <w:sz w:val="24"/>
          <w:szCs w:val="24"/>
        </w:rPr>
        <w:t xml:space="preserve"> (2021) ‘Preference for robot service or human service in hotels? Impacts of the COVID-19 pandemic’, </w:t>
      </w:r>
      <w:r>
        <w:rPr>
          <w:rFonts w:hint="default" w:ascii="Arial" w:hAnsi="Arial" w:cs="Arial"/>
          <w:i/>
          <w:iCs/>
          <w:sz w:val="24"/>
          <w:szCs w:val="24"/>
        </w:rPr>
        <w:t>International Journal of Hospitality Management</w:t>
      </w:r>
      <w:r>
        <w:rPr>
          <w:rFonts w:hint="default" w:ascii="Arial" w:hAnsi="Arial" w:cs="Arial"/>
          <w:sz w:val="24"/>
          <w:szCs w:val="24"/>
        </w:rPr>
        <w:t>, 93, p. 102795.</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NBC News (2022) </w:t>
      </w:r>
      <w:r>
        <w:rPr>
          <w:rFonts w:hint="default" w:ascii="Arial" w:hAnsi="Arial" w:cs="Arial"/>
          <w:i/>
          <w:iCs/>
          <w:sz w:val="24"/>
          <w:szCs w:val="24"/>
        </w:rPr>
        <w:t>Covid hit the hotel industry hard. Data shows it’s still missing a key part of its business.</w:t>
      </w:r>
      <w:r>
        <w:rPr>
          <w:rFonts w:hint="default" w:ascii="Arial" w:hAnsi="Arial" w:cs="Arial"/>
          <w:sz w:val="24"/>
          <w:szCs w:val="24"/>
        </w:rPr>
        <w:t xml:space="preserve"> Available at: https://www.nbcnews.com/news/us-news/covid-hit-hotel-industry-hard-data-shows-it-s-still-n1280061 (Accessed: 17 March 2022).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Nhamo, G., Dube, K. and Chikodzi, D. (2020) ‘Impacts and implications of COVID-19 on the global hotel industry and Airbnb’, in </w:t>
      </w:r>
      <w:r>
        <w:rPr>
          <w:rFonts w:hint="default" w:ascii="Arial" w:hAnsi="Arial" w:cs="Arial"/>
          <w:i/>
          <w:iCs/>
          <w:sz w:val="24"/>
          <w:szCs w:val="24"/>
        </w:rPr>
        <w:t>Counting the cost of COVID-19 on the global tourism industry</w:t>
      </w:r>
      <w:r>
        <w:rPr>
          <w:rFonts w:hint="default" w:ascii="Arial" w:hAnsi="Arial" w:cs="Arial"/>
          <w:sz w:val="24"/>
          <w:szCs w:val="24"/>
        </w:rPr>
        <w:t>. Springer, pp. 183–204.</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Ran, L. </w:t>
      </w:r>
      <w:r>
        <w:rPr>
          <w:rFonts w:hint="default" w:ascii="Arial" w:hAnsi="Arial" w:cs="Arial"/>
          <w:i/>
          <w:iCs/>
          <w:sz w:val="24"/>
          <w:szCs w:val="24"/>
        </w:rPr>
        <w:t>et al.</w:t>
      </w:r>
      <w:r>
        <w:rPr>
          <w:rFonts w:hint="default" w:ascii="Arial" w:hAnsi="Arial" w:cs="Arial"/>
          <w:sz w:val="24"/>
          <w:szCs w:val="24"/>
        </w:rPr>
        <w:t xml:space="preserve"> (2021) ‘Marketing China to US travelers through electronic word-of-mouth and destination image: Taking Beijing as an example’, </w:t>
      </w:r>
      <w:r>
        <w:rPr>
          <w:rFonts w:hint="default" w:ascii="Arial" w:hAnsi="Arial" w:cs="Arial"/>
          <w:i/>
          <w:iCs/>
          <w:sz w:val="24"/>
          <w:szCs w:val="24"/>
        </w:rPr>
        <w:t>Journal of Vacation Marketing</w:t>
      </w:r>
      <w:r>
        <w:rPr>
          <w:rFonts w:hint="default" w:ascii="Arial" w:hAnsi="Arial" w:cs="Arial"/>
          <w:sz w:val="24"/>
          <w:szCs w:val="24"/>
        </w:rPr>
        <w:t>, 27(3), pp. 267–286.</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SHINE News (2021) </w:t>
      </w:r>
      <w:r>
        <w:rPr>
          <w:rFonts w:hint="default" w:ascii="Arial" w:hAnsi="Arial" w:cs="Arial"/>
          <w:i/>
          <w:iCs/>
          <w:sz w:val="24"/>
          <w:szCs w:val="24"/>
        </w:rPr>
        <w:t xml:space="preserve">Latest digitalization efforts on show at Exposition on China Indigenous Brands </w:t>
      </w:r>
      <w:r>
        <w:rPr>
          <w:rFonts w:hint="default" w:ascii="Arial" w:hAnsi="Arial" w:cs="Arial"/>
          <w:sz w:val="24"/>
          <w:szCs w:val="24"/>
        </w:rPr>
        <w:t>. Available at: https://www.shine.cn/biz/economy/2105098609/ (Accessed: 17 March 2022).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Sun, S. </w:t>
      </w:r>
      <w:r>
        <w:rPr>
          <w:rFonts w:hint="default" w:ascii="Arial" w:hAnsi="Arial" w:cs="Arial"/>
          <w:i/>
          <w:iCs/>
          <w:sz w:val="24"/>
          <w:szCs w:val="24"/>
        </w:rPr>
        <w:t>et al.</w:t>
      </w:r>
      <w:r>
        <w:rPr>
          <w:rFonts w:hint="default" w:ascii="Arial" w:hAnsi="Arial" w:cs="Arial"/>
          <w:sz w:val="24"/>
          <w:szCs w:val="24"/>
        </w:rPr>
        <w:t xml:space="preserve"> (2021) ‘COVID-19 and healthcare system in China: challenges and progression for a sustainable future’, </w:t>
      </w:r>
      <w:r>
        <w:rPr>
          <w:rFonts w:hint="default" w:ascii="Arial" w:hAnsi="Arial" w:cs="Arial"/>
          <w:i/>
          <w:iCs/>
          <w:sz w:val="24"/>
          <w:szCs w:val="24"/>
        </w:rPr>
        <w:t>Globalization and Health</w:t>
      </w:r>
      <w:r>
        <w:rPr>
          <w:rFonts w:hint="default" w:ascii="Arial" w:hAnsi="Arial" w:cs="Arial"/>
          <w:sz w:val="24"/>
          <w:szCs w:val="24"/>
        </w:rPr>
        <w:t>, 17(1), pp. 1–8.</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Wang, C. </w:t>
      </w:r>
      <w:r>
        <w:rPr>
          <w:rFonts w:hint="default" w:ascii="Arial" w:hAnsi="Arial" w:cs="Arial"/>
          <w:i/>
          <w:iCs/>
          <w:sz w:val="24"/>
          <w:szCs w:val="24"/>
        </w:rPr>
        <w:t>et al.</w:t>
      </w:r>
      <w:r>
        <w:rPr>
          <w:rFonts w:hint="default" w:ascii="Arial" w:hAnsi="Arial" w:cs="Arial"/>
          <w:sz w:val="24"/>
          <w:szCs w:val="24"/>
        </w:rPr>
        <w:t xml:space="preserve"> (2021) ‘The impact of the COVID-19 pandemic on physical and mental health in the two largest economies in the world: a comparison between the United States and China’, </w:t>
      </w:r>
      <w:r>
        <w:rPr>
          <w:rFonts w:hint="default" w:ascii="Arial" w:hAnsi="Arial" w:cs="Arial"/>
          <w:i/>
          <w:iCs/>
          <w:sz w:val="24"/>
          <w:szCs w:val="24"/>
        </w:rPr>
        <w:t>Journal of behavioral medicine</w:t>
      </w:r>
      <w:r>
        <w:rPr>
          <w:rFonts w:hint="default" w:ascii="Arial" w:hAnsi="Arial" w:cs="Arial"/>
          <w:sz w:val="24"/>
          <w:szCs w:val="24"/>
        </w:rPr>
        <w:t>, 44(6), pp. 741–759.</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Wang, Y. </w:t>
      </w:r>
      <w:r>
        <w:rPr>
          <w:rFonts w:hint="default" w:ascii="Arial" w:hAnsi="Arial" w:cs="Arial"/>
          <w:i/>
          <w:iCs/>
          <w:sz w:val="24"/>
          <w:szCs w:val="24"/>
        </w:rPr>
        <w:t>et al.</w:t>
      </w:r>
      <w:r>
        <w:rPr>
          <w:rFonts w:hint="default" w:ascii="Arial" w:hAnsi="Arial" w:cs="Arial"/>
          <w:sz w:val="24"/>
          <w:szCs w:val="24"/>
        </w:rPr>
        <w:t xml:space="preserve"> (2021) ‘The impact of quarantine on mental health status among general population in China during the COVID-19 pandemic’, </w:t>
      </w:r>
      <w:r>
        <w:rPr>
          <w:rFonts w:hint="default" w:ascii="Arial" w:hAnsi="Arial" w:cs="Arial"/>
          <w:i/>
          <w:iCs/>
          <w:sz w:val="24"/>
          <w:szCs w:val="24"/>
        </w:rPr>
        <w:t>Molecular psychiatry</w:t>
      </w:r>
      <w:r>
        <w:rPr>
          <w:rFonts w:hint="default" w:ascii="Arial" w:hAnsi="Arial" w:cs="Arial"/>
          <w:sz w:val="24"/>
          <w:szCs w:val="24"/>
        </w:rPr>
        <w:t>, 26(9), pp. 4813–4822.</w:t>
      </w:r>
    </w:p>
    <w:p>
      <w:pPr>
        <w:autoSpaceDE w:val="0"/>
        <w:autoSpaceDN w:val="0"/>
        <w:adjustRightInd w:val="0"/>
        <w:spacing w:before="156" w:beforeLines="50" w:after="312" w:afterLines="100" w:line="360" w:lineRule="auto"/>
        <w:rPr>
          <w:rFonts w:hint="default" w:ascii="Arial" w:hAnsi="Arial" w:cs="Arial"/>
          <w:sz w:val="24"/>
          <w:szCs w:val="24"/>
        </w:rPr>
      </w:pPr>
      <w:r>
        <w:rPr>
          <w:rFonts w:hint="default" w:ascii="Arial" w:hAnsi="Arial" w:cs="Arial"/>
          <w:sz w:val="24"/>
          <w:szCs w:val="24"/>
        </w:rPr>
        <w:t xml:space="preserve">Woyo, E. and Nyamandi, C. (2022) ‘Application of virtual reality technologies in the comrades' marathon as a response to COVID-19 pandemic’, </w:t>
      </w:r>
      <w:r>
        <w:rPr>
          <w:rFonts w:hint="default" w:ascii="Arial" w:hAnsi="Arial" w:cs="Arial"/>
          <w:i/>
          <w:iCs/>
          <w:sz w:val="24"/>
          <w:szCs w:val="24"/>
        </w:rPr>
        <w:t>Development Southern Africa</w:t>
      </w:r>
      <w:r>
        <w:rPr>
          <w:rFonts w:hint="default" w:ascii="Arial" w:hAnsi="Arial" w:cs="Arial"/>
          <w:sz w:val="24"/>
          <w:szCs w:val="24"/>
        </w:rPr>
        <w:t>, 39(1), pp. 20–34.</w:t>
      </w:r>
    </w:p>
    <w:p>
      <w:pPr>
        <w:autoSpaceDE w:val="0"/>
        <w:autoSpaceDN w:val="0"/>
        <w:adjustRightInd w:val="0"/>
        <w:spacing w:before="156" w:beforeLines="50" w:after="312" w:afterLines="100" w:line="360" w:lineRule="auto"/>
        <w:rPr>
          <w:rFonts w:hint="default" w:ascii="Arial" w:hAnsi="Arial" w:cs="Arial"/>
          <w:sz w:val="24"/>
        </w:rPr>
      </w:pPr>
      <w:r>
        <w:rPr>
          <w:rFonts w:hint="default" w:ascii="Arial" w:hAnsi="Arial" w:cs="Arial"/>
          <w:sz w:val="24"/>
          <w:szCs w:val="24"/>
        </w:rPr>
        <w:t xml:space="preserve">YiCai Global (2020) </w:t>
      </w:r>
      <w:r>
        <w:rPr>
          <w:rFonts w:hint="default" w:ascii="Arial" w:hAnsi="Arial" w:cs="Arial"/>
          <w:i/>
          <w:iCs/>
          <w:sz w:val="24"/>
          <w:szCs w:val="24"/>
        </w:rPr>
        <w:t>China’s Huazhu Has 90% of Hotels Open Amid Covid-19 Battle</w:t>
      </w:r>
      <w:r>
        <w:rPr>
          <w:rFonts w:hint="default" w:ascii="Arial" w:hAnsi="Arial" w:cs="Arial"/>
          <w:sz w:val="24"/>
          <w:szCs w:val="24"/>
        </w:rPr>
        <w:t>. Available at: https://www.yicaiglobal.com/news/china-huazhu-has-90-of-hotels-open-amid-covid-19-battle (Accessed: 17 March 2022).</w:t>
      </w:r>
    </w:p>
    <w:p>
      <w:pPr>
        <w:spacing w:before="156" w:beforeLines="50" w:after="312" w:afterLines="100" w:line="360" w:lineRule="auto"/>
        <w:jc w:val="both"/>
        <w:rPr>
          <w:rFonts w:ascii="Times New Roman" w:hAnsi="Times New Roman" w:cs="Times New Roman"/>
        </w:rPr>
      </w:pPr>
      <w:r>
        <w:rPr>
          <w:rFonts w:hint="default" w:ascii="Arial" w:hAnsi="Arial" w:cs="Arial"/>
          <w:sz w:val="24"/>
          <w:szCs w:val="24"/>
        </w:rPr>
        <w:fldChar w:fldCharType="end"/>
      </w:r>
    </w:p>
    <w:p>
      <w:pPr>
        <w:spacing w:before="156" w:beforeLines="50" w:after="156" w:afterLines="50" w:line="360" w:lineRule="auto"/>
        <w:jc w:val="both"/>
        <w:rPr>
          <w:rFonts w:ascii="Times New Roman" w:hAnsi="Times New Roman" w:cs="Times New Roman"/>
        </w:rPr>
      </w:pPr>
    </w:p>
    <w:sectPr>
      <w:footerReference r:id="rId6" w:type="default"/>
      <w:pgSz w:w="11906" w:h="16838"/>
      <w:pgMar w:top="1440" w:right="1080" w:bottom="1440" w:left="108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Malgun Gothic">
    <w:panose1 w:val="020B0503020000020004"/>
    <w:charset w:val="81"/>
    <w:family w:val="swiss"/>
    <w:pitch w:val="default"/>
    <w:sig w:usb0="9000002F" w:usb1="29D77CFB" w:usb2="00000012" w:usb3="00000000" w:csb0="00080001"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ind w:right="180"/>
      <w:jc w:val="right"/>
    </w:pPr>
  </w:p>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84365787"/>
      <w:docPartObj>
        <w:docPartGallery w:val="AutoText"/>
      </w:docPartObj>
    </w:sdtPr>
    <w:sdtContent>
      <w:p>
        <w:pPr>
          <w:pStyle w:val="13"/>
          <w:jc w:val="right"/>
        </w:pPr>
        <w:r>
          <w:fldChar w:fldCharType="begin"/>
        </w:r>
        <w:r>
          <w:instrText xml:space="preserve">PAGE   \* MERGEFORMAT</w:instrText>
        </w:r>
        <w:r>
          <w:fldChar w:fldCharType="separate"/>
        </w:r>
        <w:r>
          <w:rPr>
            <w:lang w:val="zh-CN"/>
          </w:rPr>
          <w:t>2</w:t>
        </w:r>
        <w: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88" w:lineRule="auto"/>
      </w:pPr>
      <w:r>
        <w:separator/>
      </w:r>
    </w:p>
  </w:footnote>
  <w:footnote w:type="continuationSeparator" w:id="1">
    <w:p>
      <w:pPr>
        <w:spacing w:before="0" w:after="0" w:line="28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F12E6C"/>
    <w:multiLevelType w:val="multilevel"/>
    <w:tmpl w:val="04F12E6C"/>
    <w:lvl w:ilvl="0" w:tentative="0">
      <w:start w:val="2"/>
      <w:numFmt w:val="bullet"/>
      <w:lvlText w:val="-"/>
      <w:lvlJc w:val="left"/>
      <w:pPr>
        <w:ind w:left="360" w:hanging="360"/>
      </w:pPr>
      <w:rPr>
        <w:rFonts w:hint="eastAsia" w:ascii="等线" w:hAnsi="等线" w:eastAsia="等线" w:cstheme="minorBidi"/>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475E1786"/>
    <w:multiLevelType w:val="multilevel"/>
    <w:tmpl w:val="475E1786"/>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5D2B1191"/>
    <w:multiLevelType w:val="multilevel"/>
    <w:tmpl w:val="5D2B1191"/>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6AF17DCA"/>
    <w:multiLevelType w:val="multilevel"/>
    <w:tmpl w:val="6AF17DCA"/>
    <w:lvl w:ilvl="0" w:tentative="0">
      <w:start w:val="3"/>
      <w:numFmt w:val="decimal"/>
      <w:lvlText w:val="%1."/>
      <w:lvlJc w:val="left"/>
      <w:pPr>
        <w:ind w:left="360" w:hanging="36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6500"/>
    <w:rsid w:val="00022C24"/>
    <w:rsid w:val="000360E2"/>
    <w:rsid w:val="00036500"/>
    <w:rsid w:val="00045A74"/>
    <w:rsid w:val="000E5125"/>
    <w:rsid w:val="00130CFC"/>
    <w:rsid w:val="00144A60"/>
    <w:rsid w:val="0014575B"/>
    <w:rsid w:val="00190287"/>
    <w:rsid w:val="001D0128"/>
    <w:rsid w:val="002019C2"/>
    <w:rsid w:val="00241368"/>
    <w:rsid w:val="00260886"/>
    <w:rsid w:val="0026501F"/>
    <w:rsid w:val="002D2F28"/>
    <w:rsid w:val="002D562F"/>
    <w:rsid w:val="002E5E47"/>
    <w:rsid w:val="002F63CA"/>
    <w:rsid w:val="00300981"/>
    <w:rsid w:val="003B0840"/>
    <w:rsid w:val="004054E4"/>
    <w:rsid w:val="0043082D"/>
    <w:rsid w:val="00436B4F"/>
    <w:rsid w:val="00464300"/>
    <w:rsid w:val="0048108F"/>
    <w:rsid w:val="004817AA"/>
    <w:rsid w:val="0055442A"/>
    <w:rsid w:val="00573466"/>
    <w:rsid w:val="00575151"/>
    <w:rsid w:val="00583B6F"/>
    <w:rsid w:val="005B3E10"/>
    <w:rsid w:val="00611B2C"/>
    <w:rsid w:val="006645A9"/>
    <w:rsid w:val="00685CDF"/>
    <w:rsid w:val="00693E6C"/>
    <w:rsid w:val="006D16C7"/>
    <w:rsid w:val="006D5BAE"/>
    <w:rsid w:val="006E57F7"/>
    <w:rsid w:val="00711CB1"/>
    <w:rsid w:val="007238CB"/>
    <w:rsid w:val="00735A47"/>
    <w:rsid w:val="00745C4B"/>
    <w:rsid w:val="00750D08"/>
    <w:rsid w:val="007E477F"/>
    <w:rsid w:val="00824305"/>
    <w:rsid w:val="008A0AB7"/>
    <w:rsid w:val="008C6C39"/>
    <w:rsid w:val="00933F26"/>
    <w:rsid w:val="009554CA"/>
    <w:rsid w:val="00976261"/>
    <w:rsid w:val="00984B7A"/>
    <w:rsid w:val="009D3480"/>
    <w:rsid w:val="00A06A3D"/>
    <w:rsid w:val="00A23128"/>
    <w:rsid w:val="00A72729"/>
    <w:rsid w:val="00AD36B1"/>
    <w:rsid w:val="00AE6E71"/>
    <w:rsid w:val="00B06E31"/>
    <w:rsid w:val="00B2260F"/>
    <w:rsid w:val="00B2477C"/>
    <w:rsid w:val="00B6147B"/>
    <w:rsid w:val="00BA79E7"/>
    <w:rsid w:val="00BC1567"/>
    <w:rsid w:val="00BE535D"/>
    <w:rsid w:val="00BE771E"/>
    <w:rsid w:val="00C022B4"/>
    <w:rsid w:val="00C62485"/>
    <w:rsid w:val="00C73C16"/>
    <w:rsid w:val="00CE2AC3"/>
    <w:rsid w:val="00CE3324"/>
    <w:rsid w:val="00D13E49"/>
    <w:rsid w:val="00D17B05"/>
    <w:rsid w:val="00D57180"/>
    <w:rsid w:val="00DF767F"/>
    <w:rsid w:val="00E07F5D"/>
    <w:rsid w:val="00E43A47"/>
    <w:rsid w:val="00E51F80"/>
    <w:rsid w:val="00EF712B"/>
    <w:rsid w:val="00F05356"/>
    <w:rsid w:val="00F07B44"/>
    <w:rsid w:val="00F15F2A"/>
    <w:rsid w:val="00F365DF"/>
    <w:rsid w:val="00F63B70"/>
    <w:rsid w:val="00F73F55"/>
    <w:rsid w:val="00F833B6"/>
    <w:rsid w:val="00FC2A1D"/>
    <w:rsid w:val="3D4A77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88"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27"/>
    <w:qFormat/>
    <w:uiPriority w:val="9"/>
    <w:pPr>
      <w:keepNext/>
      <w:keepLines/>
      <w:spacing w:before="360" w:after="40" w:line="240" w:lineRule="auto"/>
      <w:outlineLvl w:val="0"/>
    </w:pPr>
    <w:rPr>
      <w:rFonts w:asciiTheme="majorHAnsi" w:hAnsiTheme="majorHAnsi" w:eastAsiaTheme="majorEastAsia" w:cstheme="majorBidi"/>
      <w:color w:val="1D6295" w:themeColor="accent6" w:themeShade="BF"/>
      <w:sz w:val="40"/>
      <w:szCs w:val="40"/>
    </w:rPr>
  </w:style>
  <w:style w:type="paragraph" w:styleId="3">
    <w:name w:val="heading 2"/>
    <w:basedOn w:val="1"/>
    <w:next w:val="1"/>
    <w:link w:val="28"/>
    <w:unhideWhenUsed/>
    <w:qFormat/>
    <w:uiPriority w:val="9"/>
    <w:pPr>
      <w:keepNext/>
      <w:keepLines/>
      <w:spacing w:before="80" w:after="0" w:line="240" w:lineRule="auto"/>
      <w:outlineLvl w:val="1"/>
    </w:pPr>
    <w:rPr>
      <w:rFonts w:asciiTheme="majorHAnsi" w:hAnsiTheme="majorHAnsi" w:eastAsiaTheme="majorEastAsia" w:cstheme="majorBidi"/>
      <w:color w:val="1D6295" w:themeColor="accent6" w:themeShade="BF"/>
      <w:sz w:val="28"/>
      <w:szCs w:val="28"/>
    </w:rPr>
  </w:style>
  <w:style w:type="paragraph" w:styleId="4">
    <w:name w:val="heading 3"/>
    <w:basedOn w:val="1"/>
    <w:next w:val="1"/>
    <w:link w:val="29"/>
    <w:unhideWhenUsed/>
    <w:qFormat/>
    <w:uiPriority w:val="9"/>
    <w:pPr>
      <w:keepNext/>
      <w:keepLines/>
      <w:spacing w:before="80" w:after="0" w:line="240" w:lineRule="auto"/>
      <w:outlineLvl w:val="2"/>
    </w:pPr>
    <w:rPr>
      <w:rFonts w:asciiTheme="majorHAnsi" w:hAnsiTheme="majorHAnsi" w:eastAsiaTheme="majorEastAsia" w:cstheme="majorBidi"/>
      <w:color w:val="1D6295" w:themeColor="accent6" w:themeShade="BF"/>
      <w:sz w:val="24"/>
      <w:szCs w:val="24"/>
    </w:rPr>
  </w:style>
  <w:style w:type="paragraph" w:styleId="5">
    <w:name w:val="heading 4"/>
    <w:basedOn w:val="1"/>
    <w:next w:val="1"/>
    <w:link w:val="30"/>
    <w:semiHidden/>
    <w:unhideWhenUsed/>
    <w:qFormat/>
    <w:uiPriority w:val="9"/>
    <w:pPr>
      <w:keepNext/>
      <w:keepLines/>
      <w:spacing w:before="80" w:after="0"/>
      <w:outlineLvl w:val="3"/>
    </w:pPr>
    <w:rPr>
      <w:rFonts w:asciiTheme="majorHAnsi" w:hAnsiTheme="majorHAnsi" w:eastAsiaTheme="majorEastAsia" w:cstheme="majorBidi"/>
      <w:color w:val="2683C6" w:themeColor="accent6"/>
      <w:sz w:val="22"/>
      <w:szCs w:val="22"/>
      <w14:textFill>
        <w14:solidFill>
          <w14:schemeClr w14:val="accent6"/>
        </w14:solidFill>
      </w14:textFill>
    </w:rPr>
  </w:style>
  <w:style w:type="paragraph" w:styleId="6">
    <w:name w:val="heading 5"/>
    <w:basedOn w:val="1"/>
    <w:next w:val="1"/>
    <w:link w:val="31"/>
    <w:semiHidden/>
    <w:unhideWhenUsed/>
    <w:qFormat/>
    <w:uiPriority w:val="9"/>
    <w:pPr>
      <w:keepNext/>
      <w:keepLines/>
      <w:spacing w:before="40" w:after="0"/>
      <w:outlineLvl w:val="4"/>
    </w:pPr>
    <w:rPr>
      <w:rFonts w:asciiTheme="majorHAnsi" w:hAnsiTheme="majorHAnsi" w:eastAsiaTheme="majorEastAsia" w:cstheme="majorBidi"/>
      <w:i/>
      <w:iCs/>
      <w:color w:val="2683C6" w:themeColor="accent6"/>
      <w:sz w:val="22"/>
      <w:szCs w:val="22"/>
      <w14:textFill>
        <w14:solidFill>
          <w14:schemeClr w14:val="accent6"/>
        </w14:solidFill>
      </w14:textFill>
    </w:rPr>
  </w:style>
  <w:style w:type="paragraph" w:styleId="7">
    <w:name w:val="heading 6"/>
    <w:basedOn w:val="1"/>
    <w:next w:val="1"/>
    <w:link w:val="32"/>
    <w:semiHidden/>
    <w:unhideWhenUsed/>
    <w:qFormat/>
    <w:uiPriority w:val="9"/>
    <w:pPr>
      <w:keepNext/>
      <w:keepLines/>
      <w:spacing w:before="40" w:after="0"/>
      <w:outlineLvl w:val="5"/>
    </w:pPr>
    <w:rPr>
      <w:rFonts w:asciiTheme="majorHAnsi" w:hAnsiTheme="majorHAnsi" w:eastAsiaTheme="majorEastAsia" w:cstheme="majorBidi"/>
      <w:color w:val="2683C6" w:themeColor="accent6"/>
      <w14:textFill>
        <w14:solidFill>
          <w14:schemeClr w14:val="accent6"/>
        </w14:solidFill>
      </w14:textFill>
    </w:rPr>
  </w:style>
  <w:style w:type="paragraph" w:styleId="8">
    <w:name w:val="heading 7"/>
    <w:basedOn w:val="1"/>
    <w:next w:val="1"/>
    <w:link w:val="33"/>
    <w:semiHidden/>
    <w:unhideWhenUsed/>
    <w:qFormat/>
    <w:uiPriority w:val="9"/>
    <w:pPr>
      <w:keepNext/>
      <w:keepLines/>
      <w:spacing w:before="40" w:after="0"/>
      <w:outlineLvl w:val="6"/>
    </w:pPr>
    <w:rPr>
      <w:rFonts w:asciiTheme="majorHAnsi" w:hAnsiTheme="majorHAnsi" w:eastAsiaTheme="majorEastAsia" w:cstheme="majorBidi"/>
      <w:b/>
      <w:bCs/>
      <w:color w:val="2683C6" w:themeColor="accent6"/>
      <w14:textFill>
        <w14:solidFill>
          <w14:schemeClr w14:val="accent6"/>
        </w14:solidFill>
      </w14:textFill>
    </w:rPr>
  </w:style>
  <w:style w:type="paragraph" w:styleId="9">
    <w:name w:val="heading 8"/>
    <w:basedOn w:val="1"/>
    <w:next w:val="1"/>
    <w:link w:val="34"/>
    <w:semiHidden/>
    <w:unhideWhenUsed/>
    <w:qFormat/>
    <w:uiPriority w:val="9"/>
    <w:pPr>
      <w:keepNext/>
      <w:keepLines/>
      <w:spacing w:before="40" w:after="0"/>
      <w:outlineLvl w:val="7"/>
    </w:pPr>
    <w:rPr>
      <w:rFonts w:asciiTheme="majorHAnsi" w:hAnsiTheme="majorHAnsi" w:eastAsiaTheme="majorEastAsia" w:cstheme="majorBidi"/>
      <w:b/>
      <w:bCs/>
      <w:i/>
      <w:iCs/>
      <w:color w:val="2683C6" w:themeColor="accent6"/>
      <w:sz w:val="20"/>
      <w:szCs w:val="20"/>
      <w14:textFill>
        <w14:solidFill>
          <w14:schemeClr w14:val="accent6"/>
        </w14:solidFill>
      </w14:textFill>
    </w:rPr>
  </w:style>
  <w:style w:type="paragraph" w:styleId="10">
    <w:name w:val="heading 9"/>
    <w:basedOn w:val="1"/>
    <w:next w:val="1"/>
    <w:link w:val="35"/>
    <w:semiHidden/>
    <w:unhideWhenUsed/>
    <w:qFormat/>
    <w:uiPriority w:val="9"/>
    <w:pPr>
      <w:keepNext/>
      <w:keepLines/>
      <w:spacing w:before="40" w:after="0"/>
      <w:outlineLvl w:val="8"/>
    </w:pPr>
    <w:rPr>
      <w:rFonts w:asciiTheme="majorHAnsi" w:hAnsiTheme="majorHAnsi" w:eastAsiaTheme="majorEastAsia" w:cstheme="majorBidi"/>
      <w:i/>
      <w:iCs/>
      <w:color w:val="2683C6" w:themeColor="accent6"/>
      <w:sz w:val="20"/>
      <w:szCs w:val="20"/>
      <w14:textFill>
        <w14:solidFill>
          <w14:schemeClr w14:val="accent6"/>
        </w14:solidFill>
      </w14:textFill>
    </w:rPr>
  </w:style>
  <w:style w:type="character" w:default="1" w:styleId="22">
    <w:name w:val="Default Paragraph Font"/>
    <w:semiHidden/>
    <w:unhideWhenUsed/>
    <w:qFormat/>
    <w:uiPriority w:val="1"/>
  </w:style>
  <w:style w:type="table" w:default="1" w:styleId="20">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smallCaps/>
      <w:color w:val="595959" w:themeColor="text1" w:themeTint="A6"/>
      <w14:textFill>
        <w14:solidFill>
          <w14:schemeClr w14:val="tx1">
            <w14:lumMod w14:val="65000"/>
            <w14:lumOff w14:val="35000"/>
          </w14:schemeClr>
        </w14:solidFill>
      </w14:textFill>
    </w:rPr>
  </w:style>
  <w:style w:type="paragraph" w:styleId="12">
    <w:name w:val="toc 3"/>
    <w:basedOn w:val="1"/>
    <w:next w:val="1"/>
    <w:unhideWhenUsed/>
    <w:uiPriority w:val="39"/>
    <w:pPr>
      <w:ind w:left="840" w:leftChars="400"/>
    </w:pPr>
  </w:style>
  <w:style w:type="paragraph" w:styleId="13">
    <w:name w:val="footer"/>
    <w:basedOn w:val="1"/>
    <w:link w:val="52"/>
    <w:unhideWhenUsed/>
    <w:uiPriority w:val="99"/>
    <w:pPr>
      <w:tabs>
        <w:tab w:val="center" w:pos="4153"/>
        <w:tab w:val="right" w:pos="8306"/>
      </w:tabs>
      <w:snapToGrid w:val="0"/>
      <w:spacing w:line="240" w:lineRule="auto"/>
    </w:pPr>
    <w:rPr>
      <w:sz w:val="18"/>
      <w:szCs w:val="18"/>
    </w:rPr>
  </w:style>
  <w:style w:type="paragraph" w:styleId="14">
    <w:name w:val="header"/>
    <w:basedOn w:val="1"/>
    <w:link w:val="51"/>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5">
    <w:name w:val="toc 1"/>
    <w:basedOn w:val="1"/>
    <w:next w:val="1"/>
    <w:unhideWhenUsed/>
    <w:uiPriority w:val="39"/>
  </w:style>
  <w:style w:type="paragraph" w:styleId="16">
    <w:name w:val="Subtitle"/>
    <w:basedOn w:val="1"/>
    <w:next w:val="1"/>
    <w:link w:val="37"/>
    <w:qFormat/>
    <w:uiPriority w:val="11"/>
    <w:pPr>
      <w:spacing w:line="240" w:lineRule="auto"/>
    </w:pPr>
    <w:rPr>
      <w:rFonts w:asciiTheme="majorHAnsi" w:hAnsiTheme="majorHAnsi" w:eastAsiaTheme="majorEastAsia" w:cstheme="majorBidi"/>
      <w:sz w:val="30"/>
      <w:szCs w:val="30"/>
    </w:rPr>
  </w:style>
  <w:style w:type="paragraph" w:styleId="17">
    <w:name w:val="footnote text"/>
    <w:basedOn w:val="1"/>
    <w:link w:val="50"/>
    <w:semiHidden/>
    <w:unhideWhenUsed/>
    <w:qFormat/>
    <w:uiPriority w:val="99"/>
    <w:pPr>
      <w:snapToGrid w:val="0"/>
    </w:pPr>
    <w:rPr>
      <w:sz w:val="18"/>
      <w:szCs w:val="18"/>
    </w:rPr>
  </w:style>
  <w:style w:type="paragraph" w:styleId="18">
    <w:name w:val="toc 2"/>
    <w:basedOn w:val="1"/>
    <w:next w:val="1"/>
    <w:unhideWhenUsed/>
    <w:uiPriority w:val="39"/>
    <w:pPr>
      <w:ind w:left="420" w:leftChars="200"/>
    </w:pPr>
  </w:style>
  <w:style w:type="paragraph" w:styleId="19">
    <w:name w:val="Title"/>
    <w:basedOn w:val="1"/>
    <w:next w:val="1"/>
    <w:link w:val="36"/>
    <w:qFormat/>
    <w:uiPriority w:val="10"/>
    <w:pPr>
      <w:spacing w:after="0" w:line="240" w:lineRule="auto"/>
      <w:contextualSpacing/>
    </w:pPr>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table" w:styleId="21">
    <w:name w:val="Table Grid"/>
    <w:basedOn w:val="20"/>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3">
    <w:name w:val="Strong"/>
    <w:basedOn w:val="22"/>
    <w:qFormat/>
    <w:uiPriority w:val="22"/>
    <w:rPr>
      <w:b/>
      <w:bCs/>
    </w:rPr>
  </w:style>
  <w:style w:type="character" w:styleId="24">
    <w:name w:val="Emphasis"/>
    <w:basedOn w:val="22"/>
    <w:qFormat/>
    <w:uiPriority w:val="20"/>
    <w:rPr>
      <w:i/>
      <w:iCs/>
      <w:color w:val="2683C6" w:themeColor="accent6"/>
      <w14:textFill>
        <w14:solidFill>
          <w14:schemeClr w14:val="accent6"/>
        </w14:solidFill>
      </w14:textFill>
    </w:rPr>
  </w:style>
  <w:style w:type="character" w:styleId="25">
    <w:name w:val="Hyperlink"/>
    <w:basedOn w:val="22"/>
    <w:unhideWhenUsed/>
    <w:qFormat/>
    <w:uiPriority w:val="99"/>
    <w:rPr>
      <w:color w:val="6B9F25" w:themeColor="hyperlink"/>
      <w:u w:val="single"/>
      <w14:textFill>
        <w14:solidFill>
          <w14:schemeClr w14:val="hlink"/>
        </w14:solidFill>
      </w14:textFill>
    </w:rPr>
  </w:style>
  <w:style w:type="character" w:styleId="26">
    <w:name w:val="footnote reference"/>
    <w:basedOn w:val="22"/>
    <w:semiHidden/>
    <w:unhideWhenUsed/>
    <w:uiPriority w:val="99"/>
    <w:rPr>
      <w:vertAlign w:val="superscript"/>
    </w:rPr>
  </w:style>
  <w:style w:type="character" w:customStyle="1" w:styleId="27">
    <w:name w:val="标题 1 字符"/>
    <w:basedOn w:val="22"/>
    <w:link w:val="2"/>
    <w:uiPriority w:val="9"/>
    <w:rPr>
      <w:rFonts w:asciiTheme="majorHAnsi" w:hAnsiTheme="majorHAnsi" w:eastAsiaTheme="majorEastAsia" w:cstheme="majorBidi"/>
      <w:color w:val="1D6295" w:themeColor="accent6" w:themeShade="BF"/>
      <w:sz w:val="40"/>
      <w:szCs w:val="40"/>
    </w:rPr>
  </w:style>
  <w:style w:type="character" w:customStyle="1" w:styleId="28">
    <w:name w:val="标题 2 字符"/>
    <w:basedOn w:val="22"/>
    <w:link w:val="3"/>
    <w:uiPriority w:val="9"/>
    <w:rPr>
      <w:rFonts w:asciiTheme="majorHAnsi" w:hAnsiTheme="majorHAnsi" w:eastAsiaTheme="majorEastAsia" w:cstheme="majorBidi"/>
      <w:color w:val="1D6295" w:themeColor="accent6" w:themeShade="BF"/>
      <w:sz w:val="28"/>
      <w:szCs w:val="28"/>
    </w:rPr>
  </w:style>
  <w:style w:type="character" w:customStyle="1" w:styleId="29">
    <w:name w:val="标题 3 字符"/>
    <w:basedOn w:val="22"/>
    <w:link w:val="4"/>
    <w:uiPriority w:val="9"/>
    <w:rPr>
      <w:rFonts w:asciiTheme="majorHAnsi" w:hAnsiTheme="majorHAnsi" w:eastAsiaTheme="majorEastAsia" w:cstheme="majorBidi"/>
      <w:color w:val="1D6295" w:themeColor="accent6" w:themeShade="BF"/>
      <w:sz w:val="24"/>
      <w:szCs w:val="24"/>
    </w:rPr>
  </w:style>
  <w:style w:type="character" w:customStyle="1" w:styleId="30">
    <w:name w:val="标题 4 字符"/>
    <w:basedOn w:val="22"/>
    <w:link w:val="5"/>
    <w:semiHidden/>
    <w:uiPriority w:val="9"/>
    <w:rPr>
      <w:rFonts w:asciiTheme="majorHAnsi" w:hAnsiTheme="majorHAnsi" w:eastAsiaTheme="majorEastAsia" w:cstheme="majorBidi"/>
      <w:color w:val="2683C6" w:themeColor="accent6"/>
      <w:sz w:val="22"/>
      <w:szCs w:val="22"/>
      <w14:textFill>
        <w14:solidFill>
          <w14:schemeClr w14:val="accent6"/>
        </w14:solidFill>
      </w14:textFill>
    </w:rPr>
  </w:style>
  <w:style w:type="character" w:customStyle="1" w:styleId="31">
    <w:name w:val="标题 5 字符"/>
    <w:basedOn w:val="22"/>
    <w:link w:val="6"/>
    <w:semiHidden/>
    <w:uiPriority w:val="9"/>
    <w:rPr>
      <w:rFonts w:asciiTheme="majorHAnsi" w:hAnsiTheme="majorHAnsi" w:eastAsiaTheme="majorEastAsia" w:cstheme="majorBidi"/>
      <w:i/>
      <w:iCs/>
      <w:color w:val="2683C6" w:themeColor="accent6"/>
      <w:sz w:val="22"/>
      <w:szCs w:val="22"/>
      <w14:textFill>
        <w14:solidFill>
          <w14:schemeClr w14:val="accent6"/>
        </w14:solidFill>
      </w14:textFill>
    </w:rPr>
  </w:style>
  <w:style w:type="character" w:customStyle="1" w:styleId="32">
    <w:name w:val="标题 6 字符"/>
    <w:basedOn w:val="22"/>
    <w:link w:val="7"/>
    <w:semiHidden/>
    <w:uiPriority w:val="9"/>
    <w:rPr>
      <w:rFonts w:asciiTheme="majorHAnsi" w:hAnsiTheme="majorHAnsi" w:eastAsiaTheme="majorEastAsia" w:cstheme="majorBidi"/>
      <w:color w:val="2683C6" w:themeColor="accent6"/>
      <w14:textFill>
        <w14:solidFill>
          <w14:schemeClr w14:val="accent6"/>
        </w14:solidFill>
      </w14:textFill>
    </w:rPr>
  </w:style>
  <w:style w:type="character" w:customStyle="1" w:styleId="33">
    <w:name w:val="标题 7 字符"/>
    <w:basedOn w:val="22"/>
    <w:link w:val="8"/>
    <w:semiHidden/>
    <w:uiPriority w:val="9"/>
    <w:rPr>
      <w:rFonts w:asciiTheme="majorHAnsi" w:hAnsiTheme="majorHAnsi" w:eastAsiaTheme="majorEastAsia" w:cstheme="majorBidi"/>
      <w:b/>
      <w:bCs/>
      <w:color w:val="2683C6" w:themeColor="accent6"/>
      <w14:textFill>
        <w14:solidFill>
          <w14:schemeClr w14:val="accent6"/>
        </w14:solidFill>
      </w14:textFill>
    </w:rPr>
  </w:style>
  <w:style w:type="character" w:customStyle="1" w:styleId="34">
    <w:name w:val="标题 8 字符"/>
    <w:basedOn w:val="22"/>
    <w:link w:val="9"/>
    <w:semiHidden/>
    <w:uiPriority w:val="9"/>
    <w:rPr>
      <w:rFonts w:asciiTheme="majorHAnsi" w:hAnsiTheme="majorHAnsi" w:eastAsiaTheme="majorEastAsia" w:cstheme="majorBidi"/>
      <w:b/>
      <w:bCs/>
      <w:i/>
      <w:iCs/>
      <w:color w:val="2683C6" w:themeColor="accent6"/>
      <w:sz w:val="20"/>
      <w:szCs w:val="20"/>
      <w14:textFill>
        <w14:solidFill>
          <w14:schemeClr w14:val="accent6"/>
        </w14:solidFill>
      </w14:textFill>
    </w:rPr>
  </w:style>
  <w:style w:type="character" w:customStyle="1" w:styleId="35">
    <w:name w:val="标题 9 字符"/>
    <w:basedOn w:val="22"/>
    <w:link w:val="10"/>
    <w:semiHidden/>
    <w:uiPriority w:val="9"/>
    <w:rPr>
      <w:rFonts w:asciiTheme="majorHAnsi" w:hAnsiTheme="majorHAnsi" w:eastAsiaTheme="majorEastAsia" w:cstheme="majorBidi"/>
      <w:i/>
      <w:iCs/>
      <w:color w:val="2683C6" w:themeColor="accent6"/>
      <w:sz w:val="20"/>
      <w:szCs w:val="20"/>
      <w14:textFill>
        <w14:solidFill>
          <w14:schemeClr w14:val="accent6"/>
        </w14:solidFill>
      </w14:textFill>
    </w:rPr>
  </w:style>
  <w:style w:type="character" w:customStyle="1" w:styleId="36">
    <w:name w:val="标题 字符"/>
    <w:basedOn w:val="22"/>
    <w:link w:val="19"/>
    <w:uiPriority w:val="10"/>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character" w:customStyle="1" w:styleId="37">
    <w:name w:val="副标题 字符"/>
    <w:basedOn w:val="22"/>
    <w:link w:val="16"/>
    <w:uiPriority w:val="11"/>
    <w:rPr>
      <w:rFonts w:asciiTheme="majorHAnsi" w:hAnsiTheme="majorHAnsi" w:eastAsiaTheme="majorEastAsia" w:cstheme="majorBidi"/>
      <w:sz w:val="30"/>
      <w:szCs w:val="30"/>
    </w:rPr>
  </w:style>
  <w:style w:type="paragraph" w:styleId="38">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9">
    <w:name w:val="Quote"/>
    <w:basedOn w:val="1"/>
    <w:next w:val="1"/>
    <w:link w:val="40"/>
    <w:qFormat/>
    <w:uiPriority w:val="29"/>
    <w:pPr>
      <w:spacing w:before="160"/>
      <w:ind w:left="720" w:right="720"/>
      <w:jc w:val="center"/>
    </w:pPr>
    <w:rPr>
      <w:i/>
      <w:iCs/>
      <w:color w:val="262626" w:themeColor="text1" w:themeTint="D9"/>
      <w14:textFill>
        <w14:solidFill>
          <w14:schemeClr w14:val="tx1">
            <w14:lumMod w14:val="85000"/>
            <w14:lumOff w14:val="15000"/>
          </w14:schemeClr>
        </w14:solidFill>
      </w14:textFill>
    </w:rPr>
  </w:style>
  <w:style w:type="character" w:customStyle="1" w:styleId="40">
    <w:name w:val="引用 字符"/>
    <w:basedOn w:val="22"/>
    <w:link w:val="39"/>
    <w:uiPriority w:val="29"/>
    <w:rPr>
      <w:i/>
      <w:iCs/>
      <w:color w:val="262626" w:themeColor="text1" w:themeTint="D9"/>
      <w14:textFill>
        <w14:solidFill>
          <w14:schemeClr w14:val="tx1">
            <w14:lumMod w14:val="85000"/>
            <w14:lumOff w14:val="15000"/>
          </w14:schemeClr>
        </w14:solidFill>
      </w14:textFill>
    </w:rPr>
  </w:style>
  <w:style w:type="paragraph" w:styleId="41">
    <w:name w:val="Intense Quote"/>
    <w:basedOn w:val="1"/>
    <w:next w:val="1"/>
    <w:link w:val="42"/>
    <w:qFormat/>
    <w:uiPriority w:val="30"/>
    <w:pPr>
      <w:spacing w:before="160" w:after="160" w:line="264" w:lineRule="auto"/>
      <w:ind w:left="720" w:right="720"/>
      <w:jc w:val="center"/>
    </w:pPr>
    <w:rPr>
      <w:rFonts w:asciiTheme="majorHAnsi" w:hAnsiTheme="majorHAnsi" w:eastAsiaTheme="majorEastAsia" w:cstheme="majorBidi"/>
      <w:i/>
      <w:iCs/>
      <w:color w:val="2683C6" w:themeColor="accent6"/>
      <w:sz w:val="32"/>
      <w:szCs w:val="32"/>
      <w14:textFill>
        <w14:solidFill>
          <w14:schemeClr w14:val="accent6"/>
        </w14:solidFill>
      </w14:textFill>
    </w:rPr>
  </w:style>
  <w:style w:type="character" w:customStyle="1" w:styleId="42">
    <w:name w:val="明显引用 字符"/>
    <w:basedOn w:val="22"/>
    <w:link w:val="41"/>
    <w:uiPriority w:val="30"/>
    <w:rPr>
      <w:rFonts w:asciiTheme="majorHAnsi" w:hAnsiTheme="majorHAnsi" w:eastAsiaTheme="majorEastAsia" w:cstheme="majorBidi"/>
      <w:i/>
      <w:iCs/>
      <w:color w:val="2683C6" w:themeColor="accent6"/>
      <w:sz w:val="32"/>
      <w:szCs w:val="32"/>
      <w14:textFill>
        <w14:solidFill>
          <w14:schemeClr w14:val="accent6"/>
        </w14:solidFill>
      </w14:textFill>
    </w:rPr>
  </w:style>
  <w:style w:type="character" w:customStyle="1" w:styleId="43">
    <w:name w:val="Subtle Emphasis"/>
    <w:basedOn w:val="22"/>
    <w:qFormat/>
    <w:uiPriority w:val="19"/>
    <w:rPr>
      <w:i/>
      <w:iCs/>
    </w:rPr>
  </w:style>
  <w:style w:type="character" w:customStyle="1" w:styleId="44">
    <w:name w:val="Intense Emphasis"/>
    <w:basedOn w:val="22"/>
    <w:qFormat/>
    <w:uiPriority w:val="21"/>
    <w:rPr>
      <w:b/>
      <w:bCs/>
      <w:i/>
      <w:iCs/>
    </w:rPr>
  </w:style>
  <w:style w:type="character" w:customStyle="1" w:styleId="45">
    <w:name w:val="Subtle Reference"/>
    <w:basedOn w:val="22"/>
    <w:qFormat/>
    <w:uiPriority w:val="31"/>
    <w:rPr>
      <w:smallCaps/>
      <w:color w:val="595959" w:themeColor="text1" w:themeTint="A6"/>
      <w14:textFill>
        <w14:solidFill>
          <w14:schemeClr w14:val="tx1">
            <w14:lumMod w14:val="65000"/>
            <w14:lumOff w14:val="35000"/>
          </w14:schemeClr>
        </w14:solidFill>
      </w14:textFill>
    </w:rPr>
  </w:style>
  <w:style w:type="character" w:customStyle="1" w:styleId="46">
    <w:name w:val="Intense Reference"/>
    <w:basedOn w:val="22"/>
    <w:qFormat/>
    <w:uiPriority w:val="32"/>
    <w:rPr>
      <w:b/>
      <w:bCs/>
      <w:smallCaps/>
      <w:color w:val="2683C6" w:themeColor="accent6"/>
      <w14:textFill>
        <w14:solidFill>
          <w14:schemeClr w14:val="accent6"/>
        </w14:solidFill>
      </w14:textFill>
    </w:rPr>
  </w:style>
  <w:style w:type="character" w:customStyle="1" w:styleId="47">
    <w:name w:val="Book Title"/>
    <w:basedOn w:val="22"/>
    <w:qFormat/>
    <w:uiPriority w:val="33"/>
    <w:rPr>
      <w:b/>
      <w:bCs/>
      <w:smallCaps/>
      <w:spacing w:val="7"/>
      <w:sz w:val="21"/>
      <w:szCs w:val="21"/>
    </w:rPr>
  </w:style>
  <w:style w:type="paragraph" w:customStyle="1" w:styleId="48">
    <w:name w:val="TOC Heading"/>
    <w:basedOn w:val="2"/>
    <w:next w:val="1"/>
    <w:unhideWhenUsed/>
    <w:qFormat/>
    <w:uiPriority w:val="39"/>
    <w:pPr>
      <w:outlineLvl w:val="9"/>
    </w:pPr>
  </w:style>
  <w:style w:type="paragraph" w:styleId="49">
    <w:name w:val="List Paragraph"/>
    <w:basedOn w:val="1"/>
    <w:qFormat/>
    <w:uiPriority w:val="34"/>
    <w:pPr>
      <w:ind w:firstLine="420" w:firstLineChars="200"/>
    </w:pPr>
  </w:style>
  <w:style w:type="character" w:customStyle="1" w:styleId="50">
    <w:name w:val="脚注文本 字符"/>
    <w:basedOn w:val="22"/>
    <w:link w:val="17"/>
    <w:semiHidden/>
    <w:qFormat/>
    <w:uiPriority w:val="99"/>
    <w:rPr>
      <w:sz w:val="18"/>
      <w:szCs w:val="18"/>
    </w:rPr>
  </w:style>
  <w:style w:type="character" w:customStyle="1" w:styleId="51">
    <w:name w:val="页眉 字符"/>
    <w:basedOn w:val="22"/>
    <w:link w:val="14"/>
    <w:uiPriority w:val="99"/>
    <w:rPr>
      <w:sz w:val="18"/>
      <w:szCs w:val="18"/>
    </w:rPr>
  </w:style>
  <w:style w:type="character" w:customStyle="1" w:styleId="52">
    <w:name w:val="页脚 字符"/>
    <w:basedOn w:val="22"/>
    <w:link w:val="13"/>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5.emf"/><Relationship Id="rId11" Type="http://schemas.openxmlformats.org/officeDocument/2006/relationships/image" Target="media/image4.emf"/><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蓝绿色">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897C02C-194B-46C1-B299-58DE07837DA5}">
  <ds:schemaRefs/>
</ds:datastoreItem>
</file>

<file path=docProps/app.xml><?xml version="1.0" encoding="utf-8"?>
<Properties xmlns="http://schemas.openxmlformats.org/officeDocument/2006/extended-properties" xmlns:vt="http://schemas.openxmlformats.org/officeDocument/2006/docPropsVTypes">
  <Template>Normal</Template>
  <Pages>16</Pages>
  <Words>10310</Words>
  <Characters>58771</Characters>
  <Lines>489</Lines>
  <Paragraphs>137</Paragraphs>
  <TotalTime>4</TotalTime>
  <ScaleCrop>false</ScaleCrop>
  <LinksUpToDate>false</LinksUpToDate>
  <CharactersWithSpaces>68944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2022-03-18T08:56:00Z</dcterms:created>
  <dc:creator>admin admin</dc:creator>
  <cp:lastModifiedBy>Lenovo</cp:lastModifiedBy>
  <dcterms:modified xsi:type="dcterms:W3CDTF">2022-03-18T21:07:38Z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2052-11.1.0.11365</vt:lpwstr>
  </property>
  <property fmtid="{D5CDD505-2E9C-101B-9397-08002B2CF9AE}" pid="26" name="ICV">
    <vt:lpwstr>3371F0DF8CD94F4B8FBFBFCB851414A8</vt:lpwstr>
  </property>
</Properties>
</file>