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8CDC0" w14:textId="77777777" w:rsidR="007B10D2" w:rsidRDefault="007B10D2" w:rsidP="00B9475B">
      <w:pPr>
        <w:spacing w:after="240" w:line="480" w:lineRule="auto"/>
      </w:pPr>
    </w:p>
    <w:p w14:paraId="63505476" w14:textId="77777777" w:rsidR="007B10D2" w:rsidRPr="007B10D2" w:rsidRDefault="007B10D2" w:rsidP="007B10D2">
      <w:pPr>
        <w:keepNext/>
        <w:spacing w:line="480" w:lineRule="auto"/>
        <w:jc w:val="both"/>
        <w:outlineLvl w:val="1"/>
        <w:rPr>
          <w:rFonts w:ascii="Arial" w:hAnsi="Arial" w:cs="Arial"/>
          <w:b/>
          <w:sz w:val="28"/>
          <w:szCs w:val="28"/>
        </w:rPr>
      </w:pPr>
      <w:bookmarkStart w:id="0" w:name="_Toc48728835"/>
      <w:r w:rsidRPr="007B10D2">
        <w:rPr>
          <w:rFonts w:ascii="Arial" w:hAnsi="Arial"/>
          <w:b/>
          <w:szCs w:val="20"/>
        </w:rPr>
        <w:t>ASSESSMENT 2</w:t>
      </w:r>
      <w:bookmarkEnd w:id="0"/>
    </w:p>
    <w:p w14:paraId="1BC51F4A" w14:textId="77777777" w:rsidR="007B10D2" w:rsidRPr="007B10D2" w:rsidRDefault="007B10D2" w:rsidP="007B10D2">
      <w:pPr>
        <w:jc w:val="right"/>
        <w:rPr>
          <w:rFonts w:ascii="Arial" w:hAnsi="Arial" w:cs="Arial"/>
          <w:b/>
          <w:sz w:val="28"/>
          <w:szCs w:val="28"/>
        </w:rPr>
      </w:pPr>
      <w:r w:rsidRPr="007B10D2">
        <w:rPr>
          <w:rFonts w:ascii="Arial" w:hAnsi="Arial" w:cs="Arial"/>
          <w:b/>
          <w:sz w:val="28"/>
          <w:szCs w:val="28"/>
        </w:rPr>
        <w:t>APPENDIX GA36b</w:t>
      </w:r>
    </w:p>
    <w:p w14:paraId="744E2D5A" w14:textId="77777777" w:rsidR="007B10D2" w:rsidRPr="007B10D2" w:rsidRDefault="007B10D2" w:rsidP="007B10D2">
      <w:pPr>
        <w:rPr>
          <w:rFonts w:ascii="Arial" w:hAnsi="Arial" w:cs="Arial"/>
          <w:sz w:val="20"/>
          <w:szCs w:val="20"/>
        </w:rPr>
      </w:pPr>
    </w:p>
    <w:tbl>
      <w:tblPr>
        <w:tblW w:w="0" w:type="auto"/>
        <w:tblInd w:w="-1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102"/>
      </w:tblGrid>
      <w:tr w:rsidR="007B10D2" w:rsidRPr="007B10D2" w14:paraId="7A10957E" w14:textId="77777777" w:rsidTr="007B10D2">
        <w:tc>
          <w:tcPr>
            <w:tcW w:w="8102" w:type="dxa"/>
            <w:shd w:val="clear" w:color="auto" w:fill="C0C0C0"/>
          </w:tcPr>
          <w:p w14:paraId="762EBCDE" w14:textId="77777777" w:rsidR="007B10D2" w:rsidRPr="007B10D2" w:rsidRDefault="007B10D2" w:rsidP="007B10D2">
            <w:pPr>
              <w:keepNext/>
              <w:spacing w:before="120" w:after="120"/>
              <w:jc w:val="center"/>
              <w:outlineLvl w:val="3"/>
              <w:rPr>
                <w:rFonts w:ascii="Arial" w:hAnsi="Arial" w:cs="Arial"/>
                <w:b/>
                <w:sz w:val="40"/>
                <w:szCs w:val="20"/>
              </w:rPr>
            </w:pPr>
            <w:r w:rsidRPr="007B10D2">
              <w:rPr>
                <w:rFonts w:ascii="Arial" w:hAnsi="Arial" w:cs="Arial"/>
                <w:b/>
                <w:sz w:val="40"/>
                <w:szCs w:val="20"/>
              </w:rPr>
              <w:t xml:space="preserve">LEVEL 5 ASSESSMENT SPECIFICATION </w:t>
            </w:r>
          </w:p>
        </w:tc>
      </w:tr>
    </w:tbl>
    <w:p w14:paraId="694404EC" w14:textId="77777777" w:rsidR="007B10D2" w:rsidRPr="007B10D2" w:rsidRDefault="007B10D2" w:rsidP="007B10D2">
      <w:pPr>
        <w:jc w:val="center"/>
        <w:rPr>
          <w:rFonts w:ascii="Arial" w:hAnsi="Arial" w:cs="Arial"/>
          <w:b/>
          <w:i/>
          <w:sz w:val="32"/>
          <w:szCs w:val="20"/>
        </w:rPr>
      </w:pPr>
    </w:p>
    <w:tbl>
      <w:tblPr>
        <w:tblW w:w="9922" w:type="dxa"/>
        <w:tblInd w:w="-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B10D2" w:rsidRPr="007B10D2" w14:paraId="2471FFC6" w14:textId="77777777" w:rsidTr="007B10D2">
        <w:tc>
          <w:tcPr>
            <w:tcW w:w="2093" w:type="dxa"/>
            <w:shd w:val="pct15" w:color="auto" w:fill="auto"/>
          </w:tcPr>
          <w:p w14:paraId="717DBF34"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Student name:</w:t>
            </w:r>
          </w:p>
        </w:tc>
        <w:tc>
          <w:tcPr>
            <w:tcW w:w="3293" w:type="dxa"/>
          </w:tcPr>
          <w:p w14:paraId="001D1632" w14:textId="003D3629" w:rsidR="007B10D2" w:rsidRPr="007B10D2" w:rsidRDefault="007B10D2" w:rsidP="007B10D2">
            <w:pPr>
              <w:spacing w:before="120" w:after="120"/>
              <w:jc w:val="both"/>
              <w:rPr>
                <w:rFonts w:ascii="Arial" w:hAnsi="Arial" w:cs="Arial"/>
                <w:b/>
                <w:sz w:val="22"/>
                <w:szCs w:val="22"/>
              </w:rPr>
            </w:pPr>
            <w:proofErr w:type="spellStart"/>
            <w:r>
              <w:rPr>
                <w:rFonts w:ascii="Arial" w:hAnsi="Arial" w:cs="Arial"/>
                <w:b/>
                <w:sz w:val="22"/>
                <w:szCs w:val="22"/>
              </w:rPr>
              <w:t>Dafydd</w:t>
            </w:r>
            <w:proofErr w:type="spellEnd"/>
            <w:r>
              <w:rPr>
                <w:rFonts w:ascii="Arial" w:hAnsi="Arial" w:cs="Arial"/>
                <w:b/>
                <w:sz w:val="22"/>
                <w:szCs w:val="22"/>
              </w:rPr>
              <w:t xml:space="preserve"> Rhys Lewis</w:t>
            </w:r>
          </w:p>
        </w:tc>
        <w:tc>
          <w:tcPr>
            <w:tcW w:w="2268" w:type="dxa"/>
            <w:shd w:val="clear" w:color="auto" w:fill="D9D9D9"/>
          </w:tcPr>
          <w:p w14:paraId="76E929A4"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Student ID number:</w:t>
            </w:r>
          </w:p>
        </w:tc>
        <w:tc>
          <w:tcPr>
            <w:tcW w:w="2268" w:type="dxa"/>
          </w:tcPr>
          <w:p w14:paraId="69EF8298" w14:textId="242A123C" w:rsidR="007B10D2" w:rsidRPr="007B10D2" w:rsidRDefault="007B10D2" w:rsidP="007B10D2">
            <w:pPr>
              <w:spacing w:before="120" w:after="120"/>
              <w:jc w:val="both"/>
              <w:rPr>
                <w:rFonts w:ascii="Arial" w:hAnsi="Arial" w:cs="Arial"/>
                <w:b/>
                <w:sz w:val="22"/>
                <w:szCs w:val="22"/>
              </w:rPr>
            </w:pPr>
            <w:r>
              <w:rPr>
                <w:rFonts w:ascii="Arial" w:hAnsi="Arial" w:cs="Arial"/>
                <w:b/>
                <w:sz w:val="22"/>
                <w:szCs w:val="22"/>
              </w:rPr>
              <w:t>2114230</w:t>
            </w:r>
          </w:p>
        </w:tc>
      </w:tr>
      <w:tr w:rsidR="007B10D2" w:rsidRPr="007B10D2" w14:paraId="10F8BE40" w14:textId="77777777" w:rsidTr="007B10D2">
        <w:tc>
          <w:tcPr>
            <w:tcW w:w="2093" w:type="dxa"/>
            <w:shd w:val="pct15" w:color="auto" w:fill="auto"/>
          </w:tcPr>
          <w:p w14:paraId="446E20C0"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Programme:</w:t>
            </w:r>
          </w:p>
        </w:tc>
        <w:tc>
          <w:tcPr>
            <w:tcW w:w="7829" w:type="dxa"/>
            <w:gridSpan w:val="3"/>
          </w:tcPr>
          <w:p w14:paraId="4FEB4D13" w14:textId="1B16E8E9" w:rsidR="007B10D2" w:rsidRPr="007B10D2" w:rsidRDefault="007B10D2" w:rsidP="007B10D2">
            <w:pPr>
              <w:spacing w:before="120" w:after="120"/>
              <w:jc w:val="both"/>
              <w:rPr>
                <w:rFonts w:ascii="Arial" w:hAnsi="Arial" w:cs="Arial"/>
                <w:b/>
                <w:sz w:val="22"/>
                <w:szCs w:val="22"/>
              </w:rPr>
            </w:pPr>
            <w:r>
              <w:rPr>
                <w:rFonts w:ascii="Arial" w:hAnsi="Arial" w:cs="Arial"/>
                <w:b/>
                <w:sz w:val="22"/>
                <w:szCs w:val="22"/>
              </w:rPr>
              <w:t>Physical Education</w:t>
            </w:r>
          </w:p>
        </w:tc>
      </w:tr>
      <w:tr w:rsidR="007B10D2" w:rsidRPr="007B10D2" w14:paraId="15706866" w14:textId="77777777" w:rsidTr="007B10D2">
        <w:tc>
          <w:tcPr>
            <w:tcW w:w="2093" w:type="dxa"/>
            <w:shd w:val="pct15" w:color="auto" w:fill="auto"/>
          </w:tcPr>
          <w:p w14:paraId="31A769C1"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Module:</w:t>
            </w:r>
          </w:p>
        </w:tc>
        <w:tc>
          <w:tcPr>
            <w:tcW w:w="7829" w:type="dxa"/>
            <w:gridSpan w:val="3"/>
            <w:shd w:val="clear" w:color="auto" w:fill="auto"/>
          </w:tcPr>
          <w:p w14:paraId="7E90D60B"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Changemakers: Creativity and Value Creation</w:t>
            </w:r>
          </w:p>
        </w:tc>
      </w:tr>
      <w:tr w:rsidR="007B10D2" w:rsidRPr="007B10D2" w14:paraId="2AA7A65A" w14:textId="77777777" w:rsidTr="007B10D2">
        <w:tc>
          <w:tcPr>
            <w:tcW w:w="2093" w:type="dxa"/>
            <w:shd w:val="pct15" w:color="auto" w:fill="auto"/>
          </w:tcPr>
          <w:p w14:paraId="1461C309"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Module code:</w:t>
            </w:r>
          </w:p>
        </w:tc>
        <w:tc>
          <w:tcPr>
            <w:tcW w:w="3293" w:type="dxa"/>
          </w:tcPr>
          <w:p w14:paraId="0583E9AB"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BMSS5005</w:t>
            </w:r>
          </w:p>
        </w:tc>
        <w:tc>
          <w:tcPr>
            <w:tcW w:w="2268" w:type="dxa"/>
            <w:shd w:val="clear" w:color="auto" w:fill="D9D9D9"/>
          </w:tcPr>
          <w:p w14:paraId="30A7FDD8" w14:textId="77777777" w:rsidR="007B10D2" w:rsidRPr="007B10D2" w:rsidRDefault="007B10D2" w:rsidP="007B10D2">
            <w:pPr>
              <w:rPr>
                <w:rFonts w:ascii="Arial" w:hAnsi="Arial" w:cs="Arial"/>
                <w:b/>
                <w:szCs w:val="22"/>
              </w:rPr>
            </w:pPr>
            <w:r w:rsidRPr="007B10D2">
              <w:rPr>
                <w:rFonts w:ascii="Arial" w:hAnsi="Arial"/>
                <w:b/>
                <w:sz w:val="22"/>
                <w:szCs w:val="20"/>
              </w:rPr>
              <w:t>Contribution to Overall Module Assessment (%):</w:t>
            </w:r>
          </w:p>
        </w:tc>
        <w:tc>
          <w:tcPr>
            <w:tcW w:w="2268" w:type="dxa"/>
          </w:tcPr>
          <w:p w14:paraId="37C20E34"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50</w:t>
            </w:r>
          </w:p>
        </w:tc>
      </w:tr>
      <w:tr w:rsidR="007B10D2" w:rsidRPr="007B10D2" w14:paraId="6F815B55" w14:textId="77777777" w:rsidTr="007B10D2">
        <w:tc>
          <w:tcPr>
            <w:tcW w:w="2093" w:type="dxa"/>
            <w:shd w:val="pct15" w:color="auto" w:fill="auto"/>
          </w:tcPr>
          <w:p w14:paraId="7CA58CC7"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Lecturer:</w:t>
            </w:r>
          </w:p>
        </w:tc>
        <w:tc>
          <w:tcPr>
            <w:tcW w:w="3293" w:type="dxa"/>
          </w:tcPr>
          <w:p w14:paraId="7616B66F"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Kate Piper</w:t>
            </w:r>
          </w:p>
        </w:tc>
        <w:tc>
          <w:tcPr>
            <w:tcW w:w="2268" w:type="dxa"/>
            <w:shd w:val="clear" w:color="auto" w:fill="D9D9D9"/>
          </w:tcPr>
          <w:p w14:paraId="6061C22C"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Internal Verifier:</w:t>
            </w:r>
          </w:p>
        </w:tc>
        <w:tc>
          <w:tcPr>
            <w:tcW w:w="2268" w:type="dxa"/>
          </w:tcPr>
          <w:p w14:paraId="216309F2" w14:textId="77777777" w:rsidR="007B10D2" w:rsidRPr="007B10D2" w:rsidRDefault="007B10D2" w:rsidP="007B10D2">
            <w:pPr>
              <w:spacing w:before="120" w:after="120"/>
              <w:jc w:val="both"/>
              <w:rPr>
                <w:rFonts w:ascii="Arial" w:hAnsi="Arial" w:cs="Arial"/>
                <w:b/>
                <w:sz w:val="22"/>
                <w:szCs w:val="22"/>
              </w:rPr>
            </w:pPr>
            <w:proofErr w:type="spellStart"/>
            <w:r w:rsidRPr="007B10D2">
              <w:rPr>
                <w:rFonts w:ascii="Arial" w:hAnsi="Arial" w:cs="Arial"/>
                <w:b/>
                <w:sz w:val="22"/>
                <w:szCs w:val="22"/>
              </w:rPr>
              <w:t>Heddwen</w:t>
            </w:r>
            <w:proofErr w:type="spellEnd"/>
            <w:r w:rsidRPr="007B10D2">
              <w:rPr>
                <w:rFonts w:ascii="Arial" w:hAnsi="Arial" w:cs="Arial"/>
                <w:b/>
                <w:sz w:val="22"/>
                <w:szCs w:val="22"/>
              </w:rPr>
              <w:t xml:space="preserve"> Davies</w:t>
            </w:r>
          </w:p>
        </w:tc>
      </w:tr>
      <w:tr w:rsidR="007B10D2" w:rsidRPr="007B10D2" w14:paraId="40988E25" w14:textId="77777777" w:rsidTr="007B10D2">
        <w:tc>
          <w:tcPr>
            <w:tcW w:w="2093" w:type="dxa"/>
            <w:shd w:val="pct15" w:color="auto" w:fill="auto"/>
          </w:tcPr>
          <w:p w14:paraId="5099C496"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Assignment Title:</w:t>
            </w:r>
          </w:p>
        </w:tc>
        <w:tc>
          <w:tcPr>
            <w:tcW w:w="3293" w:type="dxa"/>
          </w:tcPr>
          <w:p w14:paraId="3617A04F"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Essay</w:t>
            </w:r>
          </w:p>
        </w:tc>
        <w:tc>
          <w:tcPr>
            <w:tcW w:w="2268" w:type="dxa"/>
            <w:shd w:val="pct15" w:color="auto" w:fill="auto"/>
          </w:tcPr>
          <w:p w14:paraId="436DCD2B"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Word count (or equivalent):</w:t>
            </w:r>
          </w:p>
        </w:tc>
        <w:tc>
          <w:tcPr>
            <w:tcW w:w="2268" w:type="dxa"/>
          </w:tcPr>
          <w:p w14:paraId="6664B59F"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2000</w:t>
            </w:r>
          </w:p>
        </w:tc>
      </w:tr>
      <w:tr w:rsidR="007B10D2" w:rsidRPr="007B10D2" w14:paraId="728E5921" w14:textId="77777777" w:rsidTr="007B10D2">
        <w:tc>
          <w:tcPr>
            <w:tcW w:w="2093" w:type="dxa"/>
            <w:shd w:val="pct15" w:color="auto" w:fill="auto"/>
          </w:tcPr>
          <w:p w14:paraId="3792052C"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Submission deadline:</w:t>
            </w:r>
          </w:p>
        </w:tc>
        <w:tc>
          <w:tcPr>
            <w:tcW w:w="3293" w:type="dxa"/>
            <w:shd w:val="clear" w:color="auto" w:fill="auto"/>
          </w:tcPr>
          <w:p w14:paraId="77DD39C1"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13</w:t>
            </w:r>
            <w:r w:rsidRPr="007B10D2">
              <w:rPr>
                <w:rFonts w:ascii="Arial" w:hAnsi="Arial" w:cs="Arial"/>
                <w:b/>
                <w:sz w:val="22"/>
                <w:szCs w:val="22"/>
                <w:vertAlign w:val="superscript"/>
              </w:rPr>
              <w:t>th</w:t>
            </w:r>
            <w:r w:rsidRPr="007B10D2">
              <w:rPr>
                <w:rFonts w:ascii="Arial" w:hAnsi="Arial" w:cs="Arial"/>
                <w:b/>
                <w:sz w:val="22"/>
                <w:szCs w:val="22"/>
              </w:rPr>
              <w:t xml:space="preserve"> January 2023</w:t>
            </w:r>
          </w:p>
        </w:tc>
        <w:tc>
          <w:tcPr>
            <w:tcW w:w="2268" w:type="dxa"/>
            <w:shd w:val="pct15" w:color="auto" w:fill="auto"/>
          </w:tcPr>
          <w:p w14:paraId="7CFD99F8"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Return date of provisional marks &amp; written feedback:</w:t>
            </w:r>
          </w:p>
        </w:tc>
        <w:tc>
          <w:tcPr>
            <w:tcW w:w="2268" w:type="dxa"/>
          </w:tcPr>
          <w:p w14:paraId="2808BED9"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10</w:t>
            </w:r>
            <w:r w:rsidRPr="007B10D2">
              <w:rPr>
                <w:rFonts w:ascii="Arial" w:hAnsi="Arial" w:cs="Arial"/>
                <w:b/>
                <w:sz w:val="22"/>
                <w:szCs w:val="22"/>
                <w:vertAlign w:val="superscript"/>
              </w:rPr>
              <w:t>th</w:t>
            </w:r>
            <w:r w:rsidRPr="007B10D2">
              <w:rPr>
                <w:rFonts w:ascii="Arial" w:hAnsi="Arial" w:cs="Arial"/>
                <w:b/>
                <w:sz w:val="22"/>
                <w:szCs w:val="22"/>
              </w:rPr>
              <w:t xml:space="preserve"> February 2023</w:t>
            </w:r>
          </w:p>
        </w:tc>
      </w:tr>
      <w:tr w:rsidR="007B10D2" w:rsidRPr="007B10D2" w14:paraId="088138A7" w14:textId="77777777" w:rsidTr="007B10D2">
        <w:tc>
          <w:tcPr>
            <w:tcW w:w="2093" w:type="dxa"/>
            <w:shd w:val="pct15" w:color="auto" w:fill="auto"/>
          </w:tcPr>
          <w:p w14:paraId="59FE4012"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Submission method:</w:t>
            </w:r>
          </w:p>
        </w:tc>
        <w:tc>
          <w:tcPr>
            <w:tcW w:w="7829" w:type="dxa"/>
            <w:gridSpan w:val="3"/>
            <w:shd w:val="clear" w:color="auto" w:fill="auto"/>
          </w:tcPr>
          <w:p w14:paraId="09ECE0C3" w14:textId="77777777" w:rsidR="007B10D2" w:rsidRPr="007B10D2" w:rsidRDefault="007B10D2" w:rsidP="007B10D2">
            <w:pPr>
              <w:rPr>
                <w:rFonts w:ascii="Arial" w:hAnsi="Arial" w:cs="Arial"/>
                <w:sz w:val="22"/>
                <w:szCs w:val="22"/>
              </w:rPr>
            </w:pPr>
            <w:r w:rsidRPr="007B10D2">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F7753BB"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 xml:space="preserve">Alternative submission method (if applicable): </w:t>
            </w:r>
          </w:p>
          <w:p w14:paraId="7FD4244A" w14:textId="77777777" w:rsidR="007B10D2" w:rsidRPr="007B10D2" w:rsidRDefault="007B10D2" w:rsidP="007B10D2">
            <w:pPr>
              <w:spacing w:before="120" w:after="120"/>
              <w:jc w:val="both"/>
              <w:rPr>
                <w:rFonts w:ascii="Arial" w:hAnsi="Arial" w:cs="Arial"/>
                <w:b/>
                <w:sz w:val="22"/>
                <w:szCs w:val="22"/>
              </w:rPr>
            </w:pPr>
            <w:r w:rsidRPr="007B10D2">
              <w:rPr>
                <w:rFonts w:ascii="Arial" w:hAnsi="Arial" w:cs="Arial"/>
                <w:b/>
                <w:sz w:val="22"/>
                <w:szCs w:val="22"/>
              </w:rPr>
              <w:t xml:space="preserve">Late submission of the assessment will result in a late penalty mark.  </w:t>
            </w:r>
            <w:r w:rsidRPr="007B10D2">
              <w:rPr>
                <w:rFonts w:ascii="Arial" w:hAnsi="Arial" w:cs="Arial"/>
                <w:sz w:val="22"/>
                <w:szCs w:val="22"/>
              </w:rPr>
              <w:t>Penalties for late submission: Up to one week late, maximum mark of 40%.  Over one week late, 0%.  Only the Extenuating Circumstances Panel may approve a change to submission dates.</w:t>
            </w:r>
          </w:p>
        </w:tc>
      </w:tr>
      <w:tr w:rsidR="007B10D2" w:rsidRPr="007B10D2" w14:paraId="4A72F7BB" w14:textId="77777777" w:rsidTr="007B10D2">
        <w:tc>
          <w:tcPr>
            <w:tcW w:w="2093" w:type="dxa"/>
            <w:shd w:val="pct15" w:color="auto" w:fill="auto"/>
          </w:tcPr>
          <w:p w14:paraId="60670541" w14:textId="77777777" w:rsidR="007B10D2" w:rsidRPr="007B10D2" w:rsidRDefault="007B10D2" w:rsidP="007B10D2">
            <w:pPr>
              <w:spacing w:before="120" w:after="120"/>
              <w:rPr>
                <w:rFonts w:ascii="Arial" w:hAnsi="Arial" w:cs="Arial"/>
                <w:b/>
                <w:sz w:val="22"/>
                <w:szCs w:val="22"/>
              </w:rPr>
            </w:pPr>
            <w:r w:rsidRPr="007B10D2">
              <w:rPr>
                <w:rFonts w:ascii="Arial" w:hAnsi="Arial" w:cs="Arial"/>
                <w:b/>
                <w:sz w:val="22"/>
                <w:szCs w:val="22"/>
              </w:rPr>
              <w:t>Academic honesty / referencing:</w:t>
            </w:r>
          </w:p>
        </w:tc>
        <w:tc>
          <w:tcPr>
            <w:tcW w:w="7829" w:type="dxa"/>
            <w:gridSpan w:val="3"/>
            <w:shd w:val="clear" w:color="auto" w:fill="auto"/>
          </w:tcPr>
          <w:p w14:paraId="6B417D5B" w14:textId="77777777" w:rsidR="007B10D2" w:rsidRPr="007B10D2" w:rsidRDefault="007B10D2" w:rsidP="007B10D2">
            <w:pPr>
              <w:spacing w:before="120" w:after="120"/>
              <w:jc w:val="both"/>
              <w:rPr>
                <w:rFonts w:ascii="Arial" w:hAnsi="Arial" w:cs="Arial"/>
                <w:sz w:val="22"/>
                <w:szCs w:val="22"/>
              </w:rPr>
            </w:pPr>
            <w:r w:rsidRPr="007B10D2">
              <w:rPr>
                <w:rFonts w:ascii="Arial" w:hAnsi="Arial" w:cs="Arial"/>
                <w:sz w:val="22"/>
                <w:szCs w:val="22"/>
              </w:rPr>
              <w:t xml:space="preserve">Academic honesty is required. In the main body of your </w:t>
            </w:r>
            <w:proofErr w:type="gramStart"/>
            <w:r w:rsidRPr="007B10D2">
              <w:rPr>
                <w:rFonts w:ascii="Arial" w:hAnsi="Arial" w:cs="Arial"/>
                <w:sz w:val="22"/>
                <w:szCs w:val="22"/>
              </w:rPr>
              <w:t>submission</w:t>
            </w:r>
            <w:proofErr w:type="gramEnd"/>
            <w:r w:rsidRPr="007B10D2">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37969B86" w14:textId="77777777" w:rsidR="007B10D2" w:rsidRPr="007B10D2" w:rsidRDefault="007B10D2" w:rsidP="007B10D2">
      <w:pPr>
        <w:rPr>
          <w:rFonts w:ascii="Arial" w:hAnsi="Arial" w:cs="Arial"/>
          <w:sz w:val="32"/>
          <w:szCs w:val="20"/>
        </w:rPr>
      </w:pPr>
    </w:p>
    <w:p w14:paraId="27D92E4F" w14:textId="77777777" w:rsidR="007B10D2" w:rsidRPr="007B10D2" w:rsidRDefault="007B10D2" w:rsidP="007B10D2">
      <w:pPr>
        <w:rPr>
          <w:rFonts w:ascii="Arial" w:hAnsi="Arial" w:cs="Arial"/>
          <w:sz w:val="32"/>
          <w:szCs w:val="20"/>
        </w:rPr>
      </w:pPr>
    </w:p>
    <w:p w14:paraId="51D2633E" w14:textId="77777777" w:rsidR="007B10D2" w:rsidRPr="007B10D2" w:rsidRDefault="007B10D2" w:rsidP="007B10D2">
      <w:pPr>
        <w:rPr>
          <w:rFonts w:ascii="Arial" w:hAnsi="Arial" w:cs="Arial"/>
          <w:sz w:val="32"/>
          <w:szCs w:val="20"/>
        </w:rPr>
      </w:pPr>
    </w:p>
    <w:p w14:paraId="2BB68E14" w14:textId="77777777" w:rsidR="007B10D2" w:rsidRDefault="007B10D2">
      <w:r>
        <w:br w:type="page"/>
      </w:r>
    </w:p>
    <w:p w14:paraId="433D8B38" w14:textId="486A2913" w:rsidR="001B4782" w:rsidRPr="0095434F" w:rsidRDefault="001B4782" w:rsidP="00B9475B">
      <w:pPr>
        <w:spacing w:after="240" w:line="480" w:lineRule="auto"/>
      </w:pPr>
      <w:r w:rsidRPr="0095434F">
        <w:lastRenderedPageBreak/>
        <w:t xml:space="preserve">‘Creativity’ is a term that has been notoriously difficult to define with theorists such as Koestler (2020) and Feist (1998) defining the term differently. Koestler (2020, p.95) defined ‘creativity’ as “the ability to make connections between previously unconnected ideas.” However, Feist (1998) defined creativity as generating new ideas. As stated by Sharp (2004), there are many different definitions, yet many agree that creativity includes, (a) imagination; (b) originality; (c) productivity and (d) </w:t>
      </w:r>
      <w:r w:rsidR="001549C4" w:rsidRPr="0095434F">
        <w:t>problem-solving</w:t>
      </w:r>
      <w:r w:rsidRPr="0095434F">
        <w:t xml:space="preserve">. As a result of past theorists and psychologists defining creativity as what is now known as ‘innovation’ (Feist, 1998), there have been conflicting definitions and confusion amongst many regarding what is creativity. According to Feist (1998), there are clear differences between creativity and its </w:t>
      </w:r>
      <w:r w:rsidR="001549C4" w:rsidRPr="0095434F">
        <w:t>commonly</w:t>
      </w:r>
      <w:r w:rsidRPr="0095434F">
        <w:t xml:space="preserve"> mistaken definition, innovation. Supporting this, Bateson </w:t>
      </w:r>
      <w:r w:rsidR="00F50677" w:rsidRPr="0095434F">
        <w:t>et al.,</w:t>
      </w:r>
      <w:r w:rsidR="004B7DC9" w:rsidRPr="0095434F">
        <w:t xml:space="preserve"> </w:t>
      </w:r>
      <w:r w:rsidRPr="0095434F">
        <w:t xml:space="preserve">(2013) propose two separate definitions for creativity and innovation. They define creativity as divergent thinking or behaviour whereas </w:t>
      </w:r>
      <w:r w:rsidR="00BC1F20" w:rsidRPr="0095434F">
        <w:t xml:space="preserve">innovation </w:t>
      </w:r>
      <w:r w:rsidR="00F97C0E" w:rsidRPr="0095434F">
        <w:t>is</w:t>
      </w:r>
      <w:r w:rsidR="00BC1F20" w:rsidRPr="0095434F">
        <w:t xml:space="preserve"> implementing a form of behaviour to obtain practical benefits and create</w:t>
      </w:r>
      <w:r w:rsidRPr="0095434F">
        <w:t xml:space="preserve"> useful products. </w:t>
      </w:r>
    </w:p>
    <w:p w14:paraId="60D1D3F0" w14:textId="5615E7FE" w:rsidR="009C26C8" w:rsidRPr="00B9475B" w:rsidRDefault="001549C4" w:rsidP="00B9475B">
      <w:pPr>
        <w:spacing w:after="240" w:line="480" w:lineRule="auto"/>
      </w:pPr>
      <w:r w:rsidRPr="0095434F">
        <w:t xml:space="preserve">Duffy (2006) proposed a solution to overcome the confusion between the definitions </w:t>
      </w:r>
      <w:r w:rsidR="001B4782" w:rsidRPr="0095434F">
        <w:t>by implementing the idea of ‘Big C’ and ‘Little C’. They suggested that Big C involved ‘high creativity’</w:t>
      </w:r>
      <w:r w:rsidRPr="0095434F">
        <w:t>, including innovation that</w:t>
      </w:r>
      <w:r w:rsidR="001B4782" w:rsidRPr="0095434F">
        <w:t xml:space="preserve"> sought to change and develop past ideas. Little c however was proposed as a “process of conscious invention and describes the resourcefulness of ordinary people rather than extraordinary contributors’ (Duffy, 2006, p.17). </w:t>
      </w:r>
    </w:p>
    <w:p w14:paraId="4B77E26E" w14:textId="0C638429" w:rsidR="001B4782" w:rsidRPr="0095434F" w:rsidRDefault="001B4782" w:rsidP="00B9475B">
      <w:pPr>
        <w:spacing w:after="240" w:line="480" w:lineRule="auto"/>
      </w:pPr>
      <w:r w:rsidRPr="0095434F">
        <w:t xml:space="preserve">Research designs and paradigms </w:t>
      </w:r>
      <w:r w:rsidR="001549C4" w:rsidRPr="0095434F">
        <w:t>greatly influence the research investigated and,</w:t>
      </w:r>
      <w:r w:rsidRPr="0095434F">
        <w:t xml:space="preserve"> therefore, </w:t>
      </w:r>
      <w:r w:rsidR="00841EE3" w:rsidRPr="0095434F">
        <w:t xml:space="preserve">the </w:t>
      </w:r>
      <w:r w:rsidRPr="0095434F">
        <w:t xml:space="preserve">data gathered. Whilst constructing a research investigation, researchers must understand their ontological and epistemological </w:t>
      </w:r>
      <w:r w:rsidR="00426726" w:rsidRPr="0095434F">
        <w:t>approaches</w:t>
      </w:r>
      <w:r w:rsidRPr="0095434F">
        <w:t xml:space="preserve"> as these influence the theoretical perspective that researchers undertake (</w:t>
      </w:r>
      <w:proofErr w:type="spellStart"/>
      <w:r w:rsidRPr="0095434F">
        <w:t>Jacquette</w:t>
      </w:r>
      <w:proofErr w:type="spellEnd"/>
      <w:r w:rsidRPr="0095434F">
        <w:t xml:space="preserve">, 2014). </w:t>
      </w:r>
      <w:r w:rsidR="008C431C" w:rsidRPr="0095434F">
        <w:t xml:space="preserve">Theorists undertake research design choices which influence their research methods and data collated. </w:t>
      </w:r>
      <w:r w:rsidR="00435760" w:rsidRPr="0095434F">
        <w:t xml:space="preserve">Firstly, they must understand their ontology and epistemology which accounts </w:t>
      </w:r>
      <w:r w:rsidR="00841EE3" w:rsidRPr="0095434F">
        <w:t xml:space="preserve">for </w:t>
      </w:r>
      <w:r w:rsidR="00435760" w:rsidRPr="0095434F">
        <w:t xml:space="preserve">their </w:t>
      </w:r>
      <w:r w:rsidR="00435760" w:rsidRPr="0095434F">
        <w:lastRenderedPageBreak/>
        <w:t xml:space="preserve">worldview (Crotty, 1998). Following these choices, </w:t>
      </w:r>
      <w:r w:rsidR="00875FA5" w:rsidRPr="0095434F">
        <w:t xml:space="preserve">their methodology is chosen in which they evaluate the strategies </w:t>
      </w:r>
      <w:r w:rsidR="00841EE3" w:rsidRPr="0095434F">
        <w:t>for</w:t>
      </w:r>
      <w:r w:rsidR="00875FA5" w:rsidRPr="0095434F">
        <w:t xml:space="preserve"> their research, </w:t>
      </w:r>
      <w:r w:rsidR="00A84718" w:rsidRPr="0095434F">
        <w:t>which allows for methods to be considered. The methods include tools for collecting or generating data regarding their re</w:t>
      </w:r>
      <w:r w:rsidR="00917233" w:rsidRPr="0095434F">
        <w:t xml:space="preserve">search data (Crotty, 1998). </w:t>
      </w:r>
    </w:p>
    <w:p w14:paraId="6C3D9F0E" w14:textId="509238CB" w:rsidR="001B4782" w:rsidRPr="0095434F" w:rsidRDefault="001B4782" w:rsidP="00B9475B">
      <w:pPr>
        <w:spacing w:after="240" w:line="480" w:lineRule="auto"/>
      </w:pPr>
      <w:r w:rsidRPr="0095434F">
        <w:t xml:space="preserve">Three main approaches considered within theoretical perspectives are Positivism, Interpretivism and Pragmatism (Crotty, 1998). </w:t>
      </w:r>
    </w:p>
    <w:p w14:paraId="1499939F" w14:textId="3F55A21B" w:rsidR="008E2021" w:rsidRPr="0095434F" w:rsidRDefault="008E2021" w:rsidP="00B9475B">
      <w:pPr>
        <w:spacing w:after="240" w:line="480" w:lineRule="auto"/>
      </w:pPr>
      <w:r w:rsidRPr="0095434F">
        <w:t xml:space="preserve">Positivism is an objective approach </w:t>
      </w:r>
      <w:r w:rsidR="00D04E0E" w:rsidRPr="0095434F">
        <w:t xml:space="preserve">in which patterns, rules and regularities in the world are considered through quantitative data (Crotty, 1998). </w:t>
      </w:r>
      <w:r w:rsidR="005C418A" w:rsidRPr="0095434F">
        <w:t xml:space="preserve">Positivistic theorists and researchers </w:t>
      </w:r>
      <w:r w:rsidR="00390659" w:rsidRPr="0095434F">
        <w:t xml:space="preserve">believe there is a single reality through their ontological approach. </w:t>
      </w:r>
      <w:r w:rsidR="00CE7DB4" w:rsidRPr="0095434F">
        <w:t xml:space="preserve">As stated by Kaboub (2008), Positivistic theorists’ epistemological stance </w:t>
      </w:r>
      <w:r w:rsidR="004020A9" w:rsidRPr="0095434F">
        <w:t xml:space="preserve">allowed for </w:t>
      </w:r>
      <w:r w:rsidR="000D5738" w:rsidRPr="0095434F">
        <w:t>experiment</w:t>
      </w:r>
      <w:r w:rsidR="004308A2" w:rsidRPr="0095434F">
        <w:t>al</w:t>
      </w:r>
      <w:r w:rsidR="004020A9" w:rsidRPr="0095434F">
        <w:t xml:space="preserve"> </w:t>
      </w:r>
      <w:r w:rsidR="007C49E1" w:rsidRPr="0095434F">
        <w:t xml:space="preserve">research </w:t>
      </w:r>
      <w:r w:rsidR="004308A2" w:rsidRPr="0095434F">
        <w:t>such as</w:t>
      </w:r>
      <w:r w:rsidR="007C49E1" w:rsidRPr="0095434F">
        <w:t xml:space="preserve"> action research, allowing for measurable change to be </w:t>
      </w:r>
      <w:r w:rsidR="00426726" w:rsidRPr="0095434F">
        <w:t>observed empirically and analysed logically and in turn, eliminating complex outside variables.</w:t>
      </w:r>
      <w:r w:rsidR="00E4092E" w:rsidRPr="0095434F">
        <w:t xml:space="preserve"> This suggested that </w:t>
      </w:r>
      <w:r w:rsidR="00B42F7E" w:rsidRPr="0095434F">
        <w:t>positivist</w:t>
      </w:r>
      <w:r w:rsidR="0010555E" w:rsidRPr="0095434F">
        <w:t xml:space="preserve"> researchers valued high </w:t>
      </w:r>
      <w:r w:rsidR="00B42F7E" w:rsidRPr="0095434F">
        <w:t>standards of validity and reliability (Cohen, 2007).</w:t>
      </w:r>
      <w:r w:rsidR="00426726" w:rsidRPr="0095434F">
        <w:t xml:space="preserve"> </w:t>
      </w:r>
      <w:r w:rsidR="0069433B" w:rsidRPr="0095434F">
        <w:t xml:space="preserve">However, Morgenthau (2017) stated this was a limitation </w:t>
      </w:r>
      <w:r w:rsidR="00A53617" w:rsidRPr="0095434F">
        <w:t>of</w:t>
      </w:r>
      <w:r w:rsidR="0069433B" w:rsidRPr="0095434F">
        <w:t xml:space="preserve"> the paradigm due to the lack of external validity </w:t>
      </w:r>
      <w:r w:rsidR="00755A14" w:rsidRPr="0095434F">
        <w:t xml:space="preserve">as the approach eliminated the complexity of the external world such as emotional and </w:t>
      </w:r>
      <w:r w:rsidR="00116E69" w:rsidRPr="0095434F">
        <w:t xml:space="preserve">personal influences. </w:t>
      </w:r>
    </w:p>
    <w:p w14:paraId="440315D3" w14:textId="33B1363B" w:rsidR="000443B2" w:rsidRPr="0095434F" w:rsidRDefault="00744324" w:rsidP="00B9475B">
      <w:pPr>
        <w:spacing w:after="240" w:line="480" w:lineRule="auto"/>
      </w:pPr>
      <w:r w:rsidRPr="0095434F">
        <w:t>Interpretivism however is a subjective approach in which researchers seek to unde</w:t>
      </w:r>
      <w:r w:rsidR="00E832C8" w:rsidRPr="0095434F">
        <w:t xml:space="preserve">rstand </w:t>
      </w:r>
      <w:r w:rsidR="006E3513" w:rsidRPr="0095434F">
        <w:t xml:space="preserve">the means </w:t>
      </w:r>
      <w:r w:rsidR="00744AB4" w:rsidRPr="0095434F">
        <w:t>people undertake to construct their world through social aspects such as communication and interaction</w:t>
      </w:r>
      <w:r w:rsidR="00707068" w:rsidRPr="0095434F">
        <w:t xml:space="preserve"> (Crotty, 1998). </w:t>
      </w:r>
      <w:r w:rsidR="004C17A2" w:rsidRPr="0095434F">
        <w:t>As stated by</w:t>
      </w:r>
      <w:r w:rsidR="002E1248" w:rsidRPr="0095434F">
        <w:t xml:space="preserve"> Ryan (2018),</w:t>
      </w:r>
      <w:r w:rsidR="004C17A2" w:rsidRPr="0095434F">
        <w:t xml:space="preserve"> “interpretivism is in direct opposition to positivism</w:t>
      </w:r>
      <w:r w:rsidR="000A47B8" w:rsidRPr="0095434F">
        <w:t>” due to its value of subjectivity</w:t>
      </w:r>
      <w:r w:rsidR="00FD5292" w:rsidRPr="0095434F">
        <w:t xml:space="preserve"> with interpre</w:t>
      </w:r>
      <w:r w:rsidR="00845FCC" w:rsidRPr="0095434F">
        <w:t>tivists</w:t>
      </w:r>
      <w:r w:rsidR="00FD5292" w:rsidRPr="0095434F">
        <w:t xml:space="preserve"> </w:t>
      </w:r>
      <w:r w:rsidR="00FE77C4" w:rsidRPr="0095434F">
        <w:t>adopting</w:t>
      </w:r>
      <w:r w:rsidR="00C12DA0" w:rsidRPr="0095434F">
        <w:t xml:space="preserve"> a relativist ontology (</w:t>
      </w:r>
      <w:r w:rsidR="00482D1A" w:rsidRPr="0095434F">
        <w:t>Pham, 2018)</w:t>
      </w:r>
      <w:r w:rsidR="000A47B8" w:rsidRPr="0095434F">
        <w:t xml:space="preserve">. </w:t>
      </w:r>
      <w:r w:rsidR="00845FCC" w:rsidRPr="0095434F">
        <w:t xml:space="preserve">This ontological approach suggests there is a </w:t>
      </w:r>
      <w:r w:rsidR="007F372D" w:rsidRPr="0095434F">
        <w:t>“</w:t>
      </w:r>
      <w:r w:rsidR="00845FCC" w:rsidRPr="0095434F">
        <w:t xml:space="preserve">single </w:t>
      </w:r>
      <w:r w:rsidR="007F372D" w:rsidRPr="0095434F">
        <w:t>phenomenon may have multiple interpretations</w:t>
      </w:r>
      <w:r w:rsidR="008B4A30" w:rsidRPr="0095434F">
        <w:t xml:space="preserve"> rather than a truth </w:t>
      </w:r>
      <w:r w:rsidR="001B2000" w:rsidRPr="0095434F">
        <w:t>that can be determined by a process of measurement,” (Pham, 2018, p.3).</w:t>
      </w:r>
      <w:r w:rsidR="00845FCC" w:rsidRPr="0095434F">
        <w:t xml:space="preserve"> </w:t>
      </w:r>
      <w:r w:rsidR="00A53617" w:rsidRPr="0095434F">
        <w:t>Different</w:t>
      </w:r>
      <w:r w:rsidR="004F21A0" w:rsidRPr="0095434F">
        <w:t xml:space="preserve"> to Positivism, Interpretivism </w:t>
      </w:r>
      <w:r w:rsidR="00A53617" w:rsidRPr="0095434F">
        <w:t>maintains</w:t>
      </w:r>
      <w:r w:rsidR="004F21A0" w:rsidRPr="0095434F">
        <w:t xml:space="preserve"> qualitative data </w:t>
      </w:r>
      <w:r w:rsidR="00453A35" w:rsidRPr="0095434F">
        <w:t xml:space="preserve">to allow the researcher to draw conclusions through interviews and </w:t>
      </w:r>
      <w:r w:rsidR="00A53617" w:rsidRPr="0095434F">
        <w:t>observations</w:t>
      </w:r>
      <w:r w:rsidR="00453A35" w:rsidRPr="0095434F">
        <w:t xml:space="preserve"> in which </w:t>
      </w:r>
      <w:r w:rsidR="00A53617" w:rsidRPr="0095434F">
        <w:t xml:space="preserve">the researcher can interpret </w:t>
      </w:r>
      <w:r w:rsidR="00A53617" w:rsidRPr="0095434F">
        <w:lastRenderedPageBreak/>
        <w:t>feelings, experiences and perceptions</w:t>
      </w:r>
      <w:r w:rsidR="00CC7808" w:rsidRPr="0095434F">
        <w:t xml:space="preserve"> (Crotty, 1998). </w:t>
      </w:r>
      <w:r w:rsidR="00026B08" w:rsidRPr="0095434F">
        <w:t xml:space="preserve">Interpretivism and qualitative data is an approach that </w:t>
      </w:r>
      <w:r w:rsidR="00860F3D" w:rsidRPr="0095434F">
        <w:t>has</w:t>
      </w:r>
      <w:r w:rsidR="00026B08" w:rsidRPr="0095434F">
        <w:t xml:space="preserve"> grown rapidly in recent years, however</w:t>
      </w:r>
      <w:r w:rsidR="00860F3D" w:rsidRPr="0095434F">
        <w:t>,</w:t>
      </w:r>
      <w:r w:rsidR="00026B08" w:rsidRPr="0095434F">
        <w:t xml:space="preserve"> </w:t>
      </w:r>
      <w:r w:rsidR="00DB7437" w:rsidRPr="0095434F">
        <w:t>Sandberg (2005) argue</w:t>
      </w:r>
      <w:r w:rsidR="00860F3D" w:rsidRPr="0095434F">
        <w:t>d</w:t>
      </w:r>
      <w:r w:rsidR="00DB7437" w:rsidRPr="0095434F">
        <w:t xml:space="preserve"> that </w:t>
      </w:r>
      <w:r w:rsidR="00DD4947" w:rsidRPr="0095434F">
        <w:t xml:space="preserve">the criteria for justifying this research have not </w:t>
      </w:r>
      <w:r w:rsidR="00E60F0D" w:rsidRPr="0095434F">
        <w:t xml:space="preserve">developed along with this rapid growth. </w:t>
      </w:r>
      <w:r w:rsidR="000A2F92" w:rsidRPr="0095434F">
        <w:t xml:space="preserve">Although a growing approach, many theorists disagree </w:t>
      </w:r>
      <w:r w:rsidR="00264486" w:rsidRPr="0095434F">
        <w:t>regarding the correct way a question can be answered (</w:t>
      </w:r>
      <w:r w:rsidR="000D39AA" w:rsidRPr="0095434F">
        <w:t>Scauso, 2020)</w:t>
      </w:r>
      <w:r w:rsidR="00CA6B60" w:rsidRPr="0095434F">
        <w:t>.</w:t>
      </w:r>
      <w:r w:rsidR="00FE77C4" w:rsidRPr="0095434F">
        <w:t xml:space="preserve"> </w:t>
      </w:r>
      <w:r w:rsidR="00A6593C" w:rsidRPr="0095434F">
        <w:t xml:space="preserve">Tuli (2010) supported interpretivism </w:t>
      </w:r>
      <w:r w:rsidR="00BF0198" w:rsidRPr="0095434F">
        <w:t>due to its ability to allow research in a natural setting which allow</w:t>
      </w:r>
      <w:r w:rsidR="0049075F" w:rsidRPr="0095434F">
        <w:t>ed</w:t>
      </w:r>
      <w:r w:rsidR="00BF0198" w:rsidRPr="0095434F">
        <w:t xml:space="preserve"> access to the inside of the research’s objects. </w:t>
      </w:r>
      <w:r w:rsidR="00304759" w:rsidRPr="0095434F">
        <w:t xml:space="preserve">Wellington and Szczerbinski (2007) also support this approach as </w:t>
      </w:r>
      <w:r w:rsidR="00016E9F" w:rsidRPr="0095434F">
        <w:t xml:space="preserve">the researcher gained access to investigate things that cannot be observed or measured such as </w:t>
      </w:r>
      <w:r w:rsidR="001629A2" w:rsidRPr="0095434F">
        <w:t xml:space="preserve">thoughts, feelings and </w:t>
      </w:r>
      <w:r w:rsidR="0049075F" w:rsidRPr="0095434F">
        <w:t>perspectives</w:t>
      </w:r>
      <w:r w:rsidR="001629A2" w:rsidRPr="0095434F">
        <w:t xml:space="preserve">. </w:t>
      </w:r>
      <w:r w:rsidR="00E514D5" w:rsidRPr="0095434F">
        <w:t xml:space="preserve">Mack (2010) however </w:t>
      </w:r>
      <w:r w:rsidR="00D17C80" w:rsidRPr="0095434F">
        <w:t xml:space="preserve">states that the subjective nature of this approach is a disadvantage as research outcomes are affected by the researcher’s interpretation and can therefore cause bias. </w:t>
      </w:r>
      <w:r w:rsidR="006D3BD3" w:rsidRPr="0095434F">
        <w:t xml:space="preserve">They also state that this theoretical perspective neglects </w:t>
      </w:r>
      <w:r w:rsidR="003C6F5B" w:rsidRPr="0095434F">
        <w:t xml:space="preserve">many issues that are features </w:t>
      </w:r>
      <w:r w:rsidR="00AB4B5D" w:rsidRPr="0095434F">
        <w:t>of</w:t>
      </w:r>
      <w:r w:rsidR="003C6F5B" w:rsidRPr="0095434F">
        <w:t xml:space="preserve"> society such as power and agency (Mack, 2010). </w:t>
      </w:r>
    </w:p>
    <w:p w14:paraId="6A0F2479" w14:textId="64766E41" w:rsidR="00B9475B" w:rsidRPr="0095434F" w:rsidRDefault="00245878" w:rsidP="00B9475B">
      <w:pPr>
        <w:spacing w:after="240" w:line="480" w:lineRule="auto"/>
      </w:pPr>
      <w:r w:rsidRPr="0095434F">
        <w:t xml:space="preserve">The third theoretical approach </w:t>
      </w:r>
      <w:r w:rsidR="002032C3" w:rsidRPr="0095434F">
        <w:t>was pragmatism</w:t>
      </w:r>
      <w:r w:rsidR="00840D7D" w:rsidRPr="0095434F">
        <w:t xml:space="preserve"> (Crotty, 1998)</w:t>
      </w:r>
      <w:r w:rsidR="002032C3" w:rsidRPr="0095434F">
        <w:t xml:space="preserve"> or </w:t>
      </w:r>
      <w:r w:rsidR="00840D7D" w:rsidRPr="0095434F">
        <w:t xml:space="preserve">also named </w:t>
      </w:r>
      <w:r w:rsidR="00124E75" w:rsidRPr="0095434F">
        <w:t>the transformative paradigm (</w:t>
      </w:r>
      <w:proofErr w:type="spellStart"/>
      <w:r w:rsidR="00124E75" w:rsidRPr="0095434F">
        <w:t>Riyami</w:t>
      </w:r>
      <w:proofErr w:type="spellEnd"/>
      <w:r w:rsidR="00124E75" w:rsidRPr="0095434F">
        <w:t xml:space="preserve">, 2015). </w:t>
      </w:r>
      <w:r w:rsidR="00974C89" w:rsidRPr="0095434F">
        <w:t xml:space="preserve">Pragmatism was an approach that </w:t>
      </w:r>
      <w:r w:rsidR="002D0874" w:rsidRPr="0095434F">
        <w:t xml:space="preserve">can be objective, subjective or both </w:t>
      </w:r>
      <w:r w:rsidR="004D388B" w:rsidRPr="0095434F">
        <w:t>by</w:t>
      </w:r>
      <w:r w:rsidR="002D0874" w:rsidRPr="0095434F">
        <w:t xml:space="preserve"> focusing on solving specific practical issues (Crotty, 1998). </w:t>
      </w:r>
      <w:r w:rsidR="0063259A" w:rsidRPr="0095434F">
        <w:t>This mixed methods research benefit</w:t>
      </w:r>
      <w:r w:rsidR="0009699D" w:rsidRPr="0095434F">
        <w:t>ed</w:t>
      </w:r>
      <w:r w:rsidR="0063259A" w:rsidRPr="0095434F">
        <w:t xml:space="preserve"> </w:t>
      </w:r>
      <w:r w:rsidR="004D388B" w:rsidRPr="0095434F">
        <w:t>from</w:t>
      </w:r>
      <w:r w:rsidR="0063259A" w:rsidRPr="0095434F">
        <w:t xml:space="preserve"> both quantitative and qualitative research</w:t>
      </w:r>
      <w:r w:rsidR="004D388B" w:rsidRPr="0095434F">
        <w:t xml:space="preserve">. </w:t>
      </w:r>
      <w:r w:rsidR="002C6111" w:rsidRPr="0095434F">
        <w:t>The ontological approach of Pragmatism is that reality is constantly changing, renegotia</w:t>
      </w:r>
      <w:r w:rsidR="00321EDF" w:rsidRPr="0095434F">
        <w:t xml:space="preserve">ted and debated due to unpredictable situations </w:t>
      </w:r>
      <w:r w:rsidR="002B04F3" w:rsidRPr="0095434F">
        <w:t xml:space="preserve">(Crotty, 1998). </w:t>
      </w:r>
      <w:r w:rsidR="00A8519E" w:rsidRPr="0095434F">
        <w:t xml:space="preserve">Many theorists </w:t>
      </w:r>
      <w:r w:rsidR="00F3786E" w:rsidRPr="0095434F">
        <w:t>support the pragmatic approach as a theoretical per</w:t>
      </w:r>
      <w:r w:rsidR="007D107D" w:rsidRPr="0095434F">
        <w:t xml:space="preserve">spective within social research due to its mixed-methods methodology. </w:t>
      </w:r>
      <w:r w:rsidR="0080399E" w:rsidRPr="0095434F">
        <w:t xml:space="preserve">Morgan (2014) emphasised the </w:t>
      </w:r>
      <w:r w:rsidR="005963D0" w:rsidRPr="0095434F">
        <w:t xml:space="preserve">support revolved around the practical works of the approach rather than </w:t>
      </w:r>
      <w:r w:rsidR="009777E1" w:rsidRPr="0095434F">
        <w:t xml:space="preserve">the </w:t>
      </w:r>
      <w:r w:rsidR="00C04A23" w:rsidRPr="0095434F">
        <w:t xml:space="preserve">philosophical </w:t>
      </w:r>
      <w:r w:rsidR="009777E1" w:rsidRPr="0095434F">
        <w:t>view.</w:t>
      </w:r>
      <w:r w:rsidR="00F43B99" w:rsidRPr="0095434F">
        <w:t xml:space="preserve"> They supported the use of the pragmatic approach </w:t>
      </w:r>
      <w:r w:rsidR="001A7356" w:rsidRPr="0095434F">
        <w:t>as it “</w:t>
      </w:r>
      <w:r w:rsidR="001A7356" w:rsidRPr="0095434F">
        <w:rPr>
          <w:i/>
          <w:iCs/>
        </w:rPr>
        <w:t xml:space="preserve">disrupts the assumptions of older approaches based on the philosophy of knowledge while providing promising new directions for understanding </w:t>
      </w:r>
      <w:r w:rsidR="00E263C7" w:rsidRPr="0095434F">
        <w:rPr>
          <w:i/>
          <w:iCs/>
        </w:rPr>
        <w:t>the nature of social research</w:t>
      </w:r>
      <w:r w:rsidR="00E263C7" w:rsidRPr="0095434F">
        <w:t xml:space="preserve">,” (Morgan, 2014). </w:t>
      </w:r>
      <w:r w:rsidR="0004669E" w:rsidRPr="0095434F">
        <w:t>Brie</w:t>
      </w:r>
      <w:r w:rsidR="00A11A86" w:rsidRPr="0095434F">
        <w:t xml:space="preserve">rley (2017) also supported the pragmatic paradigm due to its </w:t>
      </w:r>
      <w:r w:rsidR="00274836" w:rsidRPr="0095434F">
        <w:t xml:space="preserve">ability for </w:t>
      </w:r>
      <w:r w:rsidR="001E0A8E" w:rsidRPr="0095434F">
        <w:t>researchers</w:t>
      </w:r>
      <w:r w:rsidR="00274836" w:rsidRPr="0095434F">
        <w:t xml:space="preserve"> to </w:t>
      </w:r>
      <w:r w:rsidR="00274836" w:rsidRPr="0095434F">
        <w:lastRenderedPageBreak/>
        <w:t xml:space="preserve">address a variety of social research investigations </w:t>
      </w:r>
      <w:r w:rsidR="00440FE9" w:rsidRPr="0095434F">
        <w:t xml:space="preserve">with no restrictions </w:t>
      </w:r>
      <w:r w:rsidR="00DD2C49" w:rsidRPr="0095434F">
        <w:t xml:space="preserve">by ontological and epistemological. </w:t>
      </w:r>
    </w:p>
    <w:p w14:paraId="39A5BF45" w14:textId="0B43DAE3" w:rsidR="007D722A" w:rsidRDefault="008C71EF" w:rsidP="00B9475B">
      <w:pPr>
        <w:spacing w:after="240" w:line="480" w:lineRule="auto"/>
      </w:pPr>
      <w:r w:rsidRPr="008C71EF">
        <w:t>Physical education, like many other subjects</w:t>
      </w:r>
      <w:r w:rsidRPr="0095434F">
        <w:t>,</w:t>
      </w:r>
      <w:r w:rsidRPr="008C71EF">
        <w:t xml:space="preserve"> has </w:t>
      </w:r>
      <w:r w:rsidRPr="0095434F">
        <w:t>developed</w:t>
      </w:r>
      <w:r w:rsidRPr="008C71EF">
        <w:t xml:space="preserve"> </w:t>
      </w:r>
      <w:r w:rsidR="00652DDE" w:rsidRPr="0095434F">
        <w:t xml:space="preserve">tremendously </w:t>
      </w:r>
      <w:r w:rsidRPr="008C71EF">
        <w:t xml:space="preserve">throughout history. Toychievich (2022) </w:t>
      </w:r>
      <w:r w:rsidR="00652DDE" w:rsidRPr="0095434F">
        <w:t>suggested</w:t>
      </w:r>
      <w:r w:rsidRPr="008C71EF">
        <w:t xml:space="preserve"> a socio-historical link </w:t>
      </w:r>
      <w:r w:rsidR="00652DDE" w:rsidRPr="0095434F">
        <w:t>to</w:t>
      </w:r>
      <w:r w:rsidRPr="008C71EF">
        <w:t xml:space="preserve"> these changes. </w:t>
      </w:r>
      <w:r w:rsidR="00652DDE" w:rsidRPr="0095434F">
        <w:t xml:space="preserve">According to </w:t>
      </w:r>
      <w:r w:rsidR="00652DDE" w:rsidRPr="008C71EF">
        <w:t>Toychievich (2022)</w:t>
      </w:r>
      <w:r w:rsidR="00652DDE" w:rsidRPr="0095434F">
        <w:t xml:space="preserve">, </w:t>
      </w:r>
      <w:r w:rsidR="00652DDE" w:rsidRPr="008C71EF">
        <w:t xml:space="preserve"> </w:t>
      </w:r>
      <w:r w:rsidR="00652DDE" w:rsidRPr="0095434F">
        <w:t xml:space="preserve">Physical education and physical training </w:t>
      </w:r>
      <w:r w:rsidR="005D3B9B">
        <w:t>have</w:t>
      </w:r>
      <w:r w:rsidR="00652DDE" w:rsidRPr="0095434F">
        <w:t xml:space="preserve"> been an integral part of society for centuries. </w:t>
      </w:r>
      <w:r w:rsidRPr="008C71EF">
        <w:t xml:space="preserve">Ancient humans </w:t>
      </w:r>
      <w:r w:rsidR="00652DDE" w:rsidRPr="0095434F">
        <w:t xml:space="preserve">dating </w:t>
      </w:r>
      <w:r w:rsidRPr="008C71EF">
        <w:t xml:space="preserve">from </w:t>
      </w:r>
      <w:r w:rsidR="00BC20E0" w:rsidRPr="0095434F">
        <w:t>3,000,000 BC</w:t>
      </w:r>
      <w:r w:rsidRPr="008C71EF">
        <w:t xml:space="preserve"> onwards to around 600AD were natural predators and their actions and ability to survive would depict their physical stature</w:t>
      </w:r>
      <w:r w:rsidR="00652DDE" w:rsidRPr="0095434F">
        <w:t xml:space="preserve"> as a result, younger genera</w:t>
      </w:r>
      <w:r w:rsidR="00CA46F3" w:rsidRPr="0095434F">
        <w:t>tions would learn and develop these skills</w:t>
      </w:r>
      <w:r w:rsidR="00652DDE" w:rsidRPr="0095434F">
        <w:t xml:space="preserve"> (</w:t>
      </w:r>
      <w:r w:rsidR="00652DDE" w:rsidRPr="008C71EF">
        <w:t>Toychievich</w:t>
      </w:r>
      <w:r w:rsidR="00652DDE" w:rsidRPr="0095434F">
        <w:t xml:space="preserve">, </w:t>
      </w:r>
      <w:r w:rsidR="00652DDE" w:rsidRPr="008C71EF">
        <w:t>2022)</w:t>
      </w:r>
      <w:r w:rsidRPr="008C71EF">
        <w:t xml:space="preserve">. </w:t>
      </w:r>
      <w:r w:rsidR="00985541" w:rsidRPr="0095434F">
        <w:t xml:space="preserve">In </w:t>
      </w:r>
      <w:r w:rsidR="00985541" w:rsidRPr="008C71EF">
        <w:t>Toychievich</w:t>
      </w:r>
      <w:r w:rsidR="00985541" w:rsidRPr="0095434F">
        <w:t>’s</w:t>
      </w:r>
      <w:r w:rsidR="00985541" w:rsidRPr="008C71EF">
        <w:t xml:space="preserve"> (2022)</w:t>
      </w:r>
      <w:r w:rsidR="00985541" w:rsidRPr="0095434F">
        <w:t xml:space="preserve"> </w:t>
      </w:r>
      <w:r w:rsidR="00770179" w:rsidRPr="0095434F">
        <w:t xml:space="preserve">article, they presented the introduction </w:t>
      </w:r>
      <w:r w:rsidR="00BC20E0" w:rsidRPr="0095434F">
        <w:t xml:space="preserve">of sports </w:t>
      </w:r>
      <w:r w:rsidR="00C119D4" w:rsidRPr="0095434F">
        <w:t xml:space="preserve">in European countries with physical education and training in which </w:t>
      </w:r>
      <w:r w:rsidR="00246B66" w:rsidRPr="0095434F">
        <w:t>individuals learned the skills needed to be a knight and a feud</w:t>
      </w:r>
      <w:r w:rsidR="005D1790" w:rsidRPr="0095434F">
        <w:t>al lord.</w:t>
      </w:r>
      <w:r w:rsidR="00C119D4" w:rsidRPr="0095434F">
        <w:t xml:space="preserve"> </w:t>
      </w:r>
      <w:r w:rsidRPr="008C71EF">
        <w:t xml:space="preserve">After the introduction of capitalism and the industrial revolution, it was understood that strength and good physical condition </w:t>
      </w:r>
      <w:r w:rsidR="00834E25" w:rsidRPr="0095434F">
        <w:t xml:space="preserve">were associated </w:t>
      </w:r>
      <w:r w:rsidRPr="008C71EF">
        <w:t xml:space="preserve">with </w:t>
      </w:r>
      <w:r w:rsidR="00834E25" w:rsidRPr="0095434F">
        <w:t>developing</w:t>
      </w:r>
      <w:r w:rsidRPr="008C71EF">
        <w:t xml:space="preserve"> good workers </w:t>
      </w:r>
      <w:r w:rsidR="00834E25" w:rsidRPr="0095434F">
        <w:t>(</w:t>
      </w:r>
      <w:r w:rsidRPr="008C71EF">
        <w:t>Toychievich</w:t>
      </w:r>
      <w:r w:rsidR="00834E25" w:rsidRPr="0095434F">
        <w:t xml:space="preserve">, </w:t>
      </w:r>
      <w:r w:rsidRPr="008C71EF">
        <w:t>2022). The World Wars brought about a militarization of physical education with a focus on making good soldiers Toychievich (2022).</w:t>
      </w:r>
      <w:r w:rsidR="00254028" w:rsidRPr="0095434F">
        <w:t xml:space="preserve"> </w:t>
      </w:r>
      <w:r w:rsidR="00254028" w:rsidRPr="0095434F">
        <w:rPr>
          <w:lang w:val="cy-GB"/>
        </w:rPr>
        <w:t>Broekhoff</w:t>
      </w:r>
      <w:r w:rsidR="00254028" w:rsidRPr="0095434F">
        <w:t xml:space="preserve"> (1968) supported these findings </w:t>
      </w:r>
      <w:r w:rsidR="0055702C" w:rsidRPr="0095434F">
        <w:t xml:space="preserve">stating “the Middle Ages have seldom evoked the enthusiasm of the historians of physical education.” </w:t>
      </w:r>
      <w:r w:rsidR="003536DD" w:rsidRPr="0095434F">
        <w:t xml:space="preserve">As seen in these findings, the concept of physical education has developed greatly by adapting to the needs of its current society. This can be seen when evaluating physical education today, due to the </w:t>
      </w:r>
      <w:r w:rsidR="00A861B5" w:rsidRPr="0095434F">
        <w:t xml:space="preserve">promotion and use of technology in this digital era. </w:t>
      </w:r>
      <w:r w:rsidR="002934C6" w:rsidRPr="0095434F">
        <w:t xml:space="preserve">As stated by </w:t>
      </w:r>
      <w:r w:rsidR="00A2107F" w:rsidRPr="0095434F">
        <w:t>Capel and Whitehead (2012),</w:t>
      </w:r>
      <w:r w:rsidR="002934C6" w:rsidRPr="0095434F">
        <w:t xml:space="preserve"> </w:t>
      </w:r>
      <w:r w:rsidR="008A1413" w:rsidRPr="0095434F">
        <w:t xml:space="preserve">learning environments in schools have developed to the use of technology </w:t>
      </w:r>
      <w:r w:rsidR="00A2107F" w:rsidRPr="0095434F">
        <w:t>as</w:t>
      </w:r>
      <w:r w:rsidR="008A1413" w:rsidRPr="0095434F">
        <w:t xml:space="preserve"> an integral part of planning </w:t>
      </w:r>
      <w:r w:rsidR="00243CA8" w:rsidRPr="0095434F">
        <w:t xml:space="preserve">and learning, with this also </w:t>
      </w:r>
      <w:r w:rsidR="00B6672A" w:rsidRPr="0095434F">
        <w:t>applies</w:t>
      </w:r>
      <w:r w:rsidR="00243CA8" w:rsidRPr="0095434F">
        <w:t xml:space="preserve"> to Physical Education. </w:t>
      </w:r>
      <w:r w:rsidR="00384DFC" w:rsidRPr="0095434F">
        <w:t xml:space="preserve">The use of technology is therefore allowing Physical Education to reflect </w:t>
      </w:r>
      <w:r w:rsidR="00FE46B6" w:rsidRPr="0095434F">
        <w:t xml:space="preserve">current societal applications. </w:t>
      </w:r>
      <w:r w:rsidR="00A2107F" w:rsidRPr="0095434F">
        <w:t xml:space="preserve">Donnelly (2016) </w:t>
      </w:r>
      <w:r w:rsidR="00243CA8" w:rsidRPr="0095434F">
        <w:t xml:space="preserve">stated that </w:t>
      </w:r>
      <w:r w:rsidR="008B2811" w:rsidRPr="0095434F">
        <w:t xml:space="preserve">there was </w:t>
      </w:r>
      <w:r w:rsidR="00A2107F" w:rsidRPr="0095434F">
        <w:t xml:space="preserve">an </w:t>
      </w:r>
      <w:r w:rsidR="008B2811" w:rsidRPr="0095434F">
        <w:t xml:space="preserve">importance </w:t>
      </w:r>
      <w:r w:rsidR="00A2107F" w:rsidRPr="0095434F">
        <w:t>in</w:t>
      </w:r>
      <w:r w:rsidR="008B2811" w:rsidRPr="0095434F">
        <w:t xml:space="preserve"> </w:t>
      </w:r>
      <w:r w:rsidR="00A2107F" w:rsidRPr="0095434F">
        <w:t>considering</w:t>
      </w:r>
      <w:r w:rsidR="008B2811" w:rsidRPr="0095434F">
        <w:t xml:space="preserve"> the impact of technology </w:t>
      </w:r>
      <w:r w:rsidR="00A2107F" w:rsidRPr="0095434F">
        <w:t>on</w:t>
      </w:r>
      <w:r w:rsidR="008B2811" w:rsidRPr="0095434F">
        <w:t xml:space="preserve"> their </w:t>
      </w:r>
      <w:r w:rsidR="00DD668A" w:rsidRPr="0095434F">
        <w:t xml:space="preserve">learners’ </w:t>
      </w:r>
      <w:r w:rsidR="008B2811" w:rsidRPr="0095434F">
        <w:t xml:space="preserve">lives and therefore, </w:t>
      </w:r>
      <w:r w:rsidR="00A2107F" w:rsidRPr="0095434F">
        <w:t>creating</w:t>
      </w:r>
      <w:r w:rsidR="00F85019" w:rsidRPr="0095434F">
        <w:t xml:space="preserve"> authentic, real-life learning contexts (</w:t>
      </w:r>
      <w:r w:rsidR="00CA71BA" w:rsidRPr="0095434F">
        <w:t xml:space="preserve">Donnelly, 2016). </w:t>
      </w:r>
    </w:p>
    <w:p w14:paraId="55591615" w14:textId="73543100" w:rsidR="009C26C8" w:rsidRDefault="009C26C8" w:rsidP="00B9475B">
      <w:pPr>
        <w:spacing w:after="240" w:line="480" w:lineRule="auto"/>
        <w:rPr>
          <w:color w:val="000000" w:themeColor="text1"/>
        </w:rPr>
      </w:pPr>
      <w:r w:rsidRPr="009C26C8">
        <w:rPr>
          <w:color w:val="000000" w:themeColor="text1"/>
        </w:rPr>
        <w:lastRenderedPageBreak/>
        <w:t>As stated by Konstantinidou et al., (2015), creativity has become a foundation for many educational settings with educators promoting its use</w:t>
      </w:r>
      <w:r w:rsidR="005933C0">
        <w:rPr>
          <w:color w:val="000000" w:themeColor="text1"/>
        </w:rPr>
        <w:t xml:space="preserve"> due to </w:t>
      </w:r>
      <w:r w:rsidR="00BA01BA">
        <w:rPr>
          <w:color w:val="000000" w:themeColor="text1"/>
        </w:rPr>
        <w:t>creativity being “</w:t>
      </w:r>
      <w:r w:rsidR="00BA01BA" w:rsidRPr="00BA01BA">
        <w:rPr>
          <w:color w:val="000000" w:themeColor="text1"/>
          <w:lang w:val="cy-GB"/>
        </w:rPr>
        <w:t>considered crucial and significant for the growth of modern societies, and its promotion stressed through all educational level</w:t>
      </w:r>
      <w:r w:rsidR="00BA01BA">
        <w:rPr>
          <w:color w:val="000000" w:themeColor="text1"/>
        </w:rPr>
        <w:t>s,” (p.2)</w:t>
      </w:r>
      <w:r w:rsidR="009249EE">
        <w:rPr>
          <w:color w:val="000000" w:themeColor="text1"/>
        </w:rPr>
        <w:t xml:space="preserve">. </w:t>
      </w:r>
      <w:r w:rsidR="00157232">
        <w:rPr>
          <w:color w:val="000000" w:themeColor="text1"/>
        </w:rPr>
        <w:t>Although, these benefits are considered</w:t>
      </w:r>
      <w:r w:rsidR="002711E6">
        <w:rPr>
          <w:color w:val="000000" w:themeColor="text1"/>
        </w:rPr>
        <w:t xml:space="preserve"> whilst also ensuring educators consider the barriers to </w:t>
      </w:r>
      <w:r w:rsidR="00937147">
        <w:rPr>
          <w:color w:val="000000" w:themeColor="text1"/>
        </w:rPr>
        <w:t>focusing on</w:t>
      </w:r>
      <w:r w:rsidR="002711E6">
        <w:rPr>
          <w:color w:val="000000" w:themeColor="text1"/>
        </w:rPr>
        <w:t xml:space="preserve"> </w:t>
      </w:r>
      <w:r w:rsidR="00937147">
        <w:rPr>
          <w:color w:val="000000" w:themeColor="text1"/>
        </w:rPr>
        <w:t>creativity in educational settings (</w:t>
      </w:r>
      <w:r w:rsidRPr="009C26C8">
        <w:rPr>
          <w:color w:val="000000" w:themeColor="text1"/>
        </w:rPr>
        <w:t>Craft (2000</w:t>
      </w:r>
      <w:r w:rsidR="00937147">
        <w:rPr>
          <w:color w:val="000000" w:themeColor="text1"/>
        </w:rPr>
        <w:t>;</w:t>
      </w:r>
      <w:r w:rsidRPr="009C26C8">
        <w:rPr>
          <w:color w:val="000000" w:themeColor="text1"/>
        </w:rPr>
        <w:t xml:space="preserve"> Jeffrey and Woods (2003</w:t>
      </w:r>
      <w:r w:rsidR="00937147">
        <w:rPr>
          <w:color w:val="000000" w:themeColor="text1"/>
        </w:rPr>
        <w:t xml:space="preserve">). </w:t>
      </w:r>
      <w:r w:rsidR="00D849DA" w:rsidRPr="00D849DA">
        <w:rPr>
          <w:lang w:val="cy-GB"/>
        </w:rPr>
        <w:t>Kolokoltsev</w:t>
      </w:r>
      <w:r w:rsidR="00D849DA">
        <w:t xml:space="preserve"> et al., (2017) discovered that the use of creative projects and </w:t>
      </w:r>
      <w:r w:rsidR="00AF1568">
        <w:t xml:space="preserve">learners integrating self-reliant creativity components caused many benefits such as higher </w:t>
      </w:r>
      <w:r w:rsidR="007E4452">
        <w:t>competencies</w:t>
      </w:r>
      <w:r w:rsidR="00AF1568">
        <w:t xml:space="preserve"> and increased motivation in comparison to average planned Physical Education </w:t>
      </w:r>
      <w:r w:rsidR="007E4452">
        <w:t xml:space="preserve">lessons. In consideration of these findings, </w:t>
      </w:r>
      <w:r w:rsidR="007E4452" w:rsidRPr="00D849DA">
        <w:rPr>
          <w:lang w:val="cy-GB"/>
        </w:rPr>
        <w:t>Kolokoltsev</w:t>
      </w:r>
      <w:r w:rsidR="007E4452">
        <w:t xml:space="preserve"> et al., (2017)</w:t>
      </w:r>
      <w:r w:rsidR="007E4452">
        <w:t xml:space="preserve"> argued that</w:t>
      </w:r>
      <w:r w:rsidR="00EA1AA4">
        <w:t xml:space="preserve"> educators of Physical Education </w:t>
      </w:r>
      <w:r w:rsidR="005344B2">
        <w:t xml:space="preserve">should apply activities that </w:t>
      </w:r>
      <w:r w:rsidR="00CC2692">
        <w:t xml:space="preserve">ensure learners access self-reliant creativity in their Physical Education lessons to therefore access these benefits. </w:t>
      </w:r>
      <w:r w:rsidR="00157232">
        <w:t xml:space="preserve">The Greek Cross Thematic Curriculum Framework </w:t>
      </w:r>
      <w:r w:rsidR="00080770">
        <w:t xml:space="preserve">understood these benefits and as a result, </w:t>
      </w:r>
      <w:r w:rsidR="001350D8">
        <w:t>has</w:t>
      </w:r>
      <w:r w:rsidR="00080770">
        <w:t xml:space="preserve"> explored </w:t>
      </w:r>
      <w:r w:rsidR="001350D8">
        <w:t>creativity-related</w:t>
      </w:r>
      <w:r w:rsidR="00080770">
        <w:t xml:space="preserve"> issues within Physical Education to ensure </w:t>
      </w:r>
      <w:r w:rsidR="003A264E">
        <w:t>that educators access extensive use of these benefits</w:t>
      </w:r>
      <w:r w:rsidR="00485FD6">
        <w:t xml:space="preserve"> </w:t>
      </w:r>
      <w:r w:rsidR="00252D86">
        <w:t xml:space="preserve">(Pedagogical Institute, 2003). </w:t>
      </w:r>
      <w:r w:rsidR="006300DE">
        <w:t xml:space="preserve">However, </w:t>
      </w:r>
      <w:r w:rsidR="006300DE" w:rsidRPr="009C26C8">
        <w:rPr>
          <w:color w:val="000000" w:themeColor="text1"/>
        </w:rPr>
        <w:t>Konstantinidou et al., (2015)</w:t>
      </w:r>
      <w:r w:rsidR="006300DE">
        <w:rPr>
          <w:color w:val="000000" w:themeColor="text1"/>
        </w:rPr>
        <w:t xml:space="preserve"> found that due to the conflicting </w:t>
      </w:r>
      <w:r w:rsidR="0049706E">
        <w:rPr>
          <w:color w:val="000000" w:themeColor="text1"/>
        </w:rPr>
        <w:t xml:space="preserve">definitions and understandings of creativity, it has caused poor agreements or disagreements </w:t>
      </w:r>
      <w:r w:rsidR="00E00C02">
        <w:rPr>
          <w:color w:val="000000" w:themeColor="text1"/>
        </w:rPr>
        <w:t xml:space="preserve">regarding fostering a beneficial concept of creativity in Physical Education. </w:t>
      </w:r>
      <w:r w:rsidR="006479E1">
        <w:rPr>
          <w:color w:val="000000" w:themeColor="text1"/>
        </w:rPr>
        <w:t xml:space="preserve">A research study conducted by </w:t>
      </w:r>
      <w:r w:rsidR="006479E1" w:rsidRPr="009C26C8">
        <w:rPr>
          <w:color w:val="000000" w:themeColor="text1"/>
        </w:rPr>
        <w:t>Konstantinidou et al., (2015)</w:t>
      </w:r>
      <w:r w:rsidR="006479E1">
        <w:rPr>
          <w:color w:val="000000" w:themeColor="text1"/>
        </w:rPr>
        <w:t xml:space="preserve"> in which quantitative and qualitative analysis was used discovered </w:t>
      </w:r>
      <w:r w:rsidR="009A1234">
        <w:rPr>
          <w:color w:val="000000" w:themeColor="text1"/>
        </w:rPr>
        <w:t>four thematic</w:t>
      </w:r>
      <w:r w:rsidR="00E32ED9">
        <w:rPr>
          <w:color w:val="000000" w:themeColor="text1"/>
        </w:rPr>
        <w:t xml:space="preserve"> categories of barriers to the promotion of creativity in Physical Education. </w:t>
      </w:r>
      <w:r w:rsidR="00371BE0">
        <w:rPr>
          <w:color w:val="000000" w:themeColor="text1"/>
        </w:rPr>
        <w:t xml:space="preserve">However, </w:t>
      </w:r>
      <w:r w:rsidR="00371BE0" w:rsidRPr="009C26C8">
        <w:rPr>
          <w:color w:val="000000" w:themeColor="text1"/>
        </w:rPr>
        <w:t>Konstantinidou et al., (2015)</w:t>
      </w:r>
      <w:r w:rsidR="00371BE0">
        <w:rPr>
          <w:color w:val="000000" w:themeColor="text1"/>
        </w:rPr>
        <w:t xml:space="preserve"> </w:t>
      </w:r>
      <w:r w:rsidR="009E2F2E">
        <w:rPr>
          <w:color w:val="000000" w:themeColor="text1"/>
        </w:rPr>
        <w:t xml:space="preserve">continued to argue that creativity should be promoted and ensured within Physical Education </w:t>
      </w:r>
      <w:r w:rsidR="00F60080">
        <w:rPr>
          <w:color w:val="000000" w:themeColor="text1"/>
        </w:rPr>
        <w:t xml:space="preserve">“for shaping the competitive and creative citizens of the future,” (p.29). </w:t>
      </w:r>
    </w:p>
    <w:p w14:paraId="7FE8B333" w14:textId="62224ACD" w:rsidR="00521B71" w:rsidRPr="0095434F" w:rsidRDefault="00521B71" w:rsidP="00B9475B">
      <w:pPr>
        <w:spacing w:after="240" w:line="480" w:lineRule="auto"/>
        <w:rPr>
          <w:color w:val="FF0000"/>
        </w:rPr>
      </w:pPr>
      <w:r>
        <w:rPr>
          <w:color w:val="000000" w:themeColor="text1"/>
        </w:rPr>
        <w:t xml:space="preserve">In consideration of creativity becoming a growing discussion amongst educators of Physical Education, it was clear that this must be considered when researching topics within Physical Education. I proposed a research </w:t>
      </w:r>
      <w:r w:rsidR="00963E8B">
        <w:rPr>
          <w:color w:val="000000" w:themeColor="text1"/>
        </w:rPr>
        <w:t xml:space="preserve">study in which undergraduates of a </w:t>
      </w:r>
      <w:r w:rsidR="00BB7C95">
        <w:rPr>
          <w:color w:val="000000" w:themeColor="text1"/>
        </w:rPr>
        <w:lastRenderedPageBreak/>
        <w:t>sports</w:t>
      </w:r>
      <w:r w:rsidR="00963E8B">
        <w:rPr>
          <w:color w:val="000000" w:themeColor="text1"/>
        </w:rPr>
        <w:t xml:space="preserve"> course would be investigated to gather whether personality traits within individual or team athletes differed and if so, how? </w:t>
      </w:r>
      <w:r w:rsidR="00D264BB">
        <w:rPr>
          <w:color w:val="000000" w:themeColor="text1"/>
        </w:rPr>
        <w:t xml:space="preserve">As a result of the findings above, </w:t>
      </w:r>
      <w:r w:rsidR="0038646E">
        <w:rPr>
          <w:color w:val="000000" w:themeColor="text1"/>
        </w:rPr>
        <w:t>the topic of ‘creativity’ must be</w:t>
      </w:r>
      <w:r w:rsidR="00D264BB">
        <w:rPr>
          <w:color w:val="000000" w:themeColor="text1"/>
        </w:rPr>
        <w:t xml:space="preserve"> considered within the research topic.</w:t>
      </w:r>
    </w:p>
    <w:p w14:paraId="11A3E8B7" w14:textId="17E45A70" w:rsidR="008C71EF" w:rsidRPr="008C71EF" w:rsidRDefault="008C71EF" w:rsidP="00B9475B">
      <w:pPr>
        <w:spacing w:after="240" w:line="480" w:lineRule="auto"/>
      </w:pPr>
      <w:r w:rsidRPr="008C71EF">
        <w:t xml:space="preserve">The development of creativity </w:t>
      </w:r>
      <w:r w:rsidR="00A2107F" w:rsidRPr="0095434F">
        <w:t>among</w:t>
      </w:r>
      <w:r w:rsidRPr="008C71EF">
        <w:t xml:space="preserve"> team sport athletes is a growing area of interest in the field of sports science</w:t>
      </w:r>
      <w:r w:rsidR="00C42F45">
        <w:t xml:space="preserve"> (</w:t>
      </w:r>
      <w:r w:rsidR="00C42F45" w:rsidRPr="00C42F45">
        <w:rPr>
          <w:lang w:val="cy-GB"/>
        </w:rPr>
        <w:t>Santos</w:t>
      </w:r>
      <w:r w:rsidR="00C42F45" w:rsidRPr="008C71EF">
        <w:t xml:space="preserve"> </w:t>
      </w:r>
      <w:r w:rsidR="00C42F45">
        <w:t xml:space="preserve">et al., 2016). </w:t>
      </w:r>
      <w:r w:rsidR="006F5C62">
        <w:t xml:space="preserve">The Creativity Developmental Framework presented a framework in which </w:t>
      </w:r>
      <w:r w:rsidR="006E41AC">
        <w:t xml:space="preserve">five stages of </w:t>
      </w:r>
      <w:r w:rsidR="00E84CAF">
        <w:t>creativity</w:t>
      </w:r>
      <w:r w:rsidR="006E41AC">
        <w:t xml:space="preserve"> in team sports </w:t>
      </w:r>
      <w:r w:rsidR="00E84CAF">
        <w:t>were</w:t>
      </w:r>
      <w:r w:rsidR="006E41AC">
        <w:t xml:space="preserve"> considered such as beginner; explorer; </w:t>
      </w:r>
      <w:r w:rsidR="00E84CAF">
        <w:t>illuminati</w:t>
      </w:r>
      <w:r w:rsidR="006E41AC">
        <w:t>; creator and rise</w:t>
      </w:r>
      <w:r w:rsidR="00E84CAF">
        <w:t xml:space="preserve">. </w:t>
      </w:r>
      <w:r w:rsidR="00EF00F6">
        <w:t xml:space="preserve"> </w:t>
      </w:r>
      <w:r w:rsidRPr="008C71EF">
        <w:t xml:space="preserve">The emphasis in the initial stage of training </w:t>
      </w:r>
      <w:r w:rsidR="00E84CAF">
        <w:t xml:space="preserve">or as seen in the Framework, beginner, </w:t>
      </w:r>
      <w:r w:rsidRPr="008C71EF">
        <w:t xml:space="preserve">is diversification, deliberate play, and physical literacy. This training allows for more freedom for athletes to generate innovative solutions for scenarios. </w:t>
      </w:r>
    </w:p>
    <w:p w14:paraId="58235EAA" w14:textId="2591F1F6" w:rsidR="008C71EF" w:rsidRPr="008C71EF" w:rsidRDefault="008C71EF" w:rsidP="00B9475B">
      <w:pPr>
        <w:spacing w:after="240" w:line="480" w:lineRule="auto"/>
      </w:pPr>
      <w:r w:rsidRPr="008C71EF">
        <w:t xml:space="preserve">A study </w:t>
      </w:r>
      <w:r w:rsidR="008816A9">
        <w:t xml:space="preserve">conducted by </w:t>
      </w:r>
      <w:r w:rsidR="008816A9" w:rsidRPr="008816A9">
        <w:rPr>
          <w:lang w:val="cy-GB"/>
        </w:rPr>
        <w:t>Aydin</w:t>
      </w:r>
      <w:r w:rsidR="008816A9">
        <w:t xml:space="preserve"> (2019) </w:t>
      </w:r>
      <w:r w:rsidRPr="008C71EF">
        <w:t xml:space="preserve">compared 143 individual and team athletes </w:t>
      </w:r>
      <w:r w:rsidR="008816A9">
        <w:t>at</w:t>
      </w:r>
      <w:r w:rsidRPr="008C71EF">
        <w:t xml:space="preserve"> creativity levels. The p of both factors’ “optimism on creativity” and “spiritual intelligence” scored less than 0.05</w:t>
      </w:r>
      <w:r w:rsidR="008816A9">
        <w:t xml:space="preserve"> which was considered low</w:t>
      </w:r>
      <w:r w:rsidRPr="008C71EF">
        <w:t xml:space="preserve">. Both factors had a "significant positive effect” on teamwork and individual </w:t>
      </w:r>
      <w:r w:rsidR="008816A9">
        <w:t>sports</w:t>
      </w:r>
      <w:r w:rsidRPr="008C71EF">
        <w:t xml:space="preserve"> activities for all participants at the university. Based on this research, creativity and spiritual intelligence are factors that improve performance in both individual and team sports. There should therefore be measures put in place to aid the development of these factors in training across all sports</w:t>
      </w:r>
      <w:r w:rsidR="008816A9">
        <w:t xml:space="preserve"> (Aydin, 2019). </w:t>
      </w:r>
    </w:p>
    <w:p w14:paraId="5FF383B6" w14:textId="76EB3D95" w:rsidR="008C71EF" w:rsidRDefault="008C71EF" w:rsidP="00B9475B">
      <w:pPr>
        <w:spacing w:after="240" w:line="480" w:lineRule="auto"/>
      </w:pPr>
      <w:r w:rsidRPr="008C71EF">
        <w:t xml:space="preserve">The strategy put in place to aid creativity by Santos et al., (2016) could be beneficial in improving performance across all sports. If there was a focus on improving this concept to the point where creativity would improve then it’s very possible that it could </w:t>
      </w:r>
      <w:r w:rsidR="0038646E">
        <w:t>measurably transform the sport</w:t>
      </w:r>
      <w:r w:rsidRPr="008C71EF">
        <w:t>.</w:t>
      </w:r>
    </w:p>
    <w:p w14:paraId="1C10C2CC" w14:textId="4453A9EB" w:rsidR="008C71EF" w:rsidRPr="008C71EF" w:rsidRDefault="00723740" w:rsidP="00B9475B">
      <w:pPr>
        <w:spacing w:after="240" w:line="480" w:lineRule="auto"/>
      </w:pPr>
      <w:r>
        <w:t xml:space="preserve">As stated above, I proposed a research study regarding undergraduates </w:t>
      </w:r>
      <w:r w:rsidR="0038646E">
        <w:t>with</w:t>
      </w:r>
      <w:r>
        <w:t xml:space="preserve"> a sports degree and their personality traits. </w:t>
      </w:r>
      <w:r w:rsidR="008C71EF" w:rsidRPr="008C71EF">
        <w:t xml:space="preserve">The feedback received on my proposal was positive overall. The comments made regarding the research proposal ‘Do personality traits an </w:t>
      </w:r>
      <w:r w:rsidR="008C71EF" w:rsidRPr="008C71EF">
        <w:lastRenderedPageBreak/>
        <w:t xml:space="preserve">individual or team athlete?’ stated the opportunities available through this data collection had an interest in the investigation. As stated in the feedback, there is current data regarding professional athletes and </w:t>
      </w:r>
      <w:r w:rsidR="005D3B9B">
        <w:t>the</w:t>
      </w:r>
      <w:r w:rsidR="008C71EF" w:rsidRPr="008C71EF">
        <w:t xml:space="preserve"> personality traits causing influence their success. However, the feedback suggested an interest in the research study proposed due to the opportunity to evaluate whether these themes found in current data would be reflected </w:t>
      </w:r>
      <w:r w:rsidR="005D3B9B">
        <w:t>among</w:t>
      </w:r>
      <w:r w:rsidR="008C71EF" w:rsidRPr="008C71EF">
        <w:t xml:space="preserve"> undergraduate students undergoing a sports-based degree. </w:t>
      </w:r>
    </w:p>
    <w:p w14:paraId="4A0DD23E" w14:textId="3CB35169" w:rsidR="008C71EF" w:rsidRPr="008C71EF" w:rsidRDefault="008C71EF" w:rsidP="00B9475B">
      <w:pPr>
        <w:spacing w:after="240" w:line="480" w:lineRule="auto"/>
      </w:pPr>
      <w:r w:rsidRPr="008C71EF">
        <w:t xml:space="preserve">In addition, the feedback reflected the in-depth evaluation of the research paradigm and its methodology. They stated that the methodology was clearly explained, including an evaluation of these choices. Some areas of improvement were mentioned also. It was suggested that the proposal should have mentioned more personality traits. I can understand that this would have provided a more in-depth analysis of the subject. It also mentioned that my explanation </w:t>
      </w:r>
      <w:r w:rsidR="0038646E">
        <w:t>of</w:t>
      </w:r>
      <w:r w:rsidRPr="008C71EF">
        <w:t xml:space="preserve"> how Likert scales can be formed from data collected from questionnaires.</w:t>
      </w:r>
    </w:p>
    <w:p w14:paraId="13596857" w14:textId="7FAC20C6" w:rsidR="00B97B2A" w:rsidRPr="0095434F" w:rsidRDefault="008C71EF" w:rsidP="00576892">
      <w:pPr>
        <w:spacing w:after="240" w:line="480" w:lineRule="auto"/>
      </w:pPr>
      <w:r w:rsidRPr="008C71EF">
        <w:t xml:space="preserve">An area can only be developed further when there is more available knowledge in a subject. This can only come from research. It's clear that Physical Education has evolved through </w:t>
      </w:r>
      <w:proofErr w:type="gramStart"/>
      <w:r w:rsidRPr="008C71EF">
        <w:t>time</w:t>
      </w:r>
      <w:proofErr w:type="gramEnd"/>
      <w:r w:rsidRPr="008C71EF">
        <w:t xml:space="preserve"> and this is because it tends to the needs of modern society.</w:t>
      </w:r>
    </w:p>
    <w:p w14:paraId="0838A58D" w14:textId="3CE220B2" w:rsidR="001B4782" w:rsidRPr="0095434F" w:rsidRDefault="001B4782" w:rsidP="0095434F">
      <w:pPr>
        <w:spacing w:line="480" w:lineRule="auto"/>
        <w:rPr>
          <w:u w:val="single"/>
        </w:rPr>
      </w:pPr>
      <w:r w:rsidRPr="0095434F">
        <w:rPr>
          <w:u w:val="single"/>
        </w:rPr>
        <w:t>References</w:t>
      </w:r>
    </w:p>
    <w:p w14:paraId="1117B959" w14:textId="77777777" w:rsidR="00576892" w:rsidRDefault="00576892" w:rsidP="00723740">
      <w:pPr>
        <w:spacing w:after="240" w:line="480" w:lineRule="auto"/>
      </w:pPr>
      <w:r w:rsidRPr="008816A9">
        <w:rPr>
          <w:lang w:val="cy-GB"/>
        </w:rPr>
        <w:t xml:space="preserve">Aydin, E., </w:t>
      </w:r>
      <w:r>
        <w:t>(</w:t>
      </w:r>
      <w:r w:rsidRPr="008816A9">
        <w:rPr>
          <w:lang w:val="cy-GB"/>
        </w:rPr>
        <w:t>2019</w:t>
      </w:r>
      <w:r>
        <w:t>)</w:t>
      </w:r>
      <w:r w:rsidRPr="008816A9">
        <w:rPr>
          <w:lang w:val="cy-GB"/>
        </w:rPr>
        <w:t>. The Effect of Spiritual Intelligence and Optimistic on Creativity in Team and Individual Sports Activities of Trabzon University Students. </w:t>
      </w:r>
      <w:r w:rsidRPr="008816A9">
        <w:rPr>
          <w:i/>
          <w:iCs/>
          <w:lang w:val="cy-GB"/>
        </w:rPr>
        <w:t>Asian Journal of Education and Training</w:t>
      </w:r>
      <w:r w:rsidRPr="008816A9">
        <w:rPr>
          <w:lang w:val="cy-GB"/>
        </w:rPr>
        <w:t>, </w:t>
      </w:r>
      <w:r w:rsidRPr="008816A9">
        <w:rPr>
          <w:i/>
          <w:iCs/>
          <w:lang w:val="cy-GB"/>
        </w:rPr>
        <w:t>5</w:t>
      </w:r>
      <w:r w:rsidRPr="008816A9">
        <w:rPr>
          <w:lang w:val="cy-GB"/>
        </w:rPr>
        <w:t>(3), pp.397-402.</w:t>
      </w:r>
    </w:p>
    <w:p w14:paraId="562E3CEF" w14:textId="77777777" w:rsidR="00576892" w:rsidRPr="0095434F" w:rsidRDefault="00576892" w:rsidP="0095434F">
      <w:pPr>
        <w:spacing w:line="480" w:lineRule="auto"/>
        <w:rPr>
          <w:lang w:val="en-US"/>
        </w:rPr>
      </w:pPr>
      <w:r w:rsidRPr="0095434F">
        <w:rPr>
          <w:lang w:val="en-US"/>
        </w:rPr>
        <w:t xml:space="preserve">Bateson, P., Bateson, P.P.G. and Martin, P., (2013). </w:t>
      </w:r>
      <w:r w:rsidRPr="0095434F">
        <w:rPr>
          <w:i/>
          <w:iCs/>
          <w:lang w:val="en-US"/>
        </w:rPr>
        <w:t xml:space="preserve">Play, playfulness, </w:t>
      </w:r>
      <w:proofErr w:type="gramStart"/>
      <w:r w:rsidRPr="0095434F">
        <w:rPr>
          <w:i/>
          <w:iCs/>
          <w:lang w:val="en-US"/>
        </w:rPr>
        <w:t>creativity</w:t>
      </w:r>
      <w:proofErr w:type="gramEnd"/>
      <w:r w:rsidRPr="0095434F">
        <w:rPr>
          <w:i/>
          <w:iCs/>
          <w:lang w:val="en-US"/>
        </w:rPr>
        <w:t xml:space="preserve"> and innovation</w:t>
      </w:r>
      <w:r w:rsidRPr="0095434F">
        <w:rPr>
          <w:lang w:val="en-US"/>
        </w:rPr>
        <w:t>. Cambridge University Press.</w:t>
      </w:r>
    </w:p>
    <w:p w14:paraId="46E4801B" w14:textId="77777777" w:rsidR="00576892" w:rsidRPr="0095434F" w:rsidRDefault="00576892" w:rsidP="0095434F">
      <w:pPr>
        <w:spacing w:line="480" w:lineRule="auto"/>
      </w:pPr>
      <w:r w:rsidRPr="0095434F">
        <w:t>Brierley, J.A., (2017). The role of a pragmatist paradigm when adopting mixed methods in behavioural accounting research. </w:t>
      </w:r>
      <w:r w:rsidRPr="0095434F">
        <w:rPr>
          <w:i/>
          <w:iCs/>
        </w:rPr>
        <w:t>International Journal of Behavioural Accounting and Finance</w:t>
      </w:r>
      <w:r w:rsidRPr="0095434F">
        <w:t>, </w:t>
      </w:r>
      <w:r w:rsidRPr="0095434F">
        <w:rPr>
          <w:i/>
          <w:iCs/>
        </w:rPr>
        <w:t>6</w:t>
      </w:r>
      <w:r w:rsidRPr="0095434F">
        <w:t>(2), pp.140-154.</w:t>
      </w:r>
    </w:p>
    <w:p w14:paraId="47135922" w14:textId="77777777" w:rsidR="00576892" w:rsidRPr="0095434F" w:rsidRDefault="00576892" w:rsidP="0095434F">
      <w:pPr>
        <w:spacing w:line="480" w:lineRule="auto"/>
      </w:pPr>
      <w:r w:rsidRPr="0095434F">
        <w:rPr>
          <w:lang w:val="cy-GB"/>
        </w:rPr>
        <w:lastRenderedPageBreak/>
        <w:t xml:space="preserve">Broekhoff, J., </w:t>
      </w:r>
      <w:r w:rsidRPr="0095434F">
        <w:t>(</w:t>
      </w:r>
      <w:r w:rsidRPr="0095434F">
        <w:rPr>
          <w:lang w:val="cy-GB"/>
        </w:rPr>
        <w:t>1968</w:t>
      </w:r>
      <w:r w:rsidRPr="0095434F">
        <w:t>)</w:t>
      </w:r>
      <w:r w:rsidRPr="0095434F">
        <w:rPr>
          <w:lang w:val="cy-GB"/>
        </w:rPr>
        <w:t>. Chivalric education in the Middle Ages. </w:t>
      </w:r>
      <w:r w:rsidRPr="0095434F">
        <w:rPr>
          <w:i/>
          <w:iCs/>
          <w:lang w:val="cy-GB"/>
        </w:rPr>
        <w:t>Quest</w:t>
      </w:r>
      <w:r w:rsidRPr="0095434F">
        <w:rPr>
          <w:lang w:val="cy-GB"/>
        </w:rPr>
        <w:t>, </w:t>
      </w:r>
      <w:r w:rsidRPr="0095434F">
        <w:rPr>
          <w:i/>
          <w:iCs/>
          <w:lang w:val="cy-GB"/>
        </w:rPr>
        <w:t>11</w:t>
      </w:r>
      <w:r w:rsidRPr="0095434F">
        <w:rPr>
          <w:lang w:val="cy-GB"/>
        </w:rPr>
        <w:t>(1), pp.24-31.</w:t>
      </w:r>
    </w:p>
    <w:p w14:paraId="4C4F5893" w14:textId="77777777" w:rsidR="00576892" w:rsidRDefault="00576892" w:rsidP="00D849DA">
      <w:pPr>
        <w:spacing w:line="480" w:lineRule="auto"/>
      </w:pPr>
      <w:r w:rsidRPr="0095434F">
        <w:rPr>
          <w:lang w:val="cy-GB"/>
        </w:rPr>
        <w:t xml:space="preserve">Capel, S. and Whitehead, M., </w:t>
      </w:r>
      <w:r w:rsidRPr="0095434F">
        <w:t>(</w:t>
      </w:r>
      <w:r w:rsidRPr="0095434F">
        <w:rPr>
          <w:lang w:val="cy-GB"/>
        </w:rPr>
        <w:t>2012</w:t>
      </w:r>
      <w:r w:rsidRPr="0095434F">
        <w:t>)</w:t>
      </w:r>
      <w:r w:rsidRPr="0095434F">
        <w:rPr>
          <w:lang w:val="cy-GB"/>
        </w:rPr>
        <w:t>. </w:t>
      </w:r>
      <w:r w:rsidRPr="0095434F">
        <w:rPr>
          <w:i/>
          <w:iCs/>
          <w:lang w:val="cy-GB"/>
        </w:rPr>
        <w:t>Debates in physical education</w:t>
      </w:r>
      <w:r w:rsidRPr="0095434F">
        <w:rPr>
          <w:lang w:val="cy-GB"/>
        </w:rPr>
        <w:t>. Routledge.</w:t>
      </w:r>
    </w:p>
    <w:p w14:paraId="1B05D679" w14:textId="77777777" w:rsidR="00576892" w:rsidRDefault="00576892" w:rsidP="0095434F">
      <w:pPr>
        <w:spacing w:line="480" w:lineRule="auto"/>
      </w:pPr>
      <w:r w:rsidRPr="004F126B">
        <w:rPr>
          <w:lang w:val="cy-GB"/>
        </w:rPr>
        <w:t xml:space="preserve">Craft, A. (2000). </w:t>
      </w:r>
      <w:r w:rsidRPr="00A92C14">
        <w:rPr>
          <w:i/>
          <w:iCs/>
          <w:lang w:val="cy-GB"/>
        </w:rPr>
        <w:t>Creativity across the Primary Curriculum: Framing and Developing Practice.</w:t>
      </w:r>
      <w:r w:rsidRPr="004F126B">
        <w:rPr>
          <w:lang w:val="cy-GB"/>
        </w:rPr>
        <w:t xml:space="preserve"> London: Routledge / Falmer.</w:t>
      </w:r>
    </w:p>
    <w:p w14:paraId="4A0195FB" w14:textId="77777777" w:rsidR="00576892" w:rsidRPr="0095434F" w:rsidRDefault="00576892" w:rsidP="0095434F">
      <w:pPr>
        <w:spacing w:line="480" w:lineRule="auto"/>
      </w:pPr>
      <w:r w:rsidRPr="0095434F">
        <w:t xml:space="preserve">Crotty, M. (1998). </w:t>
      </w:r>
      <w:r w:rsidRPr="0095434F">
        <w:rPr>
          <w:i/>
          <w:iCs/>
        </w:rPr>
        <w:t>Foundations of social research: Meaning and Perspective in the Research Process.</w:t>
      </w:r>
      <w:r w:rsidRPr="0095434F">
        <w:t xml:space="preserve"> London, Sage publications. </w:t>
      </w:r>
    </w:p>
    <w:p w14:paraId="39E3969A" w14:textId="77777777" w:rsidR="00576892" w:rsidRPr="0095434F" w:rsidRDefault="00576892" w:rsidP="00D849DA">
      <w:pPr>
        <w:spacing w:line="480" w:lineRule="auto"/>
      </w:pPr>
      <w:r w:rsidRPr="0095434F">
        <w:rPr>
          <w:lang w:val="cy-GB"/>
        </w:rPr>
        <w:t>Donnelly, L., (2016). ‘British children among the least active in the world, with exercise ‘stripped out’ of modern lives’, viewed 19 July 2019, from: www.telegraph.co.uk/ news/2016/11/20/british-children-among-the-least-active-in-the-world-with-exerci/</w:t>
      </w:r>
      <w:r w:rsidRPr="0095434F">
        <w:t xml:space="preserve"> </w:t>
      </w:r>
    </w:p>
    <w:p w14:paraId="6B15524E" w14:textId="77777777" w:rsidR="00576892" w:rsidRPr="0095434F" w:rsidRDefault="00576892" w:rsidP="0095434F">
      <w:pPr>
        <w:spacing w:line="480" w:lineRule="auto"/>
      </w:pPr>
      <w:r w:rsidRPr="0095434F">
        <w:t>Duffy, B., (2006). </w:t>
      </w:r>
      <w:r w:rsidRPr="0095434F">
        <w:rPr>
          <w:i/>
          <w:iCs/>
        </w:rPr>
        <w:t>Supporting creativity and imagination in the early years</w:t>
      </w:r>
      <w:r w:rsidRPr="0095434F">
        <w:t>. McGraw-Hill Education (UK).</w:t>
      </w:r>
    </w:p>
    <w:p w14:paraId="2C037BAA" w14:textId="77777777" w:rsidR="00576892" w:rsidRPr="0095434F" w:rsidRDefault="00576892" w:rsidP="0095434F">
      <w:pPr>
        <w:spacing w:line="480" w:lineRule="auto"/>
        <w:rPr>
          <w:lang w:val="en-US"/>
        </w:rPr>
      </w:pPr>
      <w:r w:rsidRPr="0095434F">
        <w:rPr>
          <w:lang w:val="en-US"/>
        </w:rPr>
        <w:t>Feist, G.J. (1998) ‘A meta-analysis of personality in scientific and artistic creativity’. Personality and Social Psychology Review, 2(4), pp.290-310.</w:t>
      </w:r>
    </w:p>
    <w:p w14:paraId="1CABF004" w14:textId="77777777" w:rsidR="00576892" w:rsidRPr="0095434F" w:rsidRDefault="00576892" w:rsidP="0095434F">
      <w:pPr>
        <w:spacing w:line="480" w:lineRule="auto"/>
      </w:pPr>
      <w:proofErr w:type="spellStart"/>
      <w:r w:rsidRPr="0095434F">
        <w:t>Jacquette</w:t>
      </w:r>
      <w:proofErr w:type="spellEnd"/>
      <w:r w:rsidRPr="0095434F">
        <w:t>, D., (2014). </w:t>
      </w:r>
      <w:r w:rsidRPr="0095434F">
        <w:rPr>
          <w:i/>
          <w:iCs/>
        </w:rPr>
        <w:t>Ontology</w:t>
      </w:r>
      <w:r w:rsidRPr="0095434F">
        <w:t xml:space="preserve">. Routledge, pp 1-352. </w:t>
      </w:r>
    </w:p>
    <w:p w14:paraId="0B239955" w14:textId="77777777" w:rsidR="00576892" w:rsidRDefault="00576892" w:rsidP="0095434F">
      <w:pPr>
        <w:spacing w:line="480" w:lineRule="auto"/>
      </w:pPr>
      <w:r w:rsidRPr="00A92C14">
        <w:rPr>
          <w:lang w:val="cy-GB"/>
        </w:rPr>
        <w:t xml:space="preserve">Jeffrey, B., &amp; Woods, P. (2003). </w:t>
      </w:r>
      <w:r w:rsidRPr="00A92C14">
        <w:rPr>
          <w:i/>
          <w:iCs/>
          <w:lang w:val="cy-GB"/>
        </w:rPr>
        <w:t xml:space="preserve">The creative school: A framework for success, quality and effectiveness. </w:t>
      </w:r>
      <w:r w:rsidRPr="00A92C14">
        <w:rPr>
          <w:lang w:val="cy-GB"/>
        </w:rPr>
        <w:t>London: Routledge / Falmer</w:t>
      </w:r>
      <w:r>
        <w:t>.</w:t>
      </w:r>
    </w:p>
    <w:p w14:paraId="6FBDF71E" w14:textId="77777777" w:rsidR="00576892" w:rsidRPr="0095434F" w:rsidRDefault="00576892" w:rsidP="0095434F">
      <w:pPr>
        <w:spacing w:line="480" w:lineRule="auto"/>
      </w:pPr>
      <w:proofErr w:type="spellStart"/>
      <w:r w:rsidRPr="0095434F">
        <w:t>Kaboub</w:t>
      </w:r>
      <w:proofErr w:type="spellEnd"/>
      <w:r w:rsidRPr="0095434F">
        <w:t>, F., (2008). Positivist paradigm. </w:t>
      </w:r>
      <w:r w:rsidRPr="0095434F">
        <w:rPr>
          <w:i/>
          <w:iCs/>
        </w:rPr>
        <w:t>Encyclopaedia of counselling</w:t>
      </w:r>
      <w:r w:rsidRPr="0095434F">
        <w:t>, </w:t>
      </w:r>
      <w:r w:rsidRPr="0095434F">
        <w:rPr>
          <w:i/>
          <w:iCs/>
        </w:rPr>
        <w:t>2</w:t>
      </w:r>
      <w:r w:rsidRPr="0095434F">
        <w:t>(2), p.343.</w:t>
      </w:r>
    </w:p>
    <w:p w14:paraId="65BE1E4D" w14:textId="77777777" w:rsidR="00576892" w:rsidRPr="0095434F" w:rsidRDefault="00576892" w:rsidP="0095434F">
      <w:pPr>
        <w:spacing w:line="480" w:lineRule="auto"/>
      </w:pPr>
      <w:r w:rsidRPr="0095434F">
        <w:t>Koestler, A., (1964). The act of creation: A study of the conscious and unconscious processes of humor, scientific discovery and art.</w:t>
      </w:r>
    </w:p>
    <w:p w14:paraId="499D5919" w14:textId="77777777" w:rsidR="00576892" w:rsidRPr="009C26C8" w:rsidRDefault="00576892" w:rsidP="00D849DA">
      <w:pPr>
        <w:spacing w:line="480" w:lineRule="auto"/>
      </w:pPr>
      <w:r w:rsidRPr="00D849DA">
        <w:rPr>
          <w:lang w:val="cy-GB"/>
        </w:rPr>
        <w:t>Kolokoltsev, Iermakov, S., &amp; Potop, V. (2017). Creativity project method in academic physical education process. </w:t>
      </w:r>
      <w:r w:rsidRPr="00D849DA">
        <w:rPr>
          <w:i/>
          <w:iCs/>
          <w:lang w:val="cy-GB"/>
        </w:rPr>
        <w:t>Journal of Physical Education and Sport</w:t>
      </w:r>
      <w:r w:rsidRPr="00D849DA">
        <w:rPr>
          <w:lang w:val="cy-GB"/>
        </w:rPr>
        <w:t>, </w:t>
      </w:r>
      <w:r w:rsidRPr="00D849DA">
        <w:rPr>
          <w:i/>
          <w:iCs/>
          <w:lang w:val="cy-GB"/>
        </w:rPr>
        <w:t>17</w:t>
      </w:r>
      <w:r w:rsidRPr="00D849DA">
        <w:rPr>
          <w:lang w:val="cy-GB"/>
        </w:rPr>
        <w:t>(4), 2659–2664. https://doi.org/10.7752/jpes.2017.04305</w:t>
      </w:r>
    </w:p>
    <w:p w14:paraId="346FE7DA" w14:textId="77777777" w:rsidR="00576892" w:rsidRPr="009C26C8" w:rsidRDefault="00576892" w:rsidP="00D849DA">
      <w:pPr>
        <w:spacing w:line="480" w:lineRule="auto"/>
        <w:rPr>
          <w:color w:val="000000" w:themeColor="text1"/>
        </w:rPr>
      </w:pPr>
      <w:r w:rsidRPr="009C26C8">
        <w:rPr>
          <w:color w:val="000000" w:themeColor="text1"/>
        </w:rPr>
        <w:t xml:space="preserve">Konstantinidou, E., </w:t>
      </w:r>
      <w:proofErr w:type="spellStart"/>
      <w:r w:rsidRPr="009C26C8">
        <w:rPr>
          <w:color w:val="000000" w:themeColor="text1"/>
        </w:rPr>
        <w:t>Zisi</w:t>
      </w:r>
      <w:proofErr w:type="spellEnd"/>
      <w:r w:rsidRPr="009C26C8">
        <w:rPr>
          <w:color w:val="000000" w:themeColor="text1"/>
        </w:rPr>
        <w:t xml:space="preserve">, V., </w:t>
      </w:r>
      <w:proofErr w:type="spellStart"/>
      <w:r w:rsidRPr="009C26C8">
        <w:rPr>
          <w:color w:val="000000" w:themeColor="text1"/>
        </w:rPr>
        <w:t>Katsarou</w:t>
      </w:r>
      <w:proofErr w:type="spellEnd"/>
      <w:r w:rsidRPr="009C26C8">
        <w:rPr>
          <w:color w:val="000000" w:themeColor="text1"/>
        </w:rPr>
        <w:t xml:space="preserve">, D. and </w:t>
      </w:r>
      <w:proofErr w:type="spellStart"/>
      <w:r w:rsidRPr="009C26C8">
        <w:rPr>
          <w:color w:val="000000" w:themeColor="text1"/>
        </w:rPr>
        <w:t>Michalopoulou</w:t>
      </w:r>
      <w:proofErr w:type="spellEnd"/>
      <w:r w:rsidRPr="009C26C8">
        <w:rPr>
          <w:color w:val="000000" w:themeColor="text1"/>
        </w:rPr>
        <w:t xml:space="preserve">, M., </w:t>
      </w:r>
      <w:r>
        <w:rPr>
          <w:color w:val="000000" w:themeColor="text1"/>
        </w:rPr>
        <w:t>(</w:t>
      </w:r>
      <w:r w:rsidRPr="009C26C8">
        <w:rPr>
          <w:color w:val="000000" w:themeColor="text1"/>
        </w:rPr>
        <w:t>2015</w:t>
      </w:r>
      <w:r>
        <w:rPr>
          <w:color w:val="000000" w:themeColor="text1"/>
        </w:rPr>
        <w:t>)</w:t>
      </w:r>
      <w:r w:rsidRPr="009C26C8">
        <w:rPr>
          <w:color w:val="000000" w:themeColor="text1"/>
        </w:rPr>
        <w:t>. Barriers and inhibitors of creativity in physical education. </w:t>
      </w:r>
      <w:r w:rsidRPr="009C26C8">
        <w:rPr>
          <w:i/>
          <w:iCs/>
          <w:color w:val="000000" w:themeColor="text1"/>
        </w:rPr>
        <w:t>European Psychomotricity Journal</w:t>
      </w:r>
      <w:r w:rsidRPr="009C26C8">
        <w:rPr>
          <w:color w:val="000000" w:themeColor="text1"/>
        </w:rPr>
        <w:t>, </w:t>
      </w:r>
      <w:r w:rsidRPr="009C26C8">
        <w:rPr>
          <w:i/>
          <w:iCs/>
          <w:color w:val="000000" w:themeColor="text1"/>
        </w:rPr>
        <w:t>7</w:t>
      </w:r>
      <w:r w:rsidRPr="009C26C8">
        <w:rPr>
          <w:color w:val="000000" w:themeColor="text1"/>
        </w:rPr>
        <w:t>(1), pp.17-31.</w:t>
      </w:r>
    </w:p>
    <w:p w14:paraId="441E72E2" w14:textId="77777777" w:rsidR="00576892" w:rsidRPr="0095434F" w:rsidRDefault="00576892" w:rsidP="0095434F">
      <w:pPr>
        <w:spacing w:line="480" w:lineRule="auto"/>
      </w:pPr>
      <w:r w:rsidRPr="0095434F">
        <w:lastRenderedPageBreak/>
        <w:t xml:space="preserve">Mack, L. (2010). The philosophical underpinnings of educational research. </w:t>
      </w:r>
      <w:r w:rsidRPr="0095434F">
        <w:rPr>
          <w:i/>
          <w:iCs/>
        </w:rPr>
        <w:t>Polyglossia</w:t>
      </w:r>
      <w:r w:rsidRPr="0095434F">
        <w:t xml:space="preserve">,19. </w:t>
      </w:r>
      <w:hyperlink r:id="rId6" w:history="1">
        <w:r w:rsidRPr="0095434F">
          <w:rPr>
            <w:rStyle w:val="Hyperlink"/>
          </w:rPr>
          <w:t>http://en.apu.ac.jp/rcaps/uploads/fckeditor/publications/polyglossia/Polyglossia_V19_Lindsay.pdf</w:t>
        </w:r>
      </w:hyperlink>
      <w:r w:rsidRPr="0095434F">
        <w:t xml:space="preserve"> [Accessed 6/1/23].</w:t>
      </w:r>
    </w:p>
    <w:p w14:paraId="5F2A1607" w14:textId="77777777" w:rsidR="00576892" w:rsidRDefault="00576892" w:rsidP="00723740">
      <w:pPr>
        <w:pStyle w:val="NormalWeb"/>
        <w:spacing w:before="0" w:beforeAutospacing="0" w:after="240" w:afterAutospacing="0" w:line="480" w:lineRule="auto"/>
        <w:rPr>
          <w:color w:val="222222"/>
          <w:shd w:val="clear" w:color="auto" w:fill="FFFFFF"/>
        </w:rPr>
      </w:pPr>
      <w:proofErr w:type="spellStart"/>
      <w:r>
        <w:rPr>
          <w:color w:val="222222"/>
          <w:shd w:val="clear" w:color="auto" w:fill="FFFFFF"/>
        </w:rPr>
        <w:t>Memmert</w:t>
      </w:r>
      <w:proofErr w:type="spellEnd"/>
      <w:r>
        <w:rPr>
          <w:color w:val="222222"/>
          <w:shd w:val="clear" w:color="auto" w:fill="FFFFFF"/>
        </w:rPr>
        <w:t>, D., (2011). Sports and creativity. </w:t>
      </w:r>
      <w:proofErr w:type="spellStart"/>
      <w:r>
        <w:rPr>
          <w:i/>
          <w:iCs/>
          <w:color w:val="222222"/>
          <w:shd w:val="clear" w:color="auto" w:fill="FFFFFF"/>
        </w:rPr>
        <w:t>Encyclopedia</w:t>
      </w:r>
      <w:proofErr w:type="spellEnd"/>
      <w:r>
        <w:rPr>
          <w:i/>
          <w:iCs/>
          <w:color w:val="222222"/>
          <w:shd w:val="clear" w:color="auto" w:fill="FFFFFF"/>
        </w:rPr>
        <w:t xml:space="preserve"> of creativity</w:t>
      </w:r>
      <w:r>
        <w:rPr>
          <w:color w:val="222222"/>
          <w:shd w:val="clear" w:color="auto" w:fill="FFFFFF"/>
        </w:rPr>
        <w:t>, </w:t>
      </w:r>
      <w:r>
        <w:rPr>
          <w:i/>
          <w:iCs/>
          <w:color w:val="222222"/>
          <w:shd w:val="clear" w:color="auto" w:fill="FFFFFF"/>
        </w:rPr>
        <w:t>2</w:t>
      </w:r>
      <w:r>
        <w:rPr>
          <w:color w:val="222222"/>
          <w:shd w:val="clear" w:color="auto" w:fill="FFFFFF"/>
        </w:rPr>
        <w:t>, pp.373-378.</w:t>
      </w:r>
    </w:p>
    <w:p w14:paraId="6C9BE0C8" w14:textId="77777777" w:rsidR="00576892" w:rsidRPr="0095434F" w:rsidRDefault="00576892" w:rsidP="0095434F">
      <w:pPr>
        <w:spacing w:line="480" w:lineRule="auto"/>
      </w:pPr>
      <w:r w:rsidRPr="0095434F">
        <w:t>Morgan, D.L., (2014). Pragmatism as a paradigm for social research. </w:t>
      </w:r>
      <w:r w:rsidRPr="0095434F">
        <w:rPr>
          <w:i/>
          <w:iCs/>
        </w:rPr>
        <w:t>Qualitative inquiry</w:t>
      </w:r>
      <w:r w:rsidRPr="0095434F">
        <w:t>, </w:t>
      </w:r>
      <w:r w:rsidRPr="0095434F">
        <w:rPr>
          <w:i/>
          <w:iCs/>
        </w:rPr>
        <w:t>20</w:t>
      </w:r>
      <w:r w:rsidRPr="0095434F">
        <w:t>(8), pp.1045-1053.</w:t>
      </w:r>
    </w:p>
    <w:p w14:paraId="55C15D37" w14:textId="4F66FF51" w:rsidR="00576892" w:rsidRPr="0095434F" w:rsidRDefault="00576892" w:rsidP="0095434F">
      <w:pPr>
        <w:spacing w:line="480" w:lineRule="auto"/>
      </w:pPr>
      <w:r w:rsidRPr="0095434F">
        <w:t xml:space="preserve">Morgenthau, H.J., (2017). </w:t>
      </w:r>
      <w:r w:rsidRPr="0095434F">
        <w:rPr>
          <w:i/>
          <w:iCs/>
        </w:rPr>
        <w:t>Positivism, functionalism, and international law</w:t>
      </w:r>
      <w:r w:rsidRPr="0095434F">
        <w:t>. In The Nature</w:t>
      </w:r>
      <w:r w:rsidR="007B10D2">
        <w:t xml:space="preserve"> </w:t>
      </w:r>
      <w:r w:rsidRPr="0095434F">
        <w:t>of International Law, Routledge, pp. 159-184.</w:t>
      </w:r>
    </w:p>
    <w:p w14:paraId="7621F785" w14:textId="77777777" w:rsidR="00576892" w:rsidRDefault="00576892" w:rsidP="0095434F">
      <w:pPr>
        <w:spacing w:line="480" w:lineRule="auto"/>
      </w:pPr>
      <w:r w:rsidRPr="0076065B">
        <w:rPr>
          <w:lang w:val="cy-GB"/>
        </w:rPr>
        <w:t>Pedagogical Institute</w:t>
      </w:r>
      <w:r>
        <w:t xml:space="preserve"> (PI)</w:t>
      </w:r>
      <w:r w:rsidRPr="0076065B">
        <w:rPr>
          <w:lang w:val="cy-GB"/>
        </w:rPr>
        <w:t>,.</w:t>
      </w:r>
      <w:r>
        <w:t xml:space="preserve"> (2003)</w:t>
      </w:r>
      <w:r w:rsidRPr="0076065B">
        <w:rPr>
          <w:lang w:val="cy-GB"/>
        </w:rPr>
        <w:t xml:space="preserve"> A </w:t>
      </w:r>
      <w:r>
        <w:t>cross-thematic</w:t>
      </w:r>
      <w:r w:rsidRPr="0076065B">
        <w:rPr>
          <w:lang w:val="cy-GB"/>
        </w:rPr>
        <w:t xml:space="preserve"> curriculum framework for compulsory education. Retrieved from: </w:t>
      </w:r>
      <w:r>
        <w:fldChar w:fldCharType="begin"/>
      </w:r>
      <w:r>
        <w:instrText xml:space="preserve"> HYPERLINK "</w:instrText>
      </w:r>
      <w:r w:rsidRPr="0076065B">
        <w:rPr>
          <w:lang w:val="cy-GB"/>
        </w:rPr>
        <w:instrText>http://www.pi-schools.gr/programs/depps/index_eng.php</w:instrText>
      </w:r>
      <w:r>
        <w:instrText xml:space="preserve">" </w:instrText>
      </w:r>
      <w:r>
        <w:fldChar w:fldCharType="separate"/>
      </w:r>
      <w:r w:rsidRPr="00D33E33">
        <w:rPr>
          <w:rStyle w:val="Hyperlink"/>
          <w:lang w:val="cy-GB"/>
        </w:rPr>
        <w:t>http://www.pi-schools.gr/programs/depps/index_eng.php</w:t>
      </w:r>
      <w:r>
        <w:fldChar w:fldCharType="end"/>
      </w:r>
      <w:r>
        <w:t xml:space="preserve"> </w:t>
      </w:r>
    </w:p>
    <w:p w14:paraId="1021A2C7" w14:textId="77777777" w:rsidR="00576892" w:rsidRPr="0095434F" w:rsidRDefault="00576892" w:rsidP="0095434F">
      <w:pPr>
        <w:spacing w:line="480" w:lineRule="auto"/>
      </w:pPr>
      <w:r w:rsidRPr="0095434F">
        <w:t>Pham, L.T.M., (2018). Qualitative approach to research a review of advantages and disadvantages of three paradigms: Positivism, interpretivism and critical inquiry. </w:t>
      </w:r>
      <w:r w:rsidRPr="0095434F">
        <w:rPr>
          <w:i/>
          <w:iCs/>
        </w:rPr>
        <w:t>University of Adelaide</w:t>
      </w:r>
      <w:r w:rsidRPr="0095434F">
        <w:t>.</w:t>
      </w:r>
    </w:p>
    <w:p w14:paraId="756E70B3" w14:textId="77777777" w:rsidR="00576892" w:rsidRPr="0095434F" w:rsidRDefault="00576892" w:rsidP="0095434F">
      <w:pPr>
        <w:spacing w:line="480" w:lineRule="auto"/>
      </w:pPr>
      <w:proofErr w:type="spellStart"/>
      <w:r w:rsidRPr="0095434F">
        <w:t>Riyami</w:t>
      </w:r>
      <w:proofErr w:type="spellEnd"/>
      <w:r w:rsidRPr="0095434F">
        <w:t xml:space="preserve">, A., T (2015). Main Approaches to Educational Research. </w:t>
      </w:r>
      <w:r w:rsidRPr="0095434F">
        <w:rPr>
          <w:i/>
          <w:iCs/>
        </w:rPr>
        <w:t>International Journal of Innovation and Research in Educational Sciences</w:t>
      </w:r>
      <w:r w:rsidRPr="0095434F">
        <w:t xml:space="preserve">, 2(5). </w:t>
      </w:r>
    </w:p>
    <w:p w14:paraId="28E67D03" w14:textId="77777777" w:rsidR="00576892" w:rsidRPr="0095434F" w:rsidRDefault="00576892" w:rsidP="0095434F">
      <w:pPr>
        <w:spacing w:line="480" w:lineRule="auto"/>
      </w:pPr>
      <w:r w:rsidRPr="0095434F">
        <w:t>Ryan, G., (2018). Introduction to positivism, interpretivism and critical theory. </w:t>
      </w:r>
      <w:r w:rsidRPr="0095434F">
        <w:rPr>
          <w:i/>
          <w:iCs/>
        </w:rPr>
        <w:t>Nurse researcher</w:t>
      </w:r>
      <w:r w:rsidRPr="0095434F">
        <w:t>, </w:t>
      </w:r>
      <w:r w:rsidRPr="0095434F">
        <w:rPr>
          <w:i/>
          <w:iCs/>
        </w:rPr>
        <w:t>25</w:t>
      </w:r>
      <w:r w:rsidRPr="0095434F">
        <w:t>(4), pp.41-49.</w:t>
      </w:r>
    </w:p>
    <w:p w14:paraId="2D56AAD7" w14:textId="77777777" w:rsidR="00576892" w:rsidRPr="0095434F" w:rsidRDefault="00576892" w:rsidP="0095434F">
      <w:pPr>
        <w:spacing w:line="480" w:lineRule="auto"/>
      </w:pPr>
      <w:r w:rsidRPr="0095434F">
        <w:t>Sandberg, J., (2005). How do we justify knowledge produced within interpretive approaches?. </w:t>
      </w:r>
      <w:r w:rsidRPr="0095434F">
        <w:rPr>
          <w:i/>
          <w:iCs/>
        </w:rPr>
        <w:t>Organizational research methods</w:t>
      </w:r>
      <w:r w:rsidRPr="0095434F">
        <w:t>, </w:t>
      </w:r>
      <w:r w:rsidRPr="0095434F">
        <w:rPr>
          <w:i/>
          <w:iCs/>
        </w:rPr>
        <w:t>8</w:t>
      </w:r>
      <w:r w:rsidRPr="0095434F">
        <w:t>(1), pp.41-68.</w:t>
      </w:r>
    </w:p>
    <w:p w14:paraId="70E4D045" w14:textId="77777777" w:rsidR="00576892" w:rsidRDefault="00576892" w:rsidP="0095434F">
      <w:pPr>
        <w:spacing w:line="480" w:lineRule="auto"/>
      </w:pPr>
      <w:r w:rsidRPr="00C42F45">
        <w:rPr>
          <w:lang w:val="cy-GB"/>
        </w:rPr>
        <w:t xml:space="preserve">Santos, S.D., Memmert, D., Sampaio, J. and Leite, N., </w:t>
      </w:r>
      <w:r>
        <w:t>(</w:t>
      </w:r>
      <w:r w:rsidRPr="00C42F45">
        <w:rPr>
          <w:lang w:val="cy-GB"/>
        </w:rPr>
        <w:t>2016</w:t>
      </w:r>
      <w:r>
        <w:t>)</w:t>
      </w:r>
      <w:r w:rsidRPr="00C42F45">
        <w:rPr>
          <w:lang w:val="cy-GB"/>
        </w:rPr>
        <w:t>. The spawns of creative behavior in team sports: A creativity developmental framework. </w:t>
      </w:r>
      <w:r w:rsidRPr="00C42F45">
        <w:rPr>
          <w:i/>
          <w:iCs/>
          <w:lang w:val="cy-GB"/>
        </w:rPr>
        <w:t>Frontiers in psychology</w:t>
      </w:r>
      <w:r w:rsidRPr="00C42F45">
        <w:rPr>
          <w:lang w:val="cy-GB"/>
        </w:rPr>
        <w:t>, </w:t>
      </w:r>
      <w:r w:rsidRPr="00C42F45">
        <w:rPr>
          <w:i/>
          <w:iCs/>
          <w:lang w:val="cy-GB"/>
        </w:rPr>
        <w:t>7</w:t>
      </w:r>
      <w:r w:rsidRPr="00C42F45">
        <w:rPr>
          <w:lang w:val="cy-GB"/>
        </w:rPr>
        <w:t>, p.1282.</w:t>
      </w:r>
    </w:p>
    <w:p w14:paraId="1516E2ED" w14:textId="77777777" w:rsidR="00576892" w:rsidRPr="0095434F" w:rsidRDefault="00576892" w:rsidP="0095434F">
      <w:pPr>
        <w:spacing w:line="480" w:lineRule="auto"/>
      </w:pPr>
      <w:proofErr w:type="spellStart"/>
      <w:r w:rsidRPr="0095434F">
        <w:t>Scauso</w:t>
      </w:r>
      <w:proofErr w:type="spellEnd"/>
      <w:r w:rsidRPr="0095434F">
        <w:t>, M.S., (2020). Interpretivism: Definitions, trends, and emerging paths. In </w:t>
      </w:r>
      <w:r w:rsidRPr="0095434F">
        <w:rPr>
          <w:i/>
          <w:iCs/>
        </w:rPr>
        <w:t>Oxford Research Encyclopedia of International Studies</w:t>
      </w:r>
      <w:r w:rsidRPr="0095434F">
        <w:t>.</w:t>
      </w:r>
    </w:p>
    <w:p w14:paraId="2A0C5B51" w14:textId="77777777" w:rsidR="00576892" w:rsidRPr="0095434F" w:rsidRDefault="00576892" w:rsidP="0095434F">
      <w:pPr>
        <w:spacing w:line="480" w:lineRule="auto"/>
      </w:pPr>
      <w:r w:rsidRPr="0095434F">
        <w:rPr>
          <w:lang w:val="en-US"/>
        </w:rPr>
        <w:lastRenderedPageBreak/>
        <w:t xml:space="preserve">Sharp, C. (2004) Developing young children’s creativity: what can we learn from research? </w:t>
      </w:r>
      <w:r w:rsidRPr="0095434F">
        <w:rPr>
          <w:i/>
          <w:iCs/>
          <w:lang w:val="en-US"/>
        </w:rPr>
        <w:t xml:space="preserve">Topic (32) </w:t>
      </w:r>
      <w:r w:rsidRPr="0095434F">
        <w:rPr>
          <w:lang w:val="en-US"/>
        </w:rPr>
        <w:t>pp.5-12</w:t>
      </w:r>
    </w:p>
    <w:p w14:paraId="3717F543" w14:textId="77777777" w:rsidR="00576892" w:rsidRPr="00723740" w:rsidRDefault="00576892" w:rsidP="00723740">
      <w:pPr>
        <w:pStyle w:val="NormalWeb"/>
        <w:spacing w:after="240" w:afterAutospacing="0" w:line="480" w:lineRule="auto"/>
        <w:rPr>
          <w:color w:val="000000"/>
        </w:rPr>
      </w:pPr>
      <w:r w:rsidRPr="00723740">
        <w:rPr>
          <w:color w:val="000000"/>
        </w:rPr>
        <w:t>Toychievich, K.I., (2022). Historical Characteristics, General Content and Stages of Development of Physical Education. </w:t>
      </w:r>
      <w:r w:rsidRPr="00723740">
        <w:rPr>
          <w:i/>
          <w:iCs/>
          <w:color w:val="000000"/>
        </w:rPr>
        <w:t>Journal of Pedagogical Inventions and Practices</w:t>
      </w:r>
      <w:r w:rsidRPr="00723740">
        <w:rPr>
          <w:color w:val="000000"/>
        </w:rPr>
        <w:t>, </w:t>
      </w:r>
      <w:r w:rsidRPr="00723740">
        <w:rPr>
          <w:i/>
          <w:iCs/>
          <w:color w:val="000000"/>
        </w:rPr>
        <w:t>5</w:t>
      </w:r>
      <w:r w:rsidRPr="00723740">
        <w:rPr>
          <w:color w:val="000000"/>
        </w:rPr>
        <w:t>, pp.18-21.</w:t>
      </w:r>
    </w:p>
    <w:p w14:paraId="2D28E614" w14:textId="77777777" w:rsidR="00576892" w:rsidRPr="0095434F" w:rsidRDefault="00576892" w:rsidP="0095434F">
      <w:pPr>
        <w:spacing w:line="480" w:lineRule="auto"/>
      </w:pPr>
      <w:r w:rsidRPr="0095434F">
        <w:t xml:space="preserve">Tuli, F. (2010). The basis of distinction between quantitative and qualitative in social science: reflection on ontological, epistemological and methodological perspectives. </w:t>
      </w:r>
      <w:r w:rsidRPr="0095434F">
        <w:rPr>
          <w:i/>
          <w:iCs/>
        </w:rPr>
        <w:t>Ethiop.journal of education and science</w:t>
      </w:r>
      <w:r w:rsidRPr="0095434F">
        <w:t>, 6 (1), pp. 97-108.</w:t>
      </w:r>
    </w:p>
    <w:p w14:paraId="150F65D5" w14:textId="77777777" w:rsidR="00576892" w:rsidRPr="0095434F" w:rsidRDefault="00576892" w:rsidP="0095434F">
      <w:pPr>
        <w:spacing w:line="480" w:lineRule="auto"/>
      </w:pPr>
      <w:r w:rsidRPr="0095434F">
        <w:t xml:space="preserve">Wellington, J., &amp; Szczerbinski, M. (2007). </w:t>
      </w:r>
      <w:r w:rsidRPr="0095434F">
        <w:rPr>
          <w:i/>
          <w:iCs/>
        </w:rPr>
        <w:t>Research methods for the social sciences</w:t>
      </w:r>
      <w:r w:rsidRPr="0095434F">
        <w:t>, London: Continuum.</w:t>
      </w:r>
    </w:p>
    <w:p w14:paraId="100014E4" w14:textId="77777777" w:rsidR="00723740" w:rsidRPr="00723740" w:rsidRDefault="00723740" w:rsidP="00723740">
      <w:pPr>
        <w:pStyle w:val="NormalWeb"/>
        <w:spacing w:after="0"/>
        <w:rPr>
          <w:color w:val="000000"/>
        </w:rPr>
      </w:pPr>
    </w:p>
    <w:p w14:paraId="6E2E235A" w14:textId="77777777" w:rsidR="00723740" w:rsidRPr="00723740" w:rsidRDefault="00723740" w:rsidP="00723740">
      <w:pPr>
        <w:pStyle w:val="NormalWeb"/>
        <w:rPr>
          <w:color w:val="000000"/>
        </w:rPr>
      </w:pPr>
    </w:p>
    <w:p w14:paraId="28A6377F" w14:textId="77777777" w:rsidR="00723740" w:rsidRDefault="00723740" w:rsidP="00723740">
      <w:pPr>
        <w:pStyle w:val="NormalWeb"/>
        <w:spacing w:before="0" w:beforeAutospacing="0" w:after="0" w:afterAutospacing="0"/>
        <w:rPr>
          <w:color w:val="000000"/>
        </w:rPr>
      </w:pPr>
    </w:p>
    <w:p w14:paraId="681B7076" w14:textId="77777777" w:rsidR="00723740" w:rsidRDefault="00723740" w:rsidP="00723740">
      <w:pPr>
        <w:spacing w:after="240"/>
      </w:pPr>
    </w:p>
    <w:p w14:paraId="7FB64AE9" w14:textId="77777777" w:rsidR="00723740" w:rsidRDefault="00723740" w:rsidP="00723740"/>
    <w:p w14:paraId="07E0DEBB" w14:textId="77777777" w:rsidR="00723740" w:rsidRPr="0095434F" w:rsidRDefault="00723740" w:rsidP="0095434F">
      <w:pPr>
        <w:spacing w:line="480" w:lineRule="auto"/>
      </w:pPr>
    </w:p>
    <w:sectPr w:rsidR="00723740" w:rsidRPr="0095434F" w:rsidSect="00576892">
      <w:footerReference w:type="even" r:id="rId7"/>
      <w:footerReference w:type="default" r:id="rId8"/>
      <w:pgSz w:w="11906" w:h="16838"/>
      <w:pgMar w:top="1134"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9C62A" w14:textId="77777777" w:rsidR="005F695B" w:rsidRDefault="005F695B" w:rsidP="007B10D2">
      <w:r>
        <w:separator/>
      </w:r>
    </w:p>
  </w:endnote>
  <w:endnote w:type="continuationSeparator" w:id="0">
    <w:p w14:paraId="6F65C67F" w14:textId="77777777" w:rsidR="005F695B" w:rsidRDefault="005F695B" w:rsidP="007B1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6478709"/>
      <w:docPartObj>
        <w:docPartGallery w:val="Page Numbers (Bottom of Page)"/>
        <w:docPartUnique/>
      </w:docPartObj>
    </w:sdtPr>
    <w:sdtContent>
      <w:p w14:paraId="6026BD55" w14:textId="6E22D15B" w:rsidR="007B10D2" w:rsidRDefault="007B10D2" w:rsidP="00D33E3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DE872A1" w14:textId="77777777" w:rsidR="007B10D2" w:rsidRDefault="007B10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7758523"/>
      <w:docPartObj>
        <w:docPartGallery w:val="Page Numbers (Bottom of Page)"/>
        <w:docPartUnique/>
      </w:docPartObj>
    </w:sdtPr>
    <w:sdtContent>
      <w:p w14:paraId="33402FCB" w14:textId="688EB825" w:rsidR="007B10D2" w:rsidRDefault="007B10D2" w:rsidP="00D33E3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9A78D3" w14:textId="77777777" w:rsidR="007B10D2" w:rsidRDefault="007B10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0F8E1" w14:textId="77777777" w:rsidR="005F695B" w:rsidRDefault="005F695B" w:rsidP="007B10D2">
      <w:r>
        <w:separator/>
      </w:r>
    </w:p>
  </w:footnote>
  <w:footnote w:type="continuationSeparator" w:id="0">
    <w:p w14:paraId="095A6674" w14:textId="77777777" w:rsidR="005F695B" w:rsidRDefault="005F695B" w:rsidP="007B10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782"/>
    <w:rsid w:val="00016E9F"/>
    <w:rsid w:val="000242D5"/>
    <w:rsid w:val="00026B08"/>
    <w:rsid w:val="000443B2"/>
    <w:rsid w:val="0004669E"/>
    <w:rsid w:val="00080770"/>
    <w:rsid w:val="0009699D"/>
    <w:rsid w:val="000A2F92"/>
    <w:rsid w:val="000A47B8"/>
    <w:rsid w:val="000A6065"/>
    <w:rsid w:val="000D39AA"/>
    <w:rsid w:val="000D5738"/>
    <w:rsid w:val="0010555E"/>
    <w:rsid w:val="00116E69"/>
    <w:rsid w:val="00124E75"/>
    <w:rsid w:val="001350D8"/>
    <w:rsid w:val="0014328C"/>
    <w:rsid w:val="001549C4"/>
    <w:rsid w:val="00157232"/>
    <w:rsid w:val="001629A2"/>
    <w:rsid w:val="001A7356"/>
    <w:rsid w:val="001B2000"/>
    <w:rsid w:val="001B4782"/>
    <w:rsid w:val="001D1F98"/>
    <w:rsid w:val="001E0A8E"/>
    <w:rsid w:val="002032C3"/>
    <w:rsid w:val="00243CA8"/>
    <w:rsid w:val="00245878"/>
    <w:rsid w:val="00246B66"/>
    <w:rsid w:val="00252D86"/>
    <w:rsid w:val="00254028"/>
    <w:rsid w:val="00264486"/>
    <w:rsid w:val="002711E6"/>
    <w:rsid w:val="00274836"/>
    <w:rsid w:val="002934C6"/>
    <w:rsid w:val="002A1F91"/>
    <w:rsid w:val="002B04F3"/>
    <w:rsid w:val="002C6111"/>
    <w:rsid w:val="002D0874"/>
    <w:rsid w:val="002E1248"/>
    <w:rsid w:val="00304759"/>
    <w:rsid w:val="00316E20"/>
    <w:rsid w:val="00321EDF"/>
    <w:rsid w:val="003536DD"/>
    <w:rsid w:val="00360740"/>
    <w:rsid w:val="00371BE0"/>
    <w:rsid w:val="00372D89"/>
    <w:rsid w:val="00384DFC"/>
    <w:rsid w:val="0038646E"/>
    <w:rsid w:val="00390659"/>
    <w:rsid w:val="003A264E"/>
    <w:rsid w:val="003C6F5B"/>
    <w:rsid w:val="004020A9"/>
    <w:rsid w:val="00426726"/>
    <w:rsid w:val="004308A2"/>
    <w:rsid w:val="00435760"/>
    <w:rsid w:val="00440FE9"/>
    <w:rsid w:val="00453A35"/>
    <w:rsid w:val="00482D1A"/>
    <w:rsid w:val="00485FD6"/>
    <w:rsid w:val="0049075F"/>
    <w:rsid w:val="0049706E"/>
    <w:rsid w:val="004B7DC9"/>
    <w:rsid w:val="004C17A2"/>
    <w:rsid w:val="004D388B"/>
    <w:rsid w:val="004F126B"/>
    <w:rsid w:val="004F21A0"/>
    <w:rsid w:val="00521B71"/>
    <w:rsid w:val="0052707A"/>
    <w:rsid w:val="00533213"/>
    <w:rsid w:val="005344B2"/>
    <w:rsid w:val="005564C0"/>
    <w:rsid w:val="0055702C"/>
    <w:rsid w:val="00576892"/>
    <w:rsid w:val="0058222A"/>
    <w:rsid w:val="005933C0"/>
    <w:rsid w:val="005963D0"/>
    <w:rsid w:val="005B6657"/>
    <w:rsid w:val="005C418A"/>
    <w:rsid w:val="005D1790"/>
    <w:rsid w:val="005D3B9B"/>
    <w:rsid w:val="005D7B6A"/>
    <w:rsid w:val="005F695B"/>
    <w:rsid w:val="006300DE"/>
    <w:rsid w:val="0063259A"/>
    <w:rsid w:val="006479E1"/>
    <w:rsid w:val="00652999"/>
    <w:rsid w:val="00652DDE"/>
    <w:rsid w:val="0069433B"/>
    <w:rsid w:val="00695A2B"/>
    <w:rsid w:val="006D3BD3"/>
    <w:rsid w:val="006E3513"/>
    <w:rsid w:val="006E41AC"/>
    <w:rsid w:val="006F5C62"/>
    <w:rsid w:val="00707068"/>
    <w:rsid w:val="00723740"/>
    <w:rsid w:val="00744324"/>
    <w:rsid w:val="00744AB4"/>
    <w:rsid w:val="00755A14"/>
    <w:rsid w:val="0076065B"/>
    <w:rsid w:val="00770179"/>
    <w:rsid w:val="007910B2"/>
    <w:rsid w:val="007B000E"/>
    <w:rsid w:val="007B10D2"/>
    <w:rsid w:val="007C49E1"/>
    <w:rsid w:val="007D107D"/>
    <w:rsid w:val="007D722A"/>
    <w:rsid w:val="007E4452"/>
    <w:rsid w:val="007F372D"/>
    <w:rsid w:val="0080399E"/>
    <w:rsid w:val="00803CC6"/>
    <w:rsid w:val="00834E25"/>
    <w:rsid w:val="00840D7D"/>
    <w:rsid w:val="00841EE3"/>
    <w:rsid w:val="00845FCC"/>
    <w:rsid w:val="00860F3D"/>
    <w:rsid w:val="00867052"/>
    <w:rsid w:val="00875FA5"/>
    <w:rsid w:val="008816A9"/>
    <w:rsid w:val="008A1413"/>
    <w:rsid w:val="008B2811"/>
    <w:rsid w:val="008B4A30"/>
    <w:rsid w:val="008C431C"/>
    <w:rsid w:val="008C71EF"/>
    <w:rsid w:val="008C7C90"/>
    <w:rsid w:val="008E2021"/>
    <w:rsid w:val="009074D3"/>
    <w:rsid w:val="00917233"/>
    <w:rsid w:val="009249EE"/>
    <w:rsid w:val="00937147"/>
    <w:rsid w:val="0095434F"/>
    <w:rsid w:val="00963E8B"/>
    <w:rsid w:val="00974C89"/>
    <w:rsid w:val="009777E1"/>
    <w:rsid w:val="00985541"/>
    <w:rsid w:val="009A1234"/>
    <w:rsid w:val="009C26C8"/>
    <w:rsid w:val="009E2F2E"/>
    <w:rsid w:val="009F4372"/>
    <w:rsid w:val="00A11A86"/>
    <w:rsid w:val="00A12FFD"/>
    <w:rsid w:val="00A17A84"/>
    <w:rsid w:val="00A2107F"/>
    <w:rsid w:val="00A53617"/>
    <w:rsid w:val="00A6593C"/>
    <w:rsid w:val="00A84718"/>
    <w:rsid w:val="00A8519E"/>
    <w:rsid w:val="00A861B5"/>
    <w:rsid w:val="00A92C14"/>
    <w:rsid w:val="00AA21C1"/>
    <w:rsid w:val="00AB4B5D"/>
    <w:rsid w:val="00AD74D9"/>
    <w:rsid w:val="00AF1568"/>
    <w:rsid w:val="00B322C2"/>
    <w:rsid w:val="00B35460"/>
    <w:rsid w:val="00B42F7E"/>
    <w:rsid w:val="00B47E53"/>
    <w:rsid w:val="00B6672A"/>
    <w:rsid w:val="00B76526"/>
    <w:rsid w:val="00B9475B"/>
    <w:rsid w:val="00B97B2A"/>
    <w:rsid w:val="00BA01BA"/>
    <w:rsid w:val="00BB0766"/>
    <w:rsid w:val="00BB7C95"/>
    <w:rsid w:val="00BC1F20"/>
    <w:rsid w:val="00BC20E0"/>
    <w:rsid w:val="00BF0198"/>
    <w:rsid w:val="00C04A23"/>
    <w:rsid w:val="00C07D5F"/>
    <w:rsid w:val="00C119D4"/>
    <w:rsid w:val="00C12DA0"/>
    <w:rsid w:val="00C42F45"/>
    <w:rsid w:val="00CA46F3"/>
    <w:rsid w:val="00CA6B60"/>
    <w:rsid w:val="00CA71BA"/>
    <w:rsid w:val="00CC2692"/>
    <w:rsid w:val="00CC7808"/>
    <w:rsid w:val="00CD7C3A"/>
    <w:rsid w:val="00CE7DB4"/>
    <w:rsid w:val="00D04E0E"/>
    <w:rsid w:val="00D17C80"/>
    <w:rsid w:val="00D264BB"/>
    <w:rsid w:val="00D849DA"/>
    <w:rsid w:val="00DB7437"/>
    <w:rsid w:val="00DD2C49"/>
    <w:rsid w:val="00DD4947"/>
    <w:rsid w:val="00DD668A"/>
    <w:rsid w:val="00E00C02"/>
    <w:rsid w:val="00E263C7"/>
    <w:rsid w:val="00E32ED9"/>
    <w:rsid w:val="00E4092E"/>
    <w:rsid w:val="00E514D5"/>
    <w:rsid w:val="00E60F0D"/>
    <w:rsid w:val="00E832C8"/>
    <w:rsid w:val="00E84CAF"/>
    <w:rsid w:val="00EA1AA4"/>
    <w:rsid w:val="00EA24A8"/>
    <w:rsid w:val="00EF00F6"/>
    <w:rsid w:val="00F3786E"/>
    <w:rsid w:val="00F43B99"/>
    <w:rsid w:val="00F50677"/>
    <w:rsid w:val="00F60080"/>
    <w:rsid w:val="00F85019"/>
    <w:rsid w:val="00F97C0E"/>
    <w:rsid w:val="00FD5292"/>
    <w:rsid w:val="00FE46B6"/>
    <w:rsid w:val="00FE7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A67868"/>
  <w15:chartTrackingRefBased/>
  <w15:docId w15:val="{3E7A8736-F604-C743-A0AA-CD8E7138C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740"/>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24A8"/>
    <w:rPr>
      <w:color w:val="0563C1" w:themeColor="hyperlink"/>
      <w:u w:val="single"/>
    </w:rPr>
  </w:style>
  <w:style w:type="character" w:styleId="UnresolvedMention">
    <w:name w:val="Unresolved Mention"/>
    <w:basedOn w:val="DefaultParagraphFont"/>
    <w:uiPriority w:val="99"/>
    <w:semiHidden/>
    <w:unhideWhenUsed/>
    <w:rsid w:val="00EA24A8"/>
    <w:rPr>
      <w:color w:val="605E5C"/>
      <w:shd w:val="clear" w:color="auto" w:fill="E1DFDD"/>
    </w:rPr>
  </w:style>
  <w:style w:type="paragraph" w:styleId="NormalWeb">
    <w:name w:val="Normal (Web)"/>
    <w:basedOn w:val="Normal"/>
    <w:uiPriority w:val="99"/>
    <w:semiHidden/>
    <w:unhideWhenUsed/>
    <w:rsid w:val="00723740"/>
    <w:pPr>
      <w:spacing w:before="100" w:beforeAutospacing="1" w:after="100" w:afterAutospacing="1"/>
    </w:pPr>
  </w:style>
  <w:style w:type="paragraph" w:styleId="Header">
    <w:name w:val="header"/>
    <w:basedOn w:val="Normal"/>
    <w:link w:val="HeaderChar"/>
    <w:uiPriority w:val="99"/>
    <w:unhideWhenUsed/>
    <w:rsid w:val="007B10D2"/>
    <w:pPr>
      <w:tabs>
        <w:tab w:val="center" w:pos="4513"/>
        <w:tab w:val="right" w:pos="9026"/>
      </w:tabs>
    </w:pPr>
  </w:style>
  <w:style w:type="character" w:customStyle="1" w:styleId="HeaderChar">
    <w:name w:val="Header Char"/>
    <w:basedOn w:val="DefaultParagraphFont"/>
    <w:link w:val="Header"/>
    <w:uiPriority w:val="99"/>
    <w:rsid w:val="007B10D2"/>
    <w:rPr>
      <w:rFonts w:ascii="Times New Roman" w:eastAsia="Times New Roman" w:hAnsi="Times New Roman" w:cs="Times New Roman"/>
      <w:lang w:eastAsia="en-GB"/>
    </w:rPr>
  </w:style>
  <w:style w:type="paragraph" w:styleId="Footer">
    <w:name w:val="footer"/>
    <w:basedOn w:val="Normal"/>
    <w:link w:val="FooterChar"/>
    <w:uiPriority w:val="99"/>
    <w:unhideWhenUsed/>
    <w:rsid w:val="007B10D2"/>
    <w:pPr>
      <w:tabs>
        <w:tab w:val="center" w:pos="4513"/>
        <w:tab w:val="right" w:pos="9026"/>
      </w:tabs>
    </w:pPr>
  </w:style>
  <w:style w:type="character" w:customStyle="1" w:styleId="FooterChar">
    <w:name w:val="Footer Char"/>
    <w:basedOn w:val="DefaultParagraphFont"/>
    <w:link w:val="Footer"/>
    <w:uiPriority w:val="99"/>
    <w:rsid w:val="007B10D2"/>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B1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594847">
      <w:bodyDiv w:val="1"/>
      <w:marLeft w:val="0"/>
      <w:marRight w:val="0"/>
      <w:marTop w:val="0"/>
      <w:marBottom w:val="0"/>
      <w:divBdr>
        <w:top w:val="none" w:sz="0" w:space="0" w:color="auto"/>
        <w:left w:val="none" w:sz="0" w:space="0" w:color="auto"/>
        <w:bottom w:val="none" w:sz="0" w:space="0" w:color="auto"/>
        <w:right w:val="none" w:sz="0" w:space="0" w:color="auto"/>
      </w:divBdr>
      <w:divsChild>
        <w:div w:id="531725264">
          <w:marLeft w:val="0"/>
          <w:marRight w:val="0"/>
          <w:marTop w:val="0"/>
          <w:marBottom w:val="0"/>
          <w:divBdr>
            <w:top w:val="none" w:sz="0" w:space="0" w:color="auto"/>
            <w:left w:val="none" w:sz="0" w:space="0" w:color="auto"/>
            <w:bottom w:val="none" w:sz="0" w:space="0" w:color="auto"/>
            <w:right w:val="none" w:sz="0" w:space="0" w:color="auto"/>
          </w:divBdr>
        </w:div>
      </w:divsChild>
    </w:div>
    <w:div w:id="475612809">
      <w:bodyDiv w:val="1"/>
      <w:marLeft w:val="0"/>
      <w:marRight w:val="0"/>
      <w:marTop w:val="0"/>
      <w:marBottom w:val="0"/>
      <w:divBdr>
        <w:top w:val="none" w:sz="0" w:space="0" w:color="auto"/>
        <w:left w:val="none" w:sz="0" w:space="0" w:color="auto"/>
        <w:bottom w:val="none" w:sz="0" w:space="0" w:color="auto"/>
        <w:right w:val="none" w:sz="0" w:space="0" w:color="auto"/>
      </w:divBdr>
    </w:div>
    <w:div w:id="655769614">
      <w:bodyDiv w:val="1"/>
      <w:marLeft w:val="0"/>
      <w:marRight w:val="0"/>
      <w:marTop w:val="0"/>
      <w:marBottom w:val="0"/>
      <w:divBdr>
        <w:top w:val="none" w:sz="0" w:space="0" w:color="auto"/>
        <w:left w:val="none" w:sz="0" w:space="0" w:color="auto"/>
        <w:bottom w:val="none" w:sz="0" w:space="0" w:color="auto"/>
        <w:right w:val="none" w:sz="0" w:space="0" w:color="auto"/>
      </w:divBdr>
    </w:div>
    <w:div w:id="909967621">
      <w:bodyDiv w:val="1"/>
      <w:marLeft w:val="0"/>
      <w:marRight w:val="0"/>
      <w:marTop w:val="0"/>
      <w:marBottom w:val="0"/>
      <w:divBdr>
        <w:top w:val="none" w:sz="0" w:space="0" w:color="auto"/>
        <w:left w:val="none" w:sz="0" w:space="0" w:color="auto"/>
        <w:bottom w:val="none" w:sz="0" w:space="0" w:color="auto"/>
        <w:right w:val="none" w:sz="0" w:space="0" w:color="auto"/>
      </w:divBdr>
    </w:div>
    <w:div w:id="966818192">
      <w:bodyDiv w:val="1"/>
      <w:marLeft w:val="0"/>
      <w:marRight w:val="0"/>
      <w:marTop w:val="0"/>
      <w:marBottom w:val="0"/>
      <w:divBdr>
        <w:top w:val="none" w:sz="0" w:space="0" w:color="auto"/>
        <w:left w:val="none" w:sz="0" w:space="0" w:color="auto"/>
        <w:bottom w:val="none" w:sz="0" w:space="0" w:color="auto"/>
        <w:right w:val="none" w:sz="0" w:space="0" w:color="auto"/>
      </w:divBdr>
    </w:div>
    <w:div w:id="1006597051">
      <w:bodyDiv w:val="1"/>
      <w:marLeft w:val="0"/>
      <w:marRight w:val="0"/>
      <w:marTop w:val="0"/>
      <w:marBottom w:val="0"/>
      <w:divBdr>
        <w:top w:val="none" w:sz="0" w:space="0" w:color="auto"/>
        <w:left w:val="none" w:sz="0" w:space="0" w:color="auto"/>
        <w:bottom w:val="none" w:sz="0" w:space="0" w:color="auto"/>
        <w:right w:val="none" w:sz="0" w:space="0" w:color="auto"/>
      </w:divBdr>
    </w:div>
    <w:div w:id="1281837821">
      <w:bodyDiv w:val="1"/>
      <w:marLeft w:val="0"/>
      <w:marRight w:val="0"/>
      <w:marTop w:val="0"/>
      <w:marBottom w:val="0"/>
      <w:divBdr>
        <w:top w:val="none" w:sz="0" w:space="0" w:color="auto"/>
        <w:left w:val="none" w:sz="0" w:space="0" w:color="auto"/>
        <w:bottom w:val="none" w:sz="0" w:space="0" w:color="auto"/>
        <w:right w:val="none" w:sz="0" w:space="0" w:color="auto"/>
      </w:divBdr>
    </w:div>
    <w:div w:id="1339886645">
      <w:bodyDiv w:val="1"/>
      <w:marLeft w:val="0"/>
      <w:marRight w:val="0"/>
      <w:marTop w:val="0"/>
      <w:marBottom w:val="0"/>
      <w:divBdr>
        <w:top w:val="none" w:sz="0" w:space="0" w:color="auto"/>
        <w:left w:val="none" w:sz="0" w:space="0" w:color="auto"/>
        <w:bottom w:val="none" w:sz="0" w:space="0" w:color="auto"/>
        <w:right w:val="none" w:sz="0" w:space="0" w:color="auto"/>
      </w:divBdr>
    </w:div>
    <w:div w:id="1432894667">
      <w:bodyDiv w:val="1"/>
      <w:marLeft w:val="0"/>
      <w:marRight w:val="0"/>
      <w:marTop w:val="0"/>
      <w:marBottom w:val="0"/>
      <w:divBdr>
        <w:top w:val="none" w:sz="0" w:space="0" w:color="auto"/>
        <w:left w:val="none" w:sz="0" w:space="0" w:color="auto"/>
        <w:bottom w:val="none" w:sz="0" w:space="0" w:color="auto"/>
        <w:right w:val="none" w:sz="0" w:space="0" w:color="auto"/>
      </w:divBdr>
    </w:div>
    <w:div w:id="181105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n.apu.ac.jp/rcaps/uploads/fckeditor/publications/polyglossia/Polyglossia_V19_Lindsay.pdf"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2987</Words>
  <Characters>17026</Characters>
  <Application>Microsoft Office Word</Application>
  <DocSecurity>0</DocSecurity>
  <Lines>141</Lines>
  <Paragraphs>39</Paragraphs>
  <ScaleCrop>false</ScaleCrop>
  <Company/>
  <LinksUpToDate>false</LinksUpToDate>
  <CharactersWithSpaces>19974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Hopkins (YGG Bryniago)</dc:creator>
  <cp:keywords/>
  <dc:description/>
  <cp:lastModifiedBy>C Hopkins (YGG Bryniago)</cp:lastModifiedBy>
  <cp:revision>3</cp:revision>
  <dcterms:created xsi:type="dcterms:W3CDTF">2023-01-12T23:14:00Z</dcterms:created>
  <dcterms:modified xsi:type="dcterms:W3CDTF">2023-01-12T23:20:00Z</dcterms:modified>
</cp:coreProperties>
</file>