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7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4970"/>
      </w:tblGrid>
      <w:tr w:rsidR="0022232F" w:rsidRPr="00902300" w14:paraId="26BB7EBB" w14:textId="77777777" w:rsidTr="00F94EA6">
        <w:trPr>
          <w:jc w:val="center"/>
        </w:trPr>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33CE3569" w14:textId="77777777" w:rsidR="0022232F" w:rsidRPr="00902300" w:rsidRDefault="0022232F" w:rsidP="00902300">
            <w:pPr>
              <w:spacing w:line="360" w:lineRule="auto"/>
              <w:rPr>
                <w:rFonts w:ascii="Arial" w:hAnsi="Arial" w:cs="Arial"/>
                <w:sz w:val="22"/>
                <w:szCs w:val="22"/>
              </w:rPr>
            </w:pPr>
            <w:r w:rsidRPr="00902300">
              <w:rPr>
                <w:rFonts w:ascii="Arial" w:hAnsi="Arial" w:cs="Arial"/>
                <w:b/>
                <w:bCs/>
                <w:color w:val="006989"/>
                <w:sz w:val="22"/>
                <w:szCs w:val="22"/>
              </w:rPr>
              <w:t>Name</w:t>
            </w:r>
          </w:p>
        </w:tc>
        <w:tc>
          <w:tcPr>
            <w:tcW w:w="497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08E3D052" w14:textId="77777777" w:rsidR="0022232F" w:rsidRPr="00902300" w:rsidRDefault="0022232F" w:rsidP="00902300">
            <w:pPr>
              <w:spacing w:line="360" w:lineRule="auto"/>
              <w:rPr>
                <w:rFonts w:ascii="Arial" w:hAnsi="Arial" w:cs="Arial"/>
                <w:sz w:val="22"/>
                <w:szCs w:val="22"/>
              </w:rPr>
            </w:pPr>
            <w:r w:rsidRPr="00902300">
              <w:rPr>
                <w:rFonts w:ascii="Arial" w:hAnsi="Arial" w:cs="Arial"/>
                <w:color w:val="222222"/>
                <w:sz w:val="22"/>
                <w:szCs w:val="22"/>
              </w:rPr>
              <w:t xml:space="preserve">Sobia </w:t>
            </w:r>
            <w:proofErr w:type="spellStart"/>
            <w:r w:rsidRPr="00902300">
              <w:rPr>
                <w:rFonts w:ascii="Arial" w:hAnsi="Arial" w:cs="Arial"/>
                <w:color w:val="222222"/>
                <w:sz w:val="22"/>
                <w:szCs w:val="22"/>
              </w:rPr>
              <w:t>Mozam</w:t>
            </w:r>
            <w:proofErr w:type="spellEnd"/>
            <w:r w:rsidRPr="00902300">
              <w:rPr>
                <w:rFonts w:ascii="Arial" w:hAnsi="Arial" w:cs="Arial"/>
                <w:color w:val="222222"/>
                <w:sz w:val="22"/>
                <w:szCs w:val="22"/>
              </w:rPr>
              <w:t xml:space="preserve"> </w:t>
            </w:r>
          </w:p>
        </w:tc>
      </w:tr>
      <w:tr w:rsidR="0022232F" w:rsidRPr="00902300" w14:paraId="3D6B5698" w14:textId="77777777" w:rsidTr="00F94EA6">
        <w:trPr>
          <w:jc w:val="center"/>
        </w:trPr>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01F99478" w14:textId="77777777" w:rsidR="0022232F" w:rsidRPr="00902300" w:rsidRDefault="0022232F" w:rsidP="00902300">
            <w:pPr>
              <w:spacing w:line="360" w:lineRule="auto"/>
              <w:rPr>
                <w:rFonts w:ascii="Arial" w:hAnsi="Arial" w:cs="Arial"/>
                <w:sz w:val="22"/>
                <w:szCs w:val="22"/>
              </w:rPr>
            </w:pPr>
            <w:r w:rsidRPr="00902300">
              <w:rPr>
                <w:rFonts w:ascii="Arial" w:hAnsi="Arial" w:cs="Arial"/>
                <w:b/>
                <w:bCs/>
                <w:color w:val="006989"/>
                <w:sz w:val="22"/>
                <w:szCs w:val="22"/>
              </w:rPr>
              <w:t>Student Number</w:t>
            </w:r>
          </w:p>
        </w:tc>
        <w:tc>
          <w:tcPr>
            <w:tcW w:w="497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5EC16C79" w14:textId="77777777" w:rsidR="0022232F" w:rsidRPr="00902300" w:rsidRDefault="0022232F" w:rsidP="00902300">
            <w:pPr>
              <w:spacing w:line="360" w:lineRule="auto"/>
              <w:rPr>
                <w:rFonts w:ascii="Arial" w:hAnsi="Arial" w:cs="Arial"/>
                <w:sz w:val="22"/>
                <w:szCs w:val="22"/>
              </w:rPr>
            </w:pPr>
            <w:r w:rsidRPr="00902300">
              <w:rPr>
                <w:rFonts w:ascii="Arial" w:hAnsi="Arial" w:cs="Arial"/>
                <w:sz w:val="22"/>
                <w:szCs w:val="22"/>
              </w:rPr>
              <w:t>2504721</w:t>
            </w:r>
          </w:p>
        </w:tc>
      </w:tr>
      <w:tr w:rsidR="0022232F" w:rsidRPr="00902300" w14:paraId="63F6725A" w14:textId="77777777" w:rsidTr="00F94EA6">
        <w:trPr>
          <w:jc w:val="center"/>
        </w:trPr>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59E5E0A1" w14:textId="77777777" w:rsidR="0022232F" w:rsidRPr="00902300" w:rsidRDefault="0022232F" w:rsidP="00902300">
            <w:pPr>
              <w:spacing w:line="360" w:lineRule="auto"/>
              <w:rPr>
                <w:rFonts w:ascii="Arial" w:hAnsi="Arial" w:cs="Arial"/>
                <w:sz w:val="22"/>
                <w:szCs w:val="22"/>
              </w:rPr>
            </w:pPr>
            <w:r w:rsidRPr="00902300">
              <w:rPr>
                <w:rFonts w:ascii="Arial" w:hAnsi="Arial" w:cs="Arial"/>
                <w:b/>
                <w:bCs/>
                <w:color w:val="006989"/>
                <w:sz w:val="22"/>
                <w:szCs w:val="22"/>
              </w:rPr>
              <w:t>Module Code</w:t>
            </w:r>
          </w:p>
        </w:tc>
        <w:tc>
          <w:tcPr>
            <w:tcW w:w="497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62E77167" w14:textId="211B8EE6" w:rsidR="0022232F" w:rsidRPr="00902300" w:rsidRDefault="0022232F" w:rsidP="00902300">
            <w:pPr>
              <w:spacing w:line="360" w:lineRule="auto"/>
              <w:rPr>
                <w:rFonts w:ascii="Arial" w:hAnsi="Arial" w:cs="Arial"/>
                <w:sz w:val="22"/>
                <w:szCs w:val="22"/>
              </w:rPr>
            </w:pPr>
            <w:r w:rsidRPr="00902300">
              <w:rPr>
                <w:rFonts w:ascii="Arial" w:hAnsi="Arial" w:cs="Arial"/>
                <w:color w:val="222222"/>
                <w:sz w:val="22"/>
                <w:szCs w:val="22"/>
              </w:rPr>
              <w:t>LCHS400</w:t>
            </w:r>
            <w:r w:rsidRPr="00902300">
              <w:rPr>
                <w:rFonts w:ascii="Arial" w:hAnsi="Arial" w:cs="Arial"/>
                <w:color w:val="222222"/>
                <w:sz w:val="22"/>
                <w:szCs w:val="22"/>
              </w:rPr>
              <w:t>3</w:t>
            </w:r>
          </w:p>
        </w:tc>
      </w:tr>
      <w:tr w:rsidR="0022232F" w:rsidRPr="00902300" w14:paraId="428FF6EE" w14:textId="77777777" w:rsidTr="00F94EA6">
        <w:trPr>
          <w:jc w:val="center"/>
        </w:trPr>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008DE328" w14:textId="77777777" w:rsidR="0022232F" w:rsidRPr="00902300" w:rsidRDefault="0022232F" w:rsidP="00902300">
            <w:pPr>
              <w:spacing w:line="360" w:lineRule="auto"/>
              <w:rPr>
                <w:rFonts w:ascii="Arial" w:hAnsi="Arial" w:cs="Arial"/>
                <w:sz w:val="22"/>
                <w:szCs w:val="22"/>
              </w:rPr>
            </w:pPr>
            <w:r w:rsidRPr="00902300">
              <w:rPr>
                <w:rFonts w:ascii="Arial" w:hAnsi="Arial" w:cs="Arial"/>
                <w:b/>
                <w:bCs/>
                <w:color w:val="006989"/>
                <w:sz w:val="22"/>
                <w:szCs w:val="22"/>
              </w:rPr>
              <w:t>Module Title</w:t>
            </w:r>
          </w:p>
        </w:tc>
        <w:tc>
          <w:tcPr>
            <w:tcW w:w="497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5E501DB1" w14:textId="16E5E929" w:rsidR="0022232F" w:rsidRPr="00902300" w:rsidRDefault="0022232F" w:rsidP="00902300">
            <w:pPr>
              <w:spacing w:line="360" w:lineRule="auto"/>
              <w:rPr>
                <w:rFonts w:ascii="Arial" w:hAnsi="Arial" w:cs="Arial"/>
                <w:bCs/>
                <w:sz w:val="22"/>
                <w:szCs w:val="22"/>
              </w:rPr>
            </w:pPr>
            <w:r w:rsidRPr="00902300">
              <w:rPr>
                <w:rFonts w:ascii="Arial" w:hAnsi="Arial" w:cs="Arial"/>
                <w:bCs/>
                <w:sz w:val="22"/>
                <w:szCs w:val="22"/>
              </w:rPr>
              <w:t>Introduction to Health and Social Care</w:t>
            </w:r>
          </w:p>
        </w:tc>
      </w:tr>
      <w:tr w:rsidR="0022232F" w:rsidRPr="00902300" w14:paraId="30BBD7E3" w14:textId="77777777" w:rsidTr="00F94EA6">
        <w:trPr>
          <w:jc w:val="center"/>
        </w:trPr>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2800CF6B" w14:textId="77777777" w:rsidR="0022232F" w:rsidRPr="00902300" w:rsidRDefault="0022232F" w:rsidP="00902300">
            <w:pPr>
              <w:spacing w:line="360" w:lineRule="auto"/>
              <w:rPr>
                <w:rFonts w:ascii="Arial" w:hAnsi="Arial" w:cs="Arial"/>
                <w:sz w:val="22"/>
                <w:szCs w:val="22"/>
              </w:rPr>
            </w:pPr>
            <w:r w:rsidRPr="00902300">
              <w:rPr>
                <w:rFonts w:ascii="Arial" w:hAnsi="Arial" w:cs="Arial"/>
                <w:b/>
                <w:bCs/>
                <w:color w:val="006989"/>
                <w:sz w:val="22"/>
                <w:szCs w:val="22"/>
              </w:rPr>
              <w:t>Lecturer</w:t>
            </w:r>
          </w:p>
        </w:tc>
        <w:tc>
          <w:tcPr>
            <w:tcW w:w="497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4222163C" w14:textId="6862B0D1" w:rsidR="0022232F" w:rsidRPr="00902300" w:rsidRDefault="0022232F" w:rsidP="00902300">
            <w:pPr>
              <w:spacing w:line="360" w:lineRule="auto"/>
              <w:rPr>
                <w:rFonts w:ascii="Arial" w:hAnsi="Arial" w:cs="Arial"/>
                <w:sz w:val="22"/>
                <w:szCs w:val="22"/>
              </w:rPr>
            </w:pPr>
            <w:r w:rsidRPr="00902300">
              <w:rPr>
                <w:rFonts w:ascii="Arial" w:hAnsi="Arial" w:cs="Arial"/>
                <w:sz w:val="22"/>
                <w:szCs w:val="22"/>
              </w:rPr>
              <w:t>Bernice Ejiogu</w:t>
            </w:r>
          </w:p>
        </w:tc>
      </w:tr>
      <w:tr w:rsidR="0022232F" w:rsidRPr="00902300" w14:paraId="250A25DE" w14:textId="77777777" w:rsidTr="00F94EA6">
        <w:trPr>
          <w:jc w:val="center"/>
        </w:trPr>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3155DC02" w14:textId="77777777" w:rsidR="0022232F" w:rsidRPr="00902300" w:rsidRDefault="0022232F" w:rsidP="00902300">
            <w:pPr>
              <w:spacing w:line="360" w:lineRule="auto"/>
              <w:rPr>
                <w:rFonts w:ascii="Arial" w:hAnsi="Arial" w:cs="Arial"/>
                <w:sz w:val="22"/>
                <w:szCs w:val="22"/>
              </w:rPr>
            </w:pPr>
            <w:r w:rsidRPr="00902300">
              <w:rPr>
                <w:rFonts w:ascii="Arial" w:hAnsi="Arial" w:cs="Arial"/>
                <w:b/>
                <w:bCs/>
                <w:color w:val="006989"/>
                <w:sz w:val="22"/>
                <w:szCs w:val="22"/>
              </w:rPr>
              <w:t>Assignment Title</w:t>
            </w:r>
          </w:p>
        </w:tc>
        <w:tc>
          <w:tcPr>
            <w:tcW w:w="497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45E60993" w14:textId="21D4E314" w:rsidR="0022232F" w:rsidRPr="00902300" w:rsidRDefault="0022232F" w:rsidP="00902300">
            <w:pPr>
              <w:spacing w:line="360" w:lineRule="auto"/>
              <w:rPr>
                <w:rFonts w:ascii="Arial" w:hAnsi="Arial" w:cs="Arial"/>
                <w:sz w:val="22"/>
                <w:szCs w:val="22"/>
                <w:lang w:val="en-US"/>
              </w:rPr>
            </w:pPr>
            <w:r w:rsidRPr="00902300">
              <w:rPr>
                <w:rFonts w:ascii="Arial" w:hAnsi="Arial" w:cs="Arial"/>
                <w:sz w:val="22"/>
                <w:szCs w:val="22"/>
              </w:rPr>
              <w:t>Written Assignment Mrs Thompson</w:t>
            </w:r>
          </w:p>
        </w:tc>
      </w:tr>
      <w:tr w:rsidR="0022232F" w:rsidRPr="00902300" w14:paraId="59DCD9CC" w14:textId="77777777" w:rsidTr="00F94EA6">
        <w:trPr>
          <w:jc w:val="center"/>
        </w:trPr>
        <w:tc>
          <w:tcPr>
            <w:tcW w:w="2400" w:type="dxa"/>
            <w:tcBorders>
              <w:top w:val="single" w:sz="1" w:space="0" w:color="CCCCCC"/>
              <w:left w:val="single" w:sz="1" w:space="0" w:color="CCCCCC"/>
              <w:bottom w:val="single" w:sz="1" w:space="0" w:color="CCCCCC"/>
              <w:right w:val="single" w:sz="1" w:space="0" w:color="CCCCCC"/>
            </w:tcBorders>
            <w:shd w:val="clear" w:color="auto" w:fill="D6EEF4"/>
            <w:tcMar>
              <w:top w:w="60" w:type="dxa"/>
              <w:left w:w="100" w:type="dxa"/>
              <w:bottom w:w="60" w:type="dxa"/>
              <w:right w:w="100" w:type="dxa"/>
            </w:tcMar>
          </w:tcPr>
          <w:p w14:paraId="115B8AD8" w14:textId="77777777" w:rsidR="0022232F" w:rsidRPr="00902300" w:rsidRDefault="0022232F" w:rsidP="00902300">
            <w:pPr>
              <w:spacing w:line="360" w:lineRule="auto"/>
              <w:rPr>
                <w:rFonts w:ascii="Arial" w:hAnsi="Arial" w:cs="Arial"/>
                <w:sz w:val="22"/>
                <w:szCs w:val="22"/>
              </w:rPr>
            </w:pPr>
            <w:r w:rsidRPr="00902300">
              <w:rPr>
                <w:rFonts w:ascii="Arial" w:hAnsi="Arial" w:cs="Arial"/>
                <w:b/>
                <w:bCs/>
                <w:color w:val="006989"/>
                <w:sz w:val="22"/>
                <w:szCs w:val="22"/>
              </w:rPr>
              <w:t>Submission Date</w:t>
            </w:r>
          </w:p>
        </w:tc>
        <w:tc>
          <w:tcPr>
            <w:tcW w:w="497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7FEA4819" w14:textId="77777777" w:rsidR="0022232F" w:rsidRPr="00902300" w:rsidRDefault="0022232F" w:rsidP="00902300">
            <w:pPr>
              <w:spacing w:line="360" w:lineRule="auto"/>
              <w:rPr>
                <w:rFonts w:ascii="Arial" w:hAnsi="Arial" w:cs="Arial"/>
                <w:sz w:val="22"/>
                <w:szCs w:val="22"/>
              </w:rPr>
            </w:pPr>
            <w:r w:rsidRPr="00902300">
              <w:rPr>
                <w:rFonts w:ascii="Arial" w:hAnsi="Arial" w:cs="Arial"/>
                <w:color w:val="222222"/>
                <w:sz w:val="22"/>
                <w:szCs w:val="22"/>
              </w:rPr>
              <w:t>21</w:t>
            </w:r>
            <w:r w:rsidRPr="00902300">
              <w:rPr>
                <w:rFonts w:ascii="Arial" w:hAnsi="Arial" w:cs="Arial"/>
                <w:color w:val="222222"/>
                <w:sz w:val="22"/>
                <w:szCs w:val="22"/>
                <w:vertAlign w:val="superscript"/>
              </w:rPr>
              <w:t>st</w:t>
            </w:r>
            <w:r w:rsidRPr="00902300">
              <w:rPr>
                <w:rFonts w:ascii="Arial" w:hAnsi="Arial" w:cs="Arial"/>
                <w:color w:val="222222"/>
                <w:sz w:val="22"/>
                <w:szCs w:val="22"/>
              </w:rPr>
              <w:t xml:space="preserve"> July 2026</w:t>
            </w:r>
          </w:p>
        </w:tc>
      </w:tr>
    </w:tbl>
    <w:p w14:paraId="187A2AA1" w14:textId="77777777" w:rsidR="005D6B38" w:rsidRPr="00902300" w:rsidRDefault="005D6B38" w:rsidP="00902300">
      <w:pPr>
        <w:spacing w:line="360" w:lineRule="auto"/>
        <w:rPr>
          <w:rFonts w:ascii="Arial" w:hAnsi="Arial" w:cs="Arial"/>
          <w:sz w:val="22"/>
          <w:szCs w:val="22"/>
        </w:rPr>
      </w:pPr>
    </w:p>
    <w:p w14:paraId="2E8F2DDE" w14:textId="77777777" w:rsidR="0022232F" w:rsidRPr="00902300" w:rsidRDefault="0022232F" w:rsidP="00902300">
      <w:pPr>
        <w:spacing w:line="360" w:lineRule="auto"/>
        <w:rPr>
          <w:rFonts w:ascii="Arial" w:hAnsi="Arial" w:cs="Arial"/>
          <w:sz w:val="22"/>
          <w:szCs w:val="22"/>
        </w:rPr>
      </w:pPr>
    </w:p>
    <w:p w14:paraId="28624ECF" w14:textId="77777777" w:rsidR="0022232F" w:rsidRPr="00902300" w:rsidRDefault="0022232F" w:rsidP="00902300">
      <w:pPr>
        <w:spacing w:line="360" w:lineRule="auto"/>
        <w:rPr>
          <w:rFonts w:ascii="Arial" w:hAnsi="Arial" w:cs="Arial"/>
          <w:sz w:val="22"/>
          <w:szCs w:val="22"/>
        </w:rPr>
      </w:pPr>
    </w:p>
    <w:p w14:paraId="1C73753F" w14:textId="77777777" w:rsidR="0022232F" w:rsidRPr="00902300" w:rsidRDefault="0022232F" w:rsidP="00902300">
      <w:pPr>
        <w:spacing w:line="360" w:lineRule="auto"/>
        <w:rPr>
          <w:rFonts w:ascii="Arial" w:hAnsi="Arial" w:cs="Arial"/>
          <w:sz w:val="22"/>
          <w:szCs w:val="22"/>
        </w:rPr>
      </w:pPr>
    </w:p>
    <w:p w14:paraId="1D45F2C6" w14:textId="77777777" w:rsidR="0022232F" w:rsidRPr="00902300" w:rsidRDefault="0022232F" w:rsidP="00902300">
      <w:pPr>
        <w:spacing w:line="360" w:lineRule="auto"/>
        <w:rPr>
          <w:rFonts w:ascii="Arial" w:hAnsi="Arial" w:cs="Arial"/>
          <w:sz w:val="22"/>
          <w:szCs w:val="22"/>
        </w:rPr>
      </w:pPr>
    </w:p>
    <w:p w14:paraId="7509E017" w14:textId="77777777" w:rsidR="0022232F" w:rsidRPr="00902300" w:rsidRDefault="0022232F" w:rsidP="00902300">
      <w:pPr>
        <w:spacing w:line="360" w:lineRule="auto"/>
        <w:rPr>
          <w:rFonts w:ascii="Arial" w:hAnsi="Arial" w:cs="Arial"/>
          <w:sz w:val="22"/>
          <w:szCs w:val="22"/>
        </w:rPr>
      </w:pPr>
    </w:p>
    <w:p w14:paraId="30FA602E" w14:textId="77777777" w:rsidR="0022232F" w:rsidRPr="00902300" w:rsidRDefault="0022232F" w:rsidP="00902300">
      <w:pPr>
        <w:spacing w:line="360" w:lineRule="auto"/>
        <w:rPr>
          <w:rFonts w:ascii="Arial" w:hAnsi="Arial" w:cs="Arial"/>
          <w:sz w:val="22"/>
          <w:szCs w:val="22"/>
        </w:rPr>
      </w:pPr>
    </w:p>
    <w:p w14:paraId="4DCEEF32" w14:textId="77777777" w:rsidR="0022232F" w:rsidRPr="00902300" w:rsidRDefault="0022232F" w:rsidP="00902300">
      <w:pPr>
        <w:spacing w:line="360" w:lineRule="auto"/>
        <w:rPr>
          <w:rFonts w:ascii="Arial" w:hAnsi="Arial" w:cs="Arial"/>
          <w:sz w:val="22"/>
          <w:szCs w:val="22"/>
        </w:rPr>
      </w:pPr>
    </w:p>
    <w:p w14:paraId="2508FB90" w14:textId="77777777" w:rsidR="0022232F" w:rsidRPr="00902300" w:rsidRDefault="0022232F" w:rsidP="00902300">
      <w:pPr>
        <w:spacing w:line="360" w:lineRule="auto"/>
        <w:rPr>
          <w:rFonts w:ascii="Arial" w:hAnsi="Arial" w:cs="Arial"/>
          <w:sz w:val="22"/>
          <w:szCs w:val="22"/>
        </w:rPr>
      </w:pPr>
    </w:p>
    <w:p w14:paraId="03BED4F0" w14:textId="266B852D" w:rsidR="0022232F" w:rsidRPr="00902300" w:rsidRDefault="0022232F" w:rsidP="00902300">
      <w:pPr>
        <w:spacing w:line="360" w:lineRule="auto"/>
        <w:rPr>
          <w:rFonts w:ascii="Arial" w:hAnsi="Arial" w:cs="Arial"/>
          <w:sz w:val="22"/>
          <w:szCs w:val="22"/>
        </w:rPr>
        <w:sectPr w:rsidR="0022232F" w:rsidRPr="00902300">
          <w:pgSz w:w="11906" w:h="16838"/>
          <w:pgMar w:top="1440" w:right="1440" w:bottom="1440" w:left="1440" w:header="708" w:footer="708" w:gutter="0"/>
          <w:cols w:space="720"/>
          <w:docGrid w:linePitch="360"/>
        </w:sectPr>
      </w:pPr>
    </w:p>
    <w:p w14:paraId="4AFBAE84" w14:textId="77777777" w:rsidR="005D6B38" w:rsidRPr="00902300" w:rsidRDefault="00000000" w:rsidP="00902300">
      <w:pPr>
        <w:pStyle w:val="Heading1"/>
        <w:spacing w:before="300" w:after="200" w:line="360" w:lineRule="auto"/>
        <w:rPr>
          <w:rFonts w:ascii="Arial" w:hAnsi="Arial" w:cs="Arial"/>
          <w:sz w:val="22"/>
          <w:szCs w:val="22"/>
        </w:rPr>
      </w:pPr>
      <w:r w:rsidRPr="00902300">
        <w:rPr>
          <w:rFonts w:ascii="Arial" w:hAnsi="Arial" w:cs="Arial"/>
          <w:b/>
          <w:bCs/>
          <w:color w:val="1F3864"/>
          <w:sz w:val="22"/>
          <w:szCs w:val="22"/>
        </w:rPr>
        <w:lastRenderedPageBreak/>
        <w:t>Introduction</w:t>
      </w:r>
    </w:p>
    <w:p w14:paraId="3462D8AF" w14:textId="77777777" w:rsidR="005D6B38" w:rsidRPr="00902300" w:rsidRDefault="00000000" w:rsidP="00902300">
      <w:pPr>
        <w:spacing w:after="200" w:line="360" w:lineRule="auto"/>
        <w:jc w:val="both"/>
        <w:rPr>
          <w:rFonts w:ascii="Arial" w:hAnsi="Arial" w:cs="Arial"/>
          <w:sz w:val="22"/>
          <w:szCs w:val="22"/>
        </w:rPr>
      </w:pPr>
      <w:r w:rsidRPr="00902300">
        <w:rPr>
          <w:rFonts w:ascii="Arial" w:hAnsi="Arial" w:cs="Arial"/>
          <w:sz w:val="22"/>
          <w:szCs w:val="22"/>
        </w:rPr>
        <w:t>Mrs Thompson is an 84-year-old woman recently discharged from hospital following a diagnosis of pneumonia. She lives independently in sheltered housing and receives twice-daily domiciliary care to support her daily living needs. She has a diagnosis of mild dementia, which affects her short-term memory and ability to follow complex routines. Key concerns have emerged: she missed two consecutive days of prescribed medication, leading to increased confusion and disorientation. Additionally, she was found outside in cold weather without appropriate warm clothing, raising serious concerns for her safety and welfare. These incidents have been formally recorded through the service's incident reporting process, and a medication review has now been requested. The case is currently under review by the local council. This report explores the importance of effective communication, the value of accurate administrative skills and record keeping, and the necessity of collaborative working in delivering safe, person-centred care for Mrs Thompson.</w:t>
      </w:r>
    </w:p>
    <w:p w14:paraId="4F1F7ADA" w14:textId="77777777" w:rsidR="005D6B38" w:rsidRPr="00902300" w:rsidRDefault="00000000" w:rsidP="00902300">
      <w:pPr>
        <w:pStyle w:val="Heading1"/>
        <w:spacing w:before="300" w:after="200" w:line="360" w:lineRule="auto"/>
        <w:rPr>
          <w:rFonts w:ascii="Arial" w:hAnsi="Arial" w:cs="Arial"/>
          <w:sz w:val="22"/>
          <w:szCs w:val="22"/>
        </w:rPr>
      </w:pPr>
      <w:r w:rsidRPr="00902300">
        <w:rPr>
          <w:rFonts w:ascii="Arial" w:hAnsi="Arial" w:cs="Arial"/>
          <w:b/>
          <w:bCs/>
          <w:color w:val="1F3864"/>
          <w:sz w:val="22"/>
          <w:szCs w:val="22"/>
        </w:rPr>
        <w:t>Section 1: Effective Communication</w:t>
      </w:r>
    </w:p>
    <w:p w14:paraId="05B8EFC4" w14:textId="77777777" w:rsidR="005D6B38" w:rsidRPr="00902300" w:rsidRDefault="00000000" w:rsidP="00902300">
      <w:pPr>
        <w:spacing w:after="200" w:line="360" w:lineRule="auto"/>
        <w:jc w:val="both"/>
        <w:rPr>
          <w:rFonts w:ascii="Arial" w:hAnsi="Arial" w:cs="Arial"/>
          <w:sz w:val="22"/>
          <w:szCs w:val="22"/>
        </w:rPr>
      </w:pPr>
      <w:r w:rsidRPr="00902300">
        <w:rPr>
          <w:rFonts w:ascii="Arial" w:hAnsi="Arial" w:cs="Arial"/>
          <w:sz w:val="22"/>
          <w:szCs w:val="22"/>
        </w:rPr>
        <w:t>Communication is the fundamental building block of safe, high-quality care, particularly for individuals with cognitive impairment such as Mrs Thompson. Clear and appropriate communication ensures she is understood, feels respected, and can express her needs, while also enabling professionals to share vital information accurately. Poor communication, by contrast, can leave a person feeling confused, excluded from decisions about their own care, or unable to convey pain or discomfort, increasing the overall risk of harm. For a person with dementia, communication should also draw on non-verbal cues, such as facial expression, tone of voice and body language, since these can convey reassurance or distress even when verbal understanding is limited. Care workers should therefore observe Mrs Thompson's demeanour as closely as they listen to what she says.</w:t>
      </w:r>
    </w:p>
    <w:p w14:paraId="22D2DB44" w14:textId="77777777" w:rsidR="005D6B38" w:rsidRPr="00902300" w:rsidRDefault="00000000" w:rsidP="00902300">
      <w:pPr>
        <w:spacing w:after="200" w:line="360" w:lineRule="auto"/>
        <w:jc w:val="both"/>
        <w:rPr>
          <w:rFonts w:ascii="Arial" w:hAnsi="Arial" w:cs="Arial"/>
          <w:sz w:val="22"/>
          <w:szCs w:val="22"/>
        </w:rPr>
      </w:pPr>
      <w:r w:rsidRPr="00902300">
        <w:rPr>
          <w:rFonts w:ascii="Arial" w:hAnsi="Arial" w:cs="Arial"/>
          <w:sz w:val="22"/>
          <w:szCs w:val="22"/>
        </w:rPr>
        <w:t xml:space="preserve">The Equality Act 2010 places a legal duty on all health and social care providers to ensure that services are accessible and inclusive for everyone, regardless of age, disability, or cognitive ability. Dementia is recognised as a disability under the Act, meaning providers must make reasonable adjustments to communication so that Mrs Thompson is not disadvantaged in understanding her care or expressing her wishes. For Mrs Thompson, this involves speaking slowly and clearly, using simple language, and avoiding medical jargon. It also includes using visual aids such as large-print labels, picture charts, or written reminders to help her remember tasks like taking her </w:t>
      </w:r>
      <w:proofErr w:type="gramStart"/>
      <w:r w:rsidRPr="00902300">
        <w:rPr>
          <w:rFonts w:ascii="Arial" w:hAnsi="Arial" w:cs="Arial"/>
          <w:sz w:val="22"/>
          <w:szCs w:val="22"/>
        </w:rPr>
        <w:t>medication, and</w:t>
      </w:r>
      <w:proofErr w:type="gramEnd"/>
      <w:r w:rsidRPr="00902300">
        <w:rPr>
          <w:rFonts w:ascii="Arial" w:hAnsi="Arial" w:cs="Arial"/>
          <w:sz w:val="22"/>
          <w:szCs w:val="22"/>
        </w:rPr>
        <w:t xml:space="preserve"> allowing extra time for information to be repeated or rephrased if she appears confused. If there were any language barriers or if </w:t>
      </w:r>
      <w:r w:rsidRPr="00902300">
        <w:rPr>
          <w:rFonts w:ascii="Arial" w:hAnsi="Arial" w:cs="Arial"/>
          <w:sz w:val="22"/>
          <w:szCs w:val="22"/>
        </w:rPr>
        <w:lastRenderedPageBreak/>
        <w:t>she required further support to understand complex information, the use of professional interpreters or communication support workers would be essential to ensure she is fully informed and can make decisions about her own care, rather than relying on family members who may not always be available.</w:t>
      </w:r>
    </w:p>
    <w:p w14:paraId="0E3287DD" w14:textId="77777777" w:rsidR="005D6B38" w:rsidRPr="00902300" w:rsidRDefault="00000000" w:rsidP="00902300">
      <w:pPr>
        <w:spacing w:after="200" w:line="360" w:lineRule="auto"/>
        <w:jc w:val="both"/>
        <w:rPr>
          <w:rFonts w:ascii="Arial" w:hAnsi="Arial" w:cs="Arial"/>
          <w:sz w:val="22"/>
          <w:szCs w:val="22"/>
        </w:rPr>
      </w:pPr>
      <w:r w:rsidRPr="00902300">
        <w:rPr>
          <w:rFonts w:ascii="Arial" w:hAnsi="Arial" w:cs="Arial"/>
          <w:sz w:val="22"/>
          <w:szCs w:val="22"/>
        </w:rPr>
        <w:t>A practical communication model widely used in the sector is the SBAR model (Situation, Background, Assessment, Recommendation), developed by the NHS Institute for Innovation and Improvement (2010) to standardise the handover of important information between staff. This structured approach helps professionals communicate consistently and effectively, reducing the risk of misunderstandings. For example, when reporting the missed medication, a carer would use SBAR to explain: Situation – Mrs Thompson missed two doses of her medication; Background – she has mild dementia and was recently unwell with pneumonia; Assessment – this has caused increased confusion; Recommendation – a review of her medication routine is needed. This ensures all relevant information is passed on clearly and in the same order every time, helping other professionals, such as her GP or the out-of-hours service, to respond appropriately without needing repeated follow-up questions, and creates a record that can be cross-referenced with her care notes.</w:t>
      </w:r>
    </w:p>
    <w:p w14:paraId="4392D9B0" w14:textId="77777777" w:rsidR="005D6B38" w:rsidRPr="00902300" w:rsidRDefault="00000000" w:rsidP="00902300">
      <w:pPr>
        <w:pStyle w:val="Heading1"/>
        <w:spacing w:before="300" w:after="200" w:line="360" w:lineRule="auto"/>
        <w:rPr>
          <w:rFonts w:ascii="Arial" w:hAnsi="Arial" w:cs="Arial"/>
          <w:sz w:val="22"/>
          <w:szCs w:val="22"/>
        </w:rPr>
      </w:pPr>
      <w:r w:rsidRPr="00902300">
        <w:rPr>
          <w:rFonts w:ascii="Arial" w:hAnsi="Arial" w:cs="Arial"/>
          <w:b/>
          <w:bCs/>
          <w:color w:val="1F3864"/>
          <w:sz w:val="22"/>
          <w:szCs w:val="22"/>
        </w:rPr>
        <w:t>Section 2: Administrative Skills &amp; Record Keeping</w:t>
      </w:r>
    </w:p>
    <w:p w14:paraId="73B61BD0" w14:textId="77777777" w:rsidR="005D6B38" w:rsidRPr="00902300" w:rsidRDefault="00000000" w:rsidP="00902300">
      <w:pPr>
        <w:spacing w:after="200" w:line="360" w:lineRule="auto"/>
        <w:jc w:val="both"/>
        <w:rPr>
          <w:rFonts w:ascii="Arial" w:hAnsi="Arial" w:cs="Arial"/>
          <w:sz w:val="22"/>
          <w:szCs w:val="22"/>
        </w:rPr>
      </w:pPr>
      <w:r w:rsidRPr="00902300">
        <w:rPr>
          <w:rFonts w:ascii="Arial" w:hAnsi="Arial" w:cs="Arial"/>
          <w:sz w:val="22"/>
          <w:szCs w:val="22"/>
        </w:rPr>
        <w:t>Accurate, detailed record keeping is a critical administrative skill that underpins safe and effective care. Records serve multiple purposes: they provide a continuous account of care provided, act as a legal document, support decision-making, and help identify risks or changes in a person's condition over time. For Mrs Thompson, good record keeping is especially important given her dementia, as it ensures consistency between the different care workers who visit her twice daily and prevents small changes in her condition from being missed.</w:t>
      </w:r>
    </w:p>
    <w:p w14:paraId="2C55E377" w14:textId="77777777" w:rsidR="005D6B38" w:rsidRPr="00902300" w:rsidRDefault="00000000" w:rsidP="00902300">
      <w:pPr>
        <w:spacing w:after="200" w:line="360" w:lineRule="auto"/>
        <w:jc w:val="both"/>
        <w:rPr>
          <w:rFonts w:ascii="Arial" w:hAnsi="Arial" w:cs="Arial"/>
          <w:sz w:val="22"/>
          <w:szCs w:val="22"/>
        </w:rPr>
      </w:pPr>
      <w:r w:rsidRPr="00902300">
        <w:rPr>
          <w:rFonts w:ascii="Arial" w:hAnsi="Arial" w:cs="Arial"/>
          <w:sz w:val="22"/>
          <w:szCs w:val="22"/>
        </w:rPr>
        <w:t>Under the Data Protection Act 2018, personal information must be kept secure, accurate, and used only for the purpose for which it was collected. This means Mrs Thompson's records must be stored safely, accessed only by authorised staff, and protected from unauthorised disclosure. Additionally, the Caldicott Principles (National Data Guardian, 2020) provide guidance on how confidential information should be handled, emphasising that it should be shared only when necessary, restricted to those with a legitimate need to know, and that the duty to share information for a person's safety and wellbeing can be as important as the duty to protect their confidentiality. This last point is particularly relevant to Mrs Thompson's case, where sharing information promptly between her care team, GP and the safeguarding review may be essential to keeping her safe from further harm.</w:t>
      </w:r>
    </w:p>
    <w:p w14:paraId="76040B18" w14:textId="77777777" w:rsidR="005D6B38" w:rsidRPr="00902300" w:rsidRDefault="00000000" w:rsidP="00902300">
      <w:pPr>
        <w:spacing w:after="200" w:line="360" w:lineRule="auto"/>
        <w:jc w:val="both"/>
        <w:rPr>
          <w:rFonts w:ascii="Arial" w:hAnsi="Arial" w:cs="Arial"/>
          <w:sz w:val="22"/>
          <w:szCs w:val="22"/>
        </w:rPr>
      </w:pPr>
      <w:r w:rsidRPr="00902300">
        <w:rPr>
          <w:rFonts w:ascii="Arial" w:hAnsi="Arial" w:cs="Arial"/>
          <w:sz w:val="22"/>
          <w:szCs w:val="22"/>
        </w:rPr>
        <w:lastRenderedPageBreak/>
        <w:t>The Nursing and Midwifery Council's (2018) Code and the Care Quality Commission's (2022) fundamental standards further highlight the importance of good documentation. They require that records are clear, legible, dated, signed, and include all relevant details such as when care was provided, any medication taken, observations made, and any incidents or concerns. For Mrs Thompson, this means recording exactly when she received her care, noting if she appeared confused, and documenting the incident where she was found outside in cold weather. Care workers are also expected to work to the Code of Conduct for Healthcare Support Workers and Adult Social Care Workers in England (Skills for Care and Skills for Health, 2013), which requires accountability for accurate reporting and the prompt escalation of concerns.</w:t>
      </w:r>
    </w:p>
    <w:p w14:paraId="142A80C5" w14:textId="77777777" w:rsidR="005D6B38" w:rsidRPr="00902300" w:rsidRDefault="00000000" w:rsidP="00902300">
      <w:pPr>
        <w:spacing w:after="200" w:line="360" w:lineRule="auto"/>
        <w:jc w:val="both"/>
        <w:rPr>
          <w:rFonts w:ascii="Arial" w:hAnsi="Arial" w:cs="Arial"/>
          <w:sz w:val="22"/>
          <w:szCs w:val="22"/>
        </w:rPr>
      </w:pPr>
      <w:r w:rsidRPr="00902300">
        <w:rPr>
          <w:rFonts w:ascii="Arial" w:hAnsi="Arial" w:cs="Arial"/>
          <w:sz w:val="22"/>
          <w:szCs w:val="22"/>
        </w:rPr>
        <w:t xml:space="preserve">Poor record keeping could have serious consequences: it could lead to medication errors, mean that a change in her health is missed, or result in legal liability if an incident is not properly recorded. Had the missed medication not been documented and escalated through the incident process, the link to her increased confusion might never have been made, delaying the medication review she now requires. Strong administrative skills also involve organising </w:t>
      </w:r>
      <w:proofErr w:type="gramStart"/>
      <w:r w:rsidRPr="00902300">
        <w:rPr>
          <w:rFonts w:ascii="Arial" w:hAnsi="Arial" w:cs="Arial"/>
          <w:sz w:val="22"/>
          <w:szCs w:val="22"/>
        </w:rPr>
        <w:t>information</w:t>
      </w:r>
      <w:proofErr w:type="gramEnd"/>
      <w:r w:rsidRPr="00902300">
        <w:rPr>
          <w:rFonts w:ascii="Arial" w:hAnsi="Arial" w:cs="Arial"/>
          <w:sz w:val="22"/>
          <w:szCs w:val="22"/>
        </w:rPr>
        <w:t xml:space="preserve"> so it is easy to access and understand, ensuring that all professionals involved, from domiciliary staff to the reviewing social worker, have the full and accurate picture needed to make informed and timely decisions about her ongoing care.</w:t>
      </w:r>
    </w:p>
    <w:p w14:paraId="3D9AD285" w14:textId="77777777" w:rsidR="005D6B38" w:rsidRPr="00902300" w:rsidRDefault="00000000" w:rsidP="00902300">
      <w:pPr>
        <w:pStyle w:val="Heading1"/>
        <w:spacing w:before="300" w:after="200" w:line="360" w:lineRule="auto"/>
        <w:rPr>
          <w:rFonts w:ascii="Arial" w:hAnsi="Arial" w:cs="Arial"/>
          <w:sz w:val="22"/>
          <w:szCs w:val="22"/>
        </w:rPr>
      </w:pPr>
      <w:r w:rsidRPr="00902300">
        <w:rPr>
          <w:rFonts w:ascii="Arial" w:hAnsi="Arial" w:cs="Arial"/>
          <w:b/>
          <w:bCs/>
          <w:color w:val="1F3864"/>
          <w:sz w:val="22"/>
          <w:szCs w:val="22"/>
        </w:rPr>
        <w:t>Section 3: Collaborative Working</w:t>
      </w:r>
    </w:p>
    <w:p w14:paraId="778B00B2" w14:textId="77777777" w:rsidR="005D6B38" w:rsidRPr="00902300" w:rsidRDefault="00000000" w:rsidP="00902300">
      <w:pPr>
        <w:spacing w:after="200" w:line="360" w:lineRule="auto"/>
        <w:jc w:val="both"/>
        <w:rPr>
          <w:rFonts w:ascii="Arial" w:hAnsi="Arial" w:cs="Arial"/>
          <w:sz w:val="22"/>
          <w:szCs w:val="22"/>
        </w:rPr>
      </w:pPr>
      <w:r w:rsidRPr="00902300">
        <w:rPr>
          <w:rFonts w:ascii="Arial" w:hAnsi="Arial" w:cs="Arial"/>
          <w:sz w:val="22"/>
          <w:szCs w:val="22"/>
        </w:rPr>
        <w:t>No single professional can provide comprehensive care on their own; effective support requires collaboration across different agencies and individuals. For Mrs Thompson, this involves the domiciliary care team, her GP, hospital staff, social services, and the local council. Working together ensures that care is consistent, coordinated, and meets all her needs, rather than each service acting in isolation.</w:t>
      </w:r>
    </w:p>
    <w:p w14:paraId="2AA69856" w14:textId="77777777" w:rsidR="005D6B38" w:rsidRPr="00902300" w:rsidRDefault="00000000" w:rsidP="00902300">
      <w:pPr>
        <w:spacing w:after="200" w:line="360" w:lineRule="auto"/>
        <w:jc w:val="both"/>
        <w:rPr>
          <w:rFonts w:ascii="Arial" w:hAnsi="Arial" w:cs="Arial"/>
          <w:sz w:val="22"/>
          <w:szCs w:val="22"/>
        </w:rPr>
      </w:pPr>
      <w:r w:rsidRPr="00902300">
        <w:rPr>
          <w:rFonts w:ascii="Arial" w:hAnsi="Arial" w:cs="Arial"/>
          <w:sz w:val="22"/>
          <w:szCs w:val="22"/>
        </w:rPr>
        <w:t>A key approach to collaboration is the development of a shared care plan. This document is created together with Mrs Thompson, where possible, and all relevant professionals, outlining her goals, support needs, and how different services will work together to meet them. Regular review meetings and clear communication channels ensure everyone is updated on her condition, so a change noticed by one worker is not lost before it reaches the professional best placed to act on it.</w:t>
      </w:r>
    </w:p>
    <w:p w14:paraId="542EF5D4" w14:textId="77777777" w:rsidR="005D6B38" w:rsidRPr="00902300" w:rsidRDefault="00000000" w:rsidP="00902300">
      <w:pPr>
        <w:spacing w:after="200" w:line="360" w:lineRule="auto"/>
        <w:jc w:val="both"/>
        <w:rPr>
          <w:rFonts w:ascii="Arial" w:hAnsi="Arial" w:cs="Arial"/>
          <w:sz w:val="22"/>
          <w:szCs w:val="22"/>
        </w:rPr>
      </w:pPr>
      <w:r w:rsidRPr="00902300">
        <w:rPr>
          <w:rFonts w:ascii="Arial" w:hAnsi="Arial" w:cs="Arial"/>
          <w:sz w:val="22"/>
          <w:szCs w:val="22"/>
        </w:rPr>
        <w:t xml:space="preserve">However, challenges can arise, such as differing priorities between agencies, inconsistent recording systems, or difficulties sharing information due to data protection rules being applied over-cautiously. Time pressures can also make it hard for busy professionals to respond quickly to requests for information. To overcome these barriers, it is important to establish </w:t>
      </w:r>
      <w:r w:rsidRPr="00902300">
        <w:rPr>
          <w:rFonts w:ascii="Arial" w:hAnsi="Arial" w:cs="Arial"/>
          <w:sz w:val="22"/>
          <w:szCs w:val="22"/>
        </w:rPr>
        <w:lastRenderedPageBreak/>
        <w:t>clear roles and responsibilities from the outset, maintain open lines of communication, and ensure that all professionals understand that the duty to share relevant information for a person's safety is as important as the duty to protect confidentiality. Naming a single coordinating worker can also help ensure concerns are followed up consistently rather than falling between services.</w:t>
      </w:r>
    </w:p>
    <w:p w14:paraId="2899B702" w14:textId="77777777" w:rsidR="005D6B38" w:rsidRPr="00902300" w:rsidRDefault="00000000" w:rsidP="00902300">
      <w:pPr>
        <w:spacing w:after="200" w:line="360" w:lineRule="auto"/>
        <w:jc w:val="both"/>
        <w:rPr>
          <w:rFonts w:ascii="Arial" w:hAnsi="Arial" w:cs="Arial"/>
          <w:sz w:val="22"/>
          <w:szCs w:val="22"/>
        </w:rPr>
      </w:pPr>
      <w:r w:rsidRPr="00902300">
        <w:rPr>
          <w:rFonts w:ascii="Arial" w:hAnsi="Arial" w:cs="Arial"/>
          <w:sz w:val="22"/>
          <w:szCs w:val="22"/>
        </w:rPr>
        <w:t>Collaboration also helps prevent further incidents. For example, if her medication routine is reviewed, the care team, GP and hospital can work together to adjust the schedule, perhaps using reminders or different packaging, to ensure she takes her medicine correctly and safely. This joined-up approach reduces risk and ensures Mrs Thompson receives the best possible support.</w:t>
      </w:r>
    </w:p>
    <w:p w14:paraId="2C0E9E45" w14:textId="77777777" w:rsidR="005D6B38" w:rsidRPr="00902300" w:rsidRDefault="00000000" w:rsidP="00902300">
      <w:pPr>
        <w:pStyle w:val="Heading1"/>
        <w:spacing w:before="300" w:after="200" w:line="360" w:lineRule="auto"/>
        <w:rPr>
          <w:rFonts w:ascii="Arial" w:hAnsi="Arial" w:cs="Arial"/>
          <w:sz w:val="22"/>
          <w:szCs w:val="22"/>
        </w:rPr>
      </w:pPr>
      <w:r w:rsidRPr="00902300">
        <w:rPr>
          <w:rFonts w:ascii="Arial" w:hAnsi="Arial" w:cs="Arial"/>
          <w:b/>
          <w:bCs/>
          <w:color w:val="1F3864"/>
          <w:sz w:val="22"/>
          <w:szCs w:val="22"/>
        </w:rPr>
        <w:t>Conclusion</w:t>
      </w:r>
    </w:p>
    <w:p w14:paraId="47DA8F0A" w14:textId="77777777" w:rsidR="005D6B38" w:rsidRPr="00902300" w:rsidRDefault="00000000" w:rsidP="00902300">
      <w:pPr>
        <w:spacing w:after="200" w:line="360" w:lineRule="auto"/>
        <w:jc w:val="both"/>
        <w:rPr>
          <w:rFonts w:ascii="Arial" w:hAnsi="Arial" w:cs="Arial"/>
          <w:sz w:val="22"/>
          <w:szCs w:val="22"/>
        </w:rPr>
      </w:pPr>
      <w:r w:rsidRPr="00902300">
        <w:rPr>
          <w:rFonts w:ascii="Arial" w:hAnsi="Arial" w:cs="Arial"/>
          <w:sz w:val="22"/>
          <w:szCs w:val="22"/>
        </w:rPr>
        <w:t>Mrs Thompson's case clearly demonstrates that effective communication, good administrative practice, and collaborative working are essential elements of high-quality health and social care. Effective communication, supported by tools such as the SBAR model and underpinned by the Equality Act 2010, ensures her needs are met and she is supported to understand and take part in decisions about her own care. Accurate record keeping, guided by the Data Protection Act 2018, the Caldicott Principles, the NMC Code and CQC standards, provides a reliable foundation for safe decision-making. Working together across different services helps to identify risks early and ensures care is consistent and coordinated rather than fragmented. The lessons learned from this case are universal: person-centred care relies on strong communication, attention to detail, and a genuine willingness to work as a team. By applying these principles, professionals can help keep individuals like Mrs Thompson safe, comfortable, and respected in their own homes.</w:t>
      </w:r>
    </w:p>
    <w:p w14:paraId="26AE4189" w14:textId="77777777" w:rsidR="005D6B38" w:rsidRPr="00902300" w:rsidRDefault="00000000" w:rsidP="00902300">
      <w:pPr>
        <w:pStyle w:val="Heading1"/>
        <w:spacing w:before="300" w:after="200" w:line="360" w:lineRule="auto"/>
        <w:rPr>
          <w:rFonts w:ascii="Arial" w:hAnsi="Arial" w:cs="Arial"/>
          <w:sz w:val="22"/>
          <w:szCs w:val="22"/>
        </w:rPr>
      </w:pPr>
      <w:r w:rsidRPr="00902300">
        <w:rPr>
          <w:rFonts w:ascii="Arial" w:hAnsi="Arial" w:cs="Arial"/>
          <w:b/>
          <w:bCs/>
          <w:color w:val="1F3864"/>
          <w:sz w:val="22"/>
          <w:szCs w:val="22"/>
        </w:rPr>
        <w:t>References</w:t>
      </w:r>
    </w:p>
    <w:p w14:paraId="0614E284" w14:textId="77777777" w:rsidR="005D6B38" w:rsidRPr="00902300" w:rsidRDefault="00000000" w:rsidP="00902300">
      <w:pPr>
        <w:spacing w:after="160" w:line="360" w:lineRule="auto"/>
        <w:ind w:left="720" w:hanging="720"/>
        <w:rPr>
          <w:rFonts w:ascii="Arial" w:hAnsi="Arial" w:cs="Arial"/>
          <w:sz w:val="22"/>
          <w:szCs w:val="22"/>
        </w:rPr>
      </w:pPr>
      <w:r w:rsidRPr="00902300">
        <w:rPr>
          <w:rFonts w:ascii="Arial" w:hAnsi="Arial" w:cs="Arial"/>
          <w:sz w:val="22"/>
          <w:szCs w:val="22"/>
        </w:rPr>
        <w:t>Care Quality Commission (2022) Regulations for Service Providers and Managers. London: CQC. Available at: https://www.cqc.org.uk/guidance-regulation/providers/regulations-service-providers-and-managers (Accessed: 12 July 2026).</w:t>
      </w:r>
    </w:p>
    <w:p w14:paraId="6A4288D7" w14:textId="77777777" w:rsidR="005D6B38" w:rsidRPr="00902300" w:rsidRDefault="00000000" w:rsidP="00902300">
      <w:pPr>
        <w:spacing w:after="160" w:line="360" w:lineRule="auto"/>
        <w:ind w:left="720" w:hanging="720"/>
        <w:rPr>
          <w:rFonts w:ascii="Arial" w:hAnsi="Arial" w:cs="Arial"/>
          <w:sz w:val="22"/>
          <w:szCs w:val="22"/>
        </w:rPr>
      </w:pPr>
      <w:r w:rsidRPr="00902300">
        <w:rPr>
          <w:rFonts w:ascii="Arial" w:hAnsi="Arial" w:cs="Arial"/>
          <w:sz w:val="22"/>
          <w:szCs w:val="22"/>
        </w:rPr>
        <w:t>Data Protection Act 2018. London: The Stationery Office.</w:t>
      </w:r>
    </w:p>
    <w:p w14:paraId="1588845D" w14:textId="77777777" w:rsidR="005D6B38" w:rsidRPr="00902300" w:rsidRDefault="00000000" w:rsidP="00902300">
      <w:pPr>
        <w:spacing w:after="160" w:line="360" w:lineRule="auto"/>
        <w:ind w:left="720" w:hanging="720"/>
        <w:rPr>
          <w:rFonts w:ascii="Arial" w:hAnsi="Arial" w:cs="Arial"/>
          <w:sz w:val="22"/>
          <w:szCs w:val="22"/>
        </w:rPr>
      </w:pPr>
      <w:r w:rsidRPr="00902300">
        <w:rPr>
          <w:rFonts w:ascii="Arial" w:hAnsi="Arial" w:cs="Arial"/>
          <w:sz w:val="22"/>
          <w:szCs w:val="22"/>
        </w:rPr>
        <w:t>Equality Act 2010. London: The Stationery Office.</w:t>
      </w:r>
    </w:p>
    <w:p w14:paraId="314A989C" w14:textId="77777777" w:rsidR="005D6B38" w:rsidRPr="00902300" w:rsidRDefault="00000000" w:rsidP="00902300">
      <w:pPr>
        <w:spacing w:after="160" w:line="360" w:lineRule="auto"/>
        <w:ind w:left="720" w:hanging="720"/>
        <w:rPr>
          <w:rFonts w:ascii="Arial" w:hAnsi="Arial" w:cs="Arial"/>
          <w:sz w:val="22"/>
          <w:szCs w:val="22"/>
        </w:rPr>
      </w:pPr>
      <w:r w:rsidRPr="00902300">
        <w:rPr>
          <w:rFonts w:ascii="Arial" w:hAnsi="Arial" w:cs="Arial"/>
          <w:sz w:val="22"/>
          <w:szCs w:val="22"/>
        </w:rPr>
        <w:t>National Data Guardian (2020) The Caldicott Principles. London: Department of Health and Social Care. Available at: https://www.gov.uk/government/publications/the-caldicott-principles (Accessed: 12 July 2026).</w:t>
      </w:r>
    </w:p>
    <w:p w14:paraId="15CD74B0" w14:textId="77777777" w:rsidR="005D6B38" w:rsidRPr="00902300" w:rsidRDefault="00000000" w:rsidP="00902300">
      <w:pPr>
        <w:spacing w:after="160" w:line="360" w:lineRule="auto"/>
        <w:ind w:left="720" w:hanging="720"/>
        <w:rPr>
          <w:rFonts w:ascii="Arial" w:hAnsi="Arial" w:cs="Arial"/>
          <w:sz w:val="22"/>
          <w:szCs w:val="22"/>
        </w:rPr>
      </w:pPr>
      <w:r w:rsidRPr="00902300">
        <w:rPr>
          <w:rFonts w:ascii="Arial" w:hAnsi="Arial" w:cs="Arial"/>
          <w:sz w:val="22"/>
          <w:szCs w:val="22"/>
        </w:rPr>
        <w:lastRenderedPageBreak/>
        <w:t>NHS Institute for Innovation and Improvement (2010) Safer Care: SBAR – Situation, Background, Assessment, Recommendation: Implementation and Training Guide. Coventry: NHS Institute for Innovation and Improvement. Available at: https://www.england.nhs.uk/improvement-hub/wp-content/uploads/sites/44/2017/11/SBAR-Implementation-and-Training-Guide.pdf (Accessed: 12 July 2026).</w:t>
      </w:r>
    </w:p>
    <w:p w14:paraId="06023984" w14:textId="77777777" w:rsidR="005D6B38" w:rsidRPr="00902300" w:rsidRDefault="00000000" w:rsidP="00902300">
      <w:pPr>
        <w:spacing w:after="160" w:line="360" w:lineRule="auto"/>
        <w:ind w:left="720" w:hanging="720"/>
        <w:rPr>
          <w:rFonts w:ascii="Arial" w:hAnsi="Arial" w:cs="Arial"/>
          <w:sz w:val="22"/>
          <w:szCs w:val="22"/>
        </w:rPr>
      </w:pPr>
      <w:r w:rsidRPr="00902300">
        <w:rPr>
          <w:rFonts w:ascii="Arial" w:hAnsi="Arial" w:cs="Arial"/>
          <w:sz w:val="22"/>
          <w:szCs w:val="22"/>
        </w:rPr>
        <w:t>Nursing and Midwifery Council (2018) The Code: Professional Standards of Practice and Behaviour for Nurses, Midwives and Nursing Associates. London: NMC.</w:t>
      </w:r>
    </w:p>
    <w:p w14:paraId="1E652B90" w14:textId="77777777" w:rsidR="005D6B38" w:rsidRPr="00902300" w:rsidRDefault="00000000" w:rsidP="00902300">
      <w:pPr>
        <w:spacing w:after="160" w:line="360" w:lineRule="auto"/>
        <w:ind w:left="720" w:hanging="720"/>
        <w:rPr>
          <w:rFonts w:ascii="Arial" w:hAnsi="Arial" w:cs="Arial"/>
          <w:sz w:val="22"/>
          <w:szCs w:val="22"/>
        </w:rPr>
      </w:pPr>
      <w:r w:rsidRPr="00902300">
        <w:rPr>
          <w:rFonts w:ascii="Arial" w:hAnsi="Arial" w:cs="Arial"/>
          <w:sz w:val="22"/>
          <w:szCs w:val="22"/>
        </w:rPr>
        <w:t>Skills for Care and Skills for Health (2013) Code of Conduct for Healthcare Support Workers and Adult Social Care Workers in England. Leeds: Skills for Care.</w:t>
      </w:r>
    </w:p>
    <w:sectPr w:rsidR="005D6B38" w:rsidRPr="00902300">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36EEC" w14:textId="77777777" w:rsidR="00D50CD2" w:rsidRDefault="00D50CD2">
      <w:r>
        <w:separator/>
      </w:r>
    </w:p>
  </w:endnote>
  <w:endnote w:type="continuationSeparator" w:id="0">
    <w:p w14:paraId="6DAAC73A" w14:textId="77777777" w:rsidR="00D50CD2" w:rsidRDefault="00D50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1B6BE" w14:textId="77777777" w:rsidR="005D6B38" w:rsidRDefault="00000000">
    <w:pPr>
      <w:jc w:val="center"/>
    </w:pPr>
    <w:r>
      <w:rPr>
        <w:sz w:val="18"/>
        <w:szCs w:val="18"/>
      </w:rPr>
      <w:fldChar w:fldCharType="begin"/>
    </w:r>
    <w:r>
      <w:rPr>
        <w:sz w:val="18"/>
        <w:szCs w:val="18"/>
      </w:rPr>
      <w:instrText>PAGE</w:instrText>
    </w:r>
    <w:r>
      <w:rPr>
        <w:sz w:val="18"/>
        <w:szCs w:val="18"/>
      </w:rPr>
      <w:fldChar w:fldCharType="separate"/>
    </w:r>
    <w:r w:rsidR="004E5DFD">
      <w:rPr>
        <w:noProof/>
        <w:sz w:val="18"/>
        <w:szCs w:val="18"/>
      </w:rPr>
      <w:t>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BDB33" w14:textId="77777777" w:rsidR="00D50CD2" w:rsidRDefault="00D50CD2">
      <w:r>
        <w:separator/>
      </w:r>
    </w:p>
  </w:footnote>
  <w:footnote w:type="continuationSeparator" w:id="0">
    <w:p w14:paraId="1AC67170" w14:textId="77777777" w:rsidR="00D50CD2" w:rsidRDefault="00D50C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96272" w14:textId="4A6AB07C" w:rsidR="005D6B38" w:rsidRPr="00902300" w:rsidRDefault="005D6B38" w:rsidP="00902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FB7CDB"/>
    <w:multiLevelType w:val="hybridMultilevel"/>
    <w:tmpl w:val="480E9334"/>
    <w:lvl w:ilvl="0" w:tplc="A4F86CC8">
      <w:start w:val="1"/>
      <w:numFmt w:val="bullet"/>
      <w:lvlText w:val="●"/>
      <w:lvlJc w:val="left"/>
      <w:pPr>
        <w:ind w:left="720" w:hanging="360"/>
      </w:pPr>
    </w:lvl>
    <w:lvl w:ilvl="1" w:tplc="AE66F6A0">
      <w:start w:val="1"/>
      <w:numFmt w:val="bullet"/>
      <w:lvlText w:val="○"/>
      <w:lvlJc w:val="left"/>
      <w:pPr>
        <w:ind w:left="1440" w:hanging="360"/>
      </w:pPr>
    </w:lvl>
    <w:lvl w:ilvl="2" w:tplc="08CA77D0">
      <w:start w:val="1"/>
      <w:numFmt w:val="bullet"/>
      <w:lvlText w:val="■"/>
      <w:lvlJc w:val="left"/>
      <w:pPr>
        <w:ind w:left="2160" w:hanging="360"/>
      </w:pPr>
    </w:lvl>
    <w:lvl w:ilvl="3" w:tplc="CBEA79F4">
      <w:start w:val="1"/>
      <w:numFmt w:val="bullet"/>
      <w:lvlText w:val="●"/>
      <w:lvlJc w:val="left"/>
      <w:pPr>
        <w:ind w:left="2880" w:hanging="360"/>
      </w:pPr>
    </w:lvl>
    <w:lvl w:ilvl="4" w:tplc="FA0A19B6">
      <w:start w:val="1"/>
      <w:numFmt w:val="bullet"/>
      <w:lvlText w:val="○"/>
      <w:lvlJc w:val="left"/>
      <w:pPr>
        <w:ind w:left="3600" w:hanging="360"/>
      </w:pPr>
    </w:lvl>
    <w:lvl w:ilvl="5" w:tplc="C094632C">
      <w:start w:val="1"/>
      <w:numFmt w:val="bullet"/>
      <w:lvlText w:val="■"/>
      <w:lvlJc w:val="left"/>
      <w:pPr>
        <w:ind w:left="4320" w:hanging="360"/>
      </w:pPr>
    </w:lvl>
    <w:lvl w:ilvl="6" w:tplc="218A014E">
      <w:start w:val="1"/>
      <w:numFmt w:val="bullet"/>
      <w:lvlText w:val="●"/>
      <w:lvlJc w:val="left"/>
      <w:pPr>
        <w:ind w:left="5040" w:hanging="360"/>
      </w:pPr>
    </w:lvl>
    <w:lvl w:ilvl="7" w:tplc="53C4DBBC">
      <w:start w:val="1"/>
      <w:numFmt w:val="bullet"/>
      <w:lvlText w:val="●"/>
      <w:lvlJc w:val="left"/>
      <w:pPr>
        <w:ind w:left="5760" w:hanging="360"/>
      </w:pPr>
    </w:lvl>
    <w:lvl w:ilvl="8" w:tplc="43E8B116">
      <w:start w:val="1"/>
      <w:numFmt w:val="bullet"/>
      <w:lvlText w:val="●"/>
      <w:lvlJc w:val="left"/>
      <w:pPr>
        <w:ind w:left="6480" w:hanging="360"/>
      </w:pPr>
    </w:lvl>
  </w:abstractNum>
  <w:num w:numId="1" w16cid:durableId="69169008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B38"/>
    <w:rsid w:val="00054CDA"/>
    <w:rsid w:val="0022232F"/>
    <w:rsid w:val="003D603E"/>
    <w:rsid w:val="004E5DFD"/>
    <w:rsid w:val="005D6B38"/>
    <w:rsid w:val="00902300"/>
    <w:rsid w:val="00A66269"/>
    <w:rsid w:val="00D50CD2"/>
    <w:rsid w:val="00DD5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8C765"/>
  <w15:docId w15:val="{A3B3ADA3-CB3B-4371-8157-DCBD7440C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902300"/>
    <w:pPr>
      <w:tabs>
        <w:tab w:val="center" w:pos="4513"/>
        <w:tab w:val="right" w:pos="9026"/>
      </w:tabs>
    </w:pPr>
  </w:style>
  <w:style w:type="character" w:customStyle="1" w:styleId="HeaderChar">
    <w:name w:val="Header Char"/>
    <w:basedOn w:val="DefaultParagraphFont"/>
    <w:link w:val="Header"/>
    <w:uiPriority w:val="99"/>
    <w:rsid w:val="00902300"/>
  </w:style>
  <w:style w:type="paragraph" w:styleId="Footer">
    <w:name w:val="footer"/>
    <w:basedOn w:val="Normal"/>
    <w:link w:val="FooterChar"/>
    <w:uiPriority w:val="99"/>
    <w:unhideWhenUsed/>
    <w:rsid w:val="00902300"/>
    <w:pPr>
      <w:tabs>
        <w:tab w:val="center" w:pos="4513"/>
        <w:tab w:val="right" w:pos="9026"/>
      </w:tabs>
    </w:pPr>
  </w:style>
  <w:style w:type="character" w:customStyle="1" w:styleId="FooterChar">
    <w:name w:val="Footer Char"/>
    <w:basedOn w:val="DefaultParagraphFont"/>
    <w:link w:val="Footer"/>
    <w:uiPriority w:val="99"/>
    <w:rsid w:val="00902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1747</Words>
  <Characters>9963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abid chaudry</cp:lastModifiedBy>
  <cp:revision>4</cp:revision>
  <dcterms:created xsi:type="dcterms:W3CDTF">2026-07-12T21:57:00Z</dcterms:created>
  <dcterms:modified xsi:type="dcterms:W3CDTF">2026-07-13T22:36:00Z</dcterms:modified>
</cp:coreProperties>
</file>