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328399280"/>
        <w:docPartObj>
          <w:docPartGallery w:val="Cover Pages"/>
          <w:docPartUnique/>
        </w:docPartObj>
      </w:sdtPr>
      <w:sdtEndPr>
        <w:rPr>
          <w:color w:val="auto"/>
        </w:rPr>
      </w:sdtEndPr>
      <w:sdtContent>
        <w:p w14:paraId="373BFDDD" w14:textId="77777777" w:rsidR="00F3294A" w:rsidRPr="00F3294A" w:rsidRDefault="00F3294A" w:rsidP="00F3294A">
          <w:pPr>
            <w:spacing w:before="1540" w:after="240"/>
            <w:jc w:val="center"/>
            <w:rPr>
              <w:color w:val="4472C4" w:themeColor="accent1"/>
            </w:rPr>
          </w:pPr>
          <w:r w:rsidRPr="00F3294A">
            <w:rPr>
              <w:noProof/>
              <w:color w:val="4472C4" w:themeColor="accent1"/>
            </w:rPr>
            <w:drawing>
              <wp:inline distT="0" distB="0" distL="0" distR="0" wp14:anchorId="7E16FAF1" wp14:editId="52A5EDE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AC197205A904674BB313FBE7E6E3D874"/>
            </w:placeholder>
            <w:dataBinding w:prefixMappings="xmlns:ns0='http://purl.org/dc/elements/1.1/' xmlns:ns1='http://schemas.openxmlformats.org/package/2006/metadata/core-properties' " w:xpath="/ns1:coreProperties[1]/ns0:title[1]" w:storeItemID="{6C3C8BC8-F283-45AE-878A-BAB7291924A1}"/>
            <w:text/>
          </w:sdtPr>
          <w:sdtContent>
            <w:p w14:paraId="1386D98F" w14:textId="77777777" w:rsidR="00F3294A" w:rsidRPr="00F3294A" w:rsidRDefault="00F3294A" w:rsidP="00F3294A">
              <w:pPr>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3294A">
                <w:rPr>
                  <w:rFonts w:asciiTheme="majorHAnsi" w:eastAsiaTheme="majorEastAsia" w:hAnsiTheme="majorHAnsi" w:cstheme="majorBidi"/>
                  <w:caps/>
                  <w:color w:val="4472C4" w:themeColor="accent1"/>
                  <w:sz w:val="80"/>
                  <w:szCs w:val="80"/>
                </w:rPr>
                <w:t>LCBB4002 Community Engagement</w:t>
              </w:r>
            </w:p>
          </w:sdtContent>
        </w:sdt>
        <w:sdt>
          <w:sdtPr>
            <w:rPr>
              <w:color w:val="4472C4" w:themeColor="accent1"/>
              <w:sz w:val="28"/>
              <w:szCs w:val="28"/>
            </w:rPr>
            <w:alias w:val="Subtitle"/>
            <w:tag w:val=""/>
            <w:id w:val="328029620"/>
            <w:placeholder>
              <w:docPart w:val="2AE58AE89B4DCA419B2D03AD0AB81B6D"/>
            </w:placeholder>
            <w:dataBinding w:prefixMappings="xmlns:ns0='http://purl.org/dc/elements/1.1/' xmlns:ns1='http://schemas.openxmlformats.org/package/2006/metadata/core-properties' " w:xpath="/ns1:coreProperties[1]/ns0:subject[1]" w:storeItemID="{6C3C8BC8-F283-45AE-878A-BAB7291924A1}"/>
            <w:text/>
          </w:sdtPr>
          <w:sdtContent>
            <w:p w14:paraId="3755075C" w14:textId="77777777" w:rsidR="00F3294A" w:rsidRPr="00F3294A" w:rsidRDefault="00F3294A" w:rsidP="00F3294A">
              <w:pPr>
                <w:jc w:val="center"/>
                <w:rPr>
                  <w:color w:val="4472C4" w:themeColor="accent1"/>
                  <w:sz w:val="28"/>
                  <w:szCs w:val="28"/>
                </w:rPr>
              </w:pPr>
              <w:r w:rsidRPr="00F3294A">
                <w:rPr>
                  <w:color w:val="4472C4" w:themeColor="accent1"/>
                  <w:sz w:val="28"/>
                  <w:szCs w:val="28"/>
                </w:rPr>
                <w:t>Assessment 2</w:t>
              </w:r>
            </w:p>
          </w:sdtContent>
        </w:sdt>
        <w:p w14:paraId="5408280A" w14:textId="77777777" w:rsidR="00F3294A" w:rsidRPr="00F3294A" w:rsidRDefault="00F3294A" w:rsidP="00F3294A">
          <w:pPr>
            <w:spacing w:before="480"/>
            <w:jc w:val="center"/>
            <w:rPr>
              <w:color w:val="4472C4" w:themeColor="accent1"/>
            </w:rPr>
          </w:pPr>
          <w:r w:rsidRPr="00F3294A">
            <w:rPr>
              <w:noProof/>
              <w:color w:val="4472C4" w:themeColor="accent1"/>
            </w:rPr>
            <w:drawing>
              <wp:inline distT="0" distB="0" distL="0" distR="0" wp14:anchorId="48E5B115" wp14:editId="2EC74A7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F4FCBF" w14:textId="77777777" w:rsidR="00F3294A" w:rsidRDefault="00F3294A" w:rsidP="00F3294A">
          <w:pPr>
            <w:spacing w:after="160" w:line="259" w:lineRule="auto"/>
            <w:rPr>
              <w:rFonts w:eastAsiaTheme="minorHAnsi"/>
            </w:rPr>
          </w:pPr>
        </w:p>
        <w:p w14:paraId="6C91018D" w14:textId="77777777" w:rsidR="00F3294A" w:rsidRDefault="00F3294A" w:rsidP="00F3294A">
          <w:pPr>
            <w:spacing w:after="160" w:line="259" w:lineRule="auto"/>
            <w:rPr>
              <w:rFonts w:eastAsiaTheme="minorHAnsi"/>
            </w:rPr>
          </w:pPr>
        </w:p>
        <w:p w14:paraId="11F57A15" w14:textId="77777777" w:rsidR="00F3294A" w:rsidRDefault="00F3294A" w:rsidP="00F3294A">
          <w:pPr>
            <w:spacing w:after="160" w:line="259" w:lineRule="auto"/>
            <w:rPr>
              <w:rFonts w:eastAsiaTheme="minorHAnsi"/>
            </w:rPr>
          </w:pPr>
        </w:p>
        <w:p w14:paraId="115934D9" w14:textId="77777777" w:rsidR="00F3294A" w:rsidRDefault="00F3294A" w:rsidP="00F3294A">
          <w:pPr>
            <w:spacing w:after="160" w:line="259" w:lineRule="auto"/>
            <w:rPr>
              <w:rFonts w:eastAsiaTheme="minorHAnsi"/>
            </w:rPr>
          </w:pPr>
        </w:p>
        <w:p w14:paraId="264D2BAC" w14:textId="77777777" w:rsidR="00F3294A" w:rsidRDefault="00F3294A" w:rsidP="00F3294A">
          <w:pPr>
            <w:spacing w:after="160" w:line="259" w:lineRule="auto"/>
            <w:rPr>
              <w:rFonts w:eastAsiaTheme="minorHAnsi"/>
            </w:rPr>
          </w:pPr>
        </w:p>
        <w:p w14:paraId="799119DB" w14:textId="77777777" w:rsidR="00F3294A" w:rsidRDefault="00F3294A" w:rsidP="00F3294A">
          <w:pPr>
            <w:spacing w:after="160" w:line="259" w:lineRule="auto"/>
            <w:rPr>
              <w:rFonts w:eastAsiaTheme="minorHAnsi"/>
            </w:rPr>
          </w:pPr>
        </w:p>
        <w:p w14:paraId="4E99E57D" w14:textId="77777777" w:rsidR="00F3294A" w:rsidRDefault="00F3294A" w:rsidP="00F3294A">
          <w:pPr>
            <w:spacing w:after="160" w:line="259" w:lineRule="auto"/>
            <w:rPr>
              <w:rFonts w:eastAsiaTheme="minorHAnsi"/>
            </w:rPr>
          </w:pPr>
        </w:p>
        <w:p w14:paraId="0105BADD" w14:textId="77777777" w:rsidR="00F3294A" w:rsidRDefault="00F3294A" w:rsidP="00F3294A">
          <w:pPr>
            <w:spacing w:after="160" w:line="259" w:lineRule="auto"/>
            <w:rPr>
              <w:rFonts w:eastAsiaTheme="minorHAnsi"/>
            </w:rPr>
          </w:pPr>
        </w:p>
        <w:p w14:paraId="53DE6A94" w14:textId="77777777" w:rsidR="00F3294A" w:rsidRDefault="00F3294A" w:rsidP="00F3294A">
          <w:pPr>
            <w:spacing w:after="160" w:line="259" w:lineRule="auto"/>
            <w:rPr>
              <w:rFonts w:eastAsiaTheme="minorHAnsi"/>
            </w:rPr>
          </w:pPr>
        </w:p>
        <w:p w14:paraId="16AB95BF" w14:textId="77777777" w:rsidR="00F3294A" w:rsidRDefault="00F3294A" w:rsidP="00F3294A">
          <w:pPr>
            <w:spacing w:after="160" w:line="259" w:lineRule="auto"/>
            <w:rPr>
              <w:rFonts w:eastAsiaTheme="minorHAnsi"/>
            </w:rPr>
          </w:pPr>
        </w:p>
        <w:p w14:paraId="4F9C877E" w14:textId="77777777" w:rsidR="00F3294A" w:rsidRPr="00065538" w:rsidRDefault="00F3294A" w:rsidP="00F3294A">
          <w:pPr>
            <w:spacing w:after="160" w:line="259" w:lineRule="auto"/>
            <w:rPr>
              <w:rFonts w:eastAsiaTheme="minorHAnsi"/>
              <w:color w:val="8EAADB" w:themeColor="accent1" w:themeTint="99"/>
            </w:rPr>
          </w:pPr>
          <w:r w:rsidRPr="00065538">
            <w:rPr>
              <w:rFonts w:eastAsiaTheme="minorHAnsi"/>
              <w:color w:val="8EAADB" w:themeColor="accent1" w:themeTint="99"/>
            </w:rPr>
            <w:t>Student: Kristina Valeva Ivanova</w:t>
          </w:r>
        </w:p>
        <w:p w14:paraId="4306D513" w14:textId="77777777" w:rsidR="00F3294A" w:rsidRPr="00F3294A" w:rsidRDefault="00F3294A" w:rsidP="00F3294A">
          <w:pPr>
            <w:spacing w:after="160" w:line="259" w:lineRule="auto"/>
            <w:rPr>
              <w:rFonts w:eastAsiaTheme="minorHAnsi"/>
            </w:rPr>
          </w:pPr>
          <w:r w:rsidRPr="00065538">
            <w:rPr>
              <w:rFonts w:eastAsiaTheme="minorHAnsi"/>
              <w:color w:val="8EAADB" w:themeColor="accent1" w:themeTint="99"/>
            </w:rPr>
            <w:t>Student ID: 2020255</w:t>
          </w:r>
          <w:r w:rsidRPr="00F3294A">
            <w:rPr>
              <w:rFonts w:eastAsiaTheme="minorHAnsi"/>
            </w:rPr>
            <w:br w:type="page"/>
          </w:r>
        </w:p>
      </w:sdtContent>
    </w:sdt>
    <w:p w14:paraId="78290DBE" w14:textId="77777777" w:rsidR="00F3294A" w:rsidRDefault="00F3294A" w:rsidP="00F3294A">
      <w:pPr>
        <w:keepNext/>
        <w:keepLines/>
        <w:spacing w:before="240" w:line="259" w:lineRule="auto"/>
        <w:jc w:val="center"/>
        <w:outlineLvl w:val="0"/>
        <w:rPr>
          <w:rFonts w:asciiTheme="majorHAnsi" w:eastAsiaTheme="majorEastAsia" w:hAnsiTheme="majorHAnsi" w:cstheme="majorBidi"/>
          <w:color w:val="2F5496" w:themeColor="accent1" w:themeShade="BF"/>
          <w:sz w:val="32"/>
          <w:szCs w:val="32"/>
        </w:rPr>
      </w:pPr>
      <w:r w:rsidRPr="00F3294A">
        <w:rPr>
          <w:rFonts w:asciiTheme="majorHAnsi" w:eastAsiaTheme="majorEastAsia" w:hAnsiTheme="majorHAnsi" w:cstheme="majorBidi"/>
          <w:color w:val="2F5496" w:themeColor="accent1" w:themeShade="BF"/>
          <w:sz w:val="32"/>
          <w:szCs w:val="32"/>
        </w:rPr>
        <w:lastRenderedPageBreak/>
        <w:t>Reflection on the Best Practices of Community Engagement between Rainbow Trust and Winston’s Wish</w:t>
      </w:r>
    </w:p>
    <w:p w14:paraId="5A013C0A" w14:textId="77777777" w:rsidR="00936F51" w:rsidRPr="00F3294A" w:rsidRDefault="00936F51" w:rsidP="00F3294A">
      <w:pPr>
        <w:keepNext/>
        <w:keepLines/>
        <w:spacing w:before="240" w:line="259" w:lineRule="auto"/>
        <w:jc w:val="center"/>
        <w:outlineLvl w:val="0"/>
        <w:rPr>
          <w:rFonts w:asciiTheme="majorHAnsi" w:eastAsiaTheme="majorEastAsia" w:hAnsiTheme="majorHAnsi" w:cstheme="majorBidi"/>
          <w:color w:val="2F5496" w:themeColor="accent1" w:themeShade="BF"/>
          <w:sz w:val="32"/>
          <w:szCs w:val="32"/>
        </w:rPr>
      </w:pPr>
    </w:p>
    <w:p w14:paraId="7C693BF2" w14:textId="77777777" w:rsidR="00F3294A" w:rsidRPr="00F3294A" w:rsidRDefault="00F3294A" w:rsidP="00F3294A">
      <w:pPr>
        <w:spacing w:after="160" w:line="360" w:lineRule="auto"/>
        <w:jc w:val="both"/>
        <w:rPr>
          <w:rFonts w:eastAsiaTheme="minorHAnsi"/>
          <w:sz w:val="24"/>
          <w:szCs w:val="24"/>
        </w:rPr>
      </w:pPr>
      <w:r w:rsidRPr="00F3294A">
        <w:rPr>
          <w:rFonts w:eastAsiaTheme="minorHAnsi"/>
          <w:sz w:val="24"/>
          <w:szCs w:val="24"/>
        </w:rPr>
        <w:t xml:space="preserve">The people in the community can play a great role in resolving the issues that are faced by the community. There are different issues in our society as a whole which need to be addressed and one of the best way to tackle these issues is through engagement and active participation of the people in the community. The community engagement practitioner needs to understand the different ways the people in the society can be engaged in a much better way and utilize the latest methodologies to involved people more in these issues (Gilchrist and Taylor, 2017). The community engagement practitioner can also utilize an important method which can be really helpful in this regard. This method is reflection. Reflection is the deep and serious consideration regarding an event, idea or some concept. By reflecting on the best practices that are adopted by different projects or </w:t>
      </w:r>
      <w:proofErr w:type="spellStart"/>
      <w:r w:rsidRPr="00F3294A">
        <w:rPr>
          <w:rFonts w:eastAsiaTheme="minorHAnsi"/>
          <w:sz w:val="24"/>
          <w:szCs w:val="24"/>
        </w:rPr>
        <w:t>programme</w:t>
      </w:r>
      <w:proofErr w:type="spellEnd"/>
      <w:r w:rsidRPr="00F3294A">
        <w:rPr>
          <w:rFonts w:eastAsiaTheme="minorHAnsi"/>
          <w:sz w:val="24"/>
          <w:szCs w:val="24"/>
        </w:rPr>
        <w:t xml:space="preserve"> they can understand the most effective method which can be used to create higher community engagement (</w:t>
      </w:r>
      <w:proofErr w:type="spellStart"/>
      <w:r w:rsidRPr="00F3294A">
        <w:rPr>
          <w:rFonts w:eastAsiaTheme="minorHAnsi"/>
          <w:sz w:val="24"/>
          <w:szCs w:val="24"/>
        </w:rPr>
        <w:t>Sicora</w:t>
      </w:r>
      <w:proofErr w:type="spellEnd"/>
      <w:r w:rsidRPr="00F3294A">
        <w:rPr>
          <w:rFonts w:eastAsiaTheme="minorHAnsi"/>
          <w:sz w:val="24"/>
          <w:szCs w:val="24"/>
        </w:rPr>
        <w:t xml:space="preserve">, 2019). In first part of the </w:t>
      </w:r>
      <w:r w:rsidR="00936F51" w:rsidRPr="00F3294A">
        <w:rPr>
          <w:rFonts w:eastAsiaTheme="minorHAnsi"/>
          <w:sz w:val="24"/>
          <w:szCs w:val="24"/>
        </w:rPr>
        <w:t>assessment</w:t>
      </w:r>
      <w:r w:rsidRPr="00F3294A">
        <w:rPr>
          <w:rFonts w:eastAsiaTheme="minorHAnsi"/>
          <w:sz w:val="24"/>
          <w:szCs w:val="24"/>
        </w:rPr>
        <w:t xml:space="preserve">, we planned an event for the Rainbow Trust which provides emotional and physical support to the parents who have a child diagnosed with a serious condition or terminal illness. In this reflection, we will compare the approach and best practices for the community engagement between Rainbow Trust and Winston’s Wish. Winston’s Wish is an </w:t>
      </w:r>
      <w:r w:rsidR="00936F51" w:rsidRPr="00F3294A">
        <w:rPr>
          <w:rFonts w:eastAsiaTheme="minorHAnsi"/>
          <w:sz w:val="24"/>
          <w:szCs w:val="24"/>
        </w:rPr>
        <w:t>organization</w:t>
      </w:r>
      <w:r w:rsidRPr="00F3294A">
        <w:rPr>
          <w:rFonts w:eastAsiaTheme="minorHAnsi"/>
          <w:sz w:val="24"/>
          <w:szCs w:val="24"/>
        </w:rPr>
        <w:t xml:space="preserve"> that provides support to the children who have lost their parent(s) or a sibling. We will have a look at the way both of these projects engage their stakeholders and </w:t>
      </w:r>
      <w:r w:rsidR="00936F51" w:rsidRPr="00F3294A">
        <w:rPr>
          <w:rFonts w:eastAsiaTheme="minorHAnsi"/>
          <w:sz w:val="24"/>
          <w:szCs w:val="24"/>
        </w:rPr>
        <w:t>analyze</w:t>
      </w:r>
      <w:r w:rsidRPr="00F3294A">
        <w:rPr>
          <w:rFonts w:eastAsiaTheme="minorHAnsi"/>
          <w:sz w:val="24"/>
          <w:szCs w:val="24"/>
        </w:rPr>
        <w:t xml:space="preserve"> the best practices for community engagement.</w:t>
      </w:r>
    </w:p>
    <w:p w14:paraId="6C2DBDD4" w14:textId="77777777" w:rsidR="00F3294A" w:rsidRPr="00F3294A" w:rsidRDefault="00F3294A" w:rsidP="00F3294A">
      <w:pPr>
        <w:spacing w:after="160" w:line="360" w:lineRule="auto"/>
        <w:jc w:val="both"/>
        <w:rPr>
          <w:rFonts w:eastAsiaTheme="minorHAnsi"/>
          <w:sz w:val="24"/>
          <w:szCs w:val="24"/>
        </w:rPr>
      </w:pPr>
      <w:r w:rsidRPr="00F3294A">
        <w:rPr>
          <w:rFonts w:eastAsiaTheme="minorHAnsi"/>
          <w:sz w:val="24"/>
          <w:szCs w:val="24"/>
        </w:rPr>
        <w:t xml:space="preserve">One of the most important aspect of this comparison is to understand both projects and their differences in terms of the services they provide to the community and the issues they are trying to resolve. Rainbow Trust is focussed on providing help to the families which have children with illness or conditions which are serious in nature. They provide the necessary physical and emotional support to these families. They have trained community support workers which are assigned to each family which help them face this tragic situation and engage them in different ways as to help them through this difficult situation (Rainbow Trust, 2021). Rainbow Trust was initially providing its services through a team of volunteers. With the growth in the project service </w:t>
      </w:r>
      <w:r w:rsidRPr="00F3294A">
        <w:rPr>
          <w:rFonts w:eastAsiaTheme="minorHAnsi"/>
          <w:sz w:val="24"/>
          <w:szCs w:val="24"/>
        </w:rPr>
        <w:lastRenderedPageBreak/>
        <w:t>and reach, they now have hired specialist people for the role of community support worker’s role. These people are well-qualified and trained individuals to perform this important duty. The rationale behind the Rainbow Trust is that when a little child is diagnosed with life threatening illness, their parents and families are effected emotionally and physically as well. Sometimes, the necessary help for such families is not available to manage this tough situation and Rainbow Trust has taken initiative to provide support to these families. On the other hand, Winston’s Wish is a completely different project from the Rainbow Trust. Winston’s Wish provides support to grieving children and young people who have faced the tragedy of losing their parents or siblings. Losing someone very close to a child is a big event in a child’s life and leaves lasting impression on their life. The children and young people need support to bereave their loss in way that they continue to be a healthy part of the society in the future (Winston’s Wish, 2021). This support is sometimes not adequately available to the children. When the parents die, the children do not get right mental and emotional support to bear this loss in their future. Similarly, in case of losing a sibling the parents of the child may try to help and support him/her but they are not expert in this area and also they are going through a tough time as well. Winston’s Wish provide the bereave support services to such children and their care takers. They provide one-off as well as on going bereavement services to the children which have distressed families. They also have online resources for this purpose, different publications related to the subject matter and professional training for the parents and caretakers of such children.</w:t>
      </w:r>
    </w:p>
    <w:p w14:paraId="31D8653A" w14:textId="77777777" w:rsidR="00F3294A" w:rsidRPr="00F3294A" w:rsidRDefault="00F3294A" w:rsidP="00F3294A">
      <w:pPr>
        <w:spacing w:after="160" w:line="360" w:lineRule="auto"/>
        <w:jc w:val="both"/>
        <w:rPr>
          <w:rFonts w:eastAsiaTheme="minorHAnsi"/>
          <w:sz w:val="24"/>
          <w:szCs w:val="24"/>
        </w:rPr>
      </w:pPr>
      <w:r w:rsidRPr="00F3294A">
        <w:rPr>
          <w:rFonts w:eastAsiaTheme="minorHAnsi"/>
          <w:sz w:val="24"/>
          <w:szCs w:val="24"/>
        </w:rPr>
        <w:t xml:space="preserve">Both of these </w:t>
      </w:r>
      <w:r w:rsidR="00065538" w:rsidRPr="00F3294A">
        <w:rPr>
          <w:rFonts w:eastAsiaTheme="minorHAnsi"/>
          <w:sz w:val="24"/>
          <w:szCs w:val="24"/>
        </w:rPr>
        <w:t>organization</w:t>
      </w:r>
      <w:r w:rsidRPr="00F3294A">
        <w:rPr>
          <w:rFonts w:eastAsiaTheme="minorHAnsi"/>
          <w:sz w:val="24"/>
          <w:szCs w:val="24"/>
        </w:rPr>
        <w:t xml:space="preserve"> rely on the support of the people of the community for their services. One of the most important concern for such projects and </w:t>
      </w:r>
      <w:proofErr w:type="spellStart"/>
      <w:r w:rsidRPr="00F3294A">
        <w:rPr>
          <w:rFonts w:eastAsiaTheme="minorHAnsi"/>
          <w:sz w:val="24"/>
          <w:szCs w:val="24"/>
        </w:rPr>
        <w:t>programme</w:t>
      </w:r>
      <w:proofErr w:type="spellEnd"/>
      <w:r w:rsidRPr="00F3294A">
        <w:rPr>
          <w:rFonts w:eastAsiaTheme="minorHAnsi"/>
          <w:sz w:val="24"/>
          <w:szCs w:val="24"/>
        </w:rPr>
        <w:t xml:space="preserve"> is to community and connect with their stakeholders in an effective manner (</w:t>
      </w:r>
      <w:proofErr w:type="spellStart"/>
      <w:r w:rsidRPr="00F3294A">
        <w:rPr>
          <w:rFonts w:eastAsiaTheme="minorHAnsi"/>
          <w:sz w:val="24"/>
          <w:szCs w:val="24"/>
        </w:rPr>
        <w:t>Greenberger</w:t>
      </w:r>
      <w:proofErr w:type="spellEnd"/>
      <w:r w:rsidRPr="00F3294A">
        <w:rPr>
          <w:rFonts w:eastAsiaTheme="minorHAnsi"/>
          <w:sz w:val="24"/>
          <w:szCs w:val="24"/>
        </w:rPr>
        <w:t xml:space="preserve"> and McNaughton, 2019). Such projects can only be effective when they are successful in engaging the community to deal with issues they are targeting. The approaches these projects use to engage the community is also important as they have to adopt the best method and techniques to be effective in their purpose. One of the basic principle of community engagement is collaboration and shared purpose. The community will be more engaged and participative when the have a shared purpose for the cause and they are really willing to resolve this issue (Dodd, 2017). Rainbow Trust has taken a cause which has lesser awareness in public. The people in general feel sorry for those </w:t>
      </w:r>
      <w:r w:rsidRPr="00F3294A">
        <w:rPr>
          <w:rFonts w:eastAsiaTheme="minorHAnsi"/>
          <w:sz w:val="24"/>
          <w:szCs w:val="24"/>
        </w:rPr>
        <w:lastRenderedPageBreak/>
        <w:t>who are going through a trauma of a sick child but generally they do not think of doing something special to provide support to such parents and families. This is one of the reasons that the approach that has been adopted by Rainbow Trust is to raise awareness regarding these issues. Their online campaigns and videos are targeted at creating a support environment for such parents and to increase the participation of the community in this cause. Winston’s Wish provides support to the children who have lost a parent or a sibling. This is an issue which, in general, has more awareness in public. People are aware that the children are helpless especially in the case of loss of a parent. Their community engagement is higher in this regard and their activities are less focussed on raising awareness about the matter itself.</w:t>
      </w:r>
    </w:p>
    <w:p w14:paraId="55B03B9C" w14:textId="77777777" w:rsidR="00F3294A" w:rsidRPr="00F3294A" w:rsidRDefault="00F3294A" w:rsidP="00F3294A">
      <w:pPr>
        <w:spacing w:after="160" w:line="360" w:lineRule="auto"/>
        <w:jc w:val="both"/>
        <w:rPr>
          <w:rFonts w:eastAsiaTheme="minorHAnsi"/>
          <w:sz w:val="24"/>
          <w:szCs w:val="24"/>
        </w:rPr>
      </w:pPr>
      <w:r w:rsidRPr="00F3294A">
        <w:rPr>
          <w:rFonts w:eastAsiaTheme="minorHAnsi"/>
          <w:sz w:val="24"/>
          <w:szCs w:val="24"/>
        </w:rPr>
        <w:t xml:space="preserve">Another very important principle for effective community engagement is inclusion and demographic diversity (Abu-Samah and Sail, 2016). The project or program should be focussed on resolving the issues which are related to each individual in the society. The inclusion means that the project should include all the members of the society and there should be no differences in this regard. The demographic diversity refers to the target audience of the problem. Those projects or </w:t>
      </w:r>
      <w:proofErr w:type="spellStart"/>
      <w:r w:rsidRPr="00F3294A">
        <w:rPr>
          <w:rFonts w:eastAsiaTheme="minorHAnsi"/>
          <w:sz w:val="24"/>
          <w:szCs w:val="24"/>
        </w:rPr>
        <w:t>programme</w:t>
      </w:r>
      <w:proofErr w:type="spellEnd"/>
      <w:r w:rsidRPr="00F3294A">
        <w:rPr>
          <w:rFonts w:eastAsiaTheme="minorHAnsi"/>
          <w:sz w:val="24"/>
          <w:szCs w:val="24"/>
        </w:rPr>
        <w:t xml:space="preserve"> which are designed in such a way that people of different ages, ethnicities, income classes and education are engaged together (Dodd, 2017). The Rainbow Trust has understood this principle of the community engagement in a very deep manner. With their growth, they have hired people from different backgrounds and ethnicities to provide services as the community support worker.  The rationale of such action is that people feel more comfortable with people of same origin and same language. This has greatly shaped the way their services are provided. Their community engagement activities are also targeted to attract people from all the spheres of life and their website shows their intent to increase the diversity in their program services. Winston’s Wish also engages their community on the principles of inclusion and demographic diversity. They have also created a blend of resources to ensure higher inclusion and more demographic diversity. Their services are targeted at each and every sector of the society and they also appeal to everyone in the society with their message of providing the bereavement support to the children. They have hired staff based on the diversity principle but one key difference is that unlike Rainbow Trust they are not targeting people of same ethnicities for the same societies. Their approach is based on the larger view principle which is focussed on </w:t>
      </w:r>
      <w:r w:rsidRPr="00F3294A">
        <w:rPr>
          <w:rFonts w:eastAsiaTheme="minorHAnsi"/>
          <w:sz w:val="24"/>
          <w:szCs w:val="24"/>
        </w:rPr>
        <w:lastRenderedPageBreak/>
        <w:t xml:space="preserve">providing services with a bigger vision. There is also an approach that focusing too much on difference promote the differences and that is why the diversity movement should focus on increasing the interaction between different segment of the society (Gilchrist and Taylor, 2017). Both of these </w:t>
      </w:r>
      <w:r w:rsidR="00383663" w:rsidRPr="00F3294A">
        <w:rPr>
          <w:rFonts w:eastAsiaTheme="minorHAnsi"/>
          <w:sz w:val="24"/>
          <w:szCs w:val="24"/>
        </w:rPr>
        <w:t>organization</w:t>
      </w:r>
      <w:r w:rsidRPr="00F3294A">
        <w:rPr>
          <w:rFonts w:eastAsiaTheme="minorHAnsi"/>
          <w:sz w:val="24"/>
          <w:szCs w:val="24"/>
        </w:rPr>
        <w:t xml:space="preserve"> are offering their services to the society at large.</w:t>
      </w:r>
    </w:p>
    <w:p w14:paraId="64EBABD5" w14:textId="77777777" w:rsidR="00F3294A" w:rsidRPr="00F3294A" w:rsidRDefault="00F3294A" w:rsidP="00F3294A">
      <w:pPr>
        <w:spacing w:after="160" w:line="360" w:lineRule="auto"/>
        <w:jc w:val="both"/>
        <w:rPr>
          <w:rFonts w:eastAsiaTheme="minorHAnsi"/>
          <w:sz w:val="24"/>
          <w:szCs w:val="24"/>
        </w:rPr>
      </w:pPr>
      <w:r w:rsidRPr="00F3294A">
        <w:rPr>
          <w:rFonts w:eastAsiaTheme="minorHAnsi"/>
          <w:sz w:val="24"/>
          <w:szCs w:val="24"/>
        </w:rPr>
        <w:t xml:space="preserve">One of the most important principle of community engagement is to ensure that the participation from the community is higher and the engagement is sustainable. This is very important to understand because a project or </w:t>
      </w:r>
      <w:proofErr w:type="spellStart"/>
      <w:r w:rsidRPr="00F3294A">
        <w:rPr>
          <w:rFonts w:eastAsiaTheme="minorHAnsi"/>
          <w:sz w:val="24"/>
          <w:szCs w:val="24"/>
        </w:rPr>
        <w:t>programme</w:t>
      </w:r>
      <w:proofErr w:type="spellEnd"/>
      <w:r w:rsidRPr="00F3294A">
        <w:rPr>
          <w:rFonts w:eastAsiaTheme="minorHAnsi"/>
          <w:sz w:val="24"/>
          <w:szCs w:val="24"/>
        </w:rPr>
        <w:t xml:space="preserve"> may start with great enthusiasm and engage the community members for the cause highly. But with the passage of the time the engagement level of the community goes down and their participation is reduced (</w:t>
      </w:r>
      <w:proofErr w:type="spellStart"/>
      <w:r w:rsidRPr="00F3294A">
        <w:rPr>
          <w:rFonts w:eastAsiaTheme="minorHAnsi"/>
          <w:sz w:val="24"/>
          <w:szCs w:val="24"/>
        </w:rPr>
        <w:t>Greenberger</w:t>
      </w:r>
      <w:proofErr w:type="spellEnd"/>
      <w:r w:rsidRPr="00F3294A">
        <w:rPr>
          <w:rFonts w:eastAsiaTheme="minorHAnsi"/>
          <w:sz w:val="24"/>
          <w:szCs w:val="24"/>
        </w:rPr>
        <w:t xml:space="preserve"> and McNaughton, 2019). This can negatively affect any project aimed at resolving the community issues. The community engagement is a continuous process and should be planned in such a manner that people are kept engaged with the cause. The usage of social media for this purpose can be of great benefit. The social media is very popular among the public and the users rely on different social media for interaction and connection. One of the ways the people can be kept engaged and increase their participation is by creating the groups of likeminded people on different social media (</w:t>
      </w:r>
      <w:proofErr w:type="spellStart"/>
      <w:r w:rsidRPr="00F3294A">
        <w:rPr>
          <w:rFonts w:eastAsiaTheme="minorHAnsi"/>
          <w:sz w:val="24"/>
          <w:szCs w:val="24"/>
        </w:rPr>
        <w:t>DeMers</w:t>
      </w:r>
      <w:proofErr w:type="spellEnd"/>
      <w:r w:rsidRPr="00F3294A">
        <w:rPr>
          <w:rFonts w:eastAsiaTheme="minorHAnsi"/>
          <w:sz w:val="24"/>
          <w:szCs w:val="24"/>
        </w:rPr>
        <w:t xml:space="preserve">, 2017). This can be a great method for the project to interact with the community and the members of the community to engage with each other. Rainbow Trust are present on the popular social media for this purpose and they continuously share content with the people through them. They are present on Facebook, Instagram, Twitter, Pinterest, and YouTube. They have created their page on Facebook which keeps updating the content related to different activities and causes. Users of the Facebook follow their page and keep themselves updated. They also share the pictures on Instagram and update their stories regularly. The use of right content on the social media can be helpful in attracting many people (Baker, 2016). They have also created a pin board on Pinterest with latest updates. They also use the twitter to promote their cause. They have a dedicated YouTube channel which shows their activities with the families and ill children. The YouTube channel is not very effective in terms of audience. Winston’s Wish are also present on different social media as they understand that the social media is the best method for such projects to keep their community engaged and participative. They have a very popular Facebook page in which they keep sharing different pictures and videos to appeal to </w:t>
      </w:r>
      <w:r w:rsidRPr="00F3294A">
        <w:rPr>
          <w:rFonts w:eastAsiaTheme="minorHAnsi"/>
          <w:sz w:val="24"/>
          <w:szCs w:val="24"/>
        </w:rPr>
        <w:lastRenderedPageBreak/>
        <w:t xml:space="preserve">community to increase their support. They use the twitter for the promotion of their cause and have run successful campaigns with the hashtag of the </w:t>
      </w:r>
      <w:proofErr w:type="spellStart"/>
      <w:r w:rsidRPr="00F3294A">
        <w:rPr>
          <w:rFonts w:eastAsiaTheme="minorHAnsi"/>
          <w:sz w:val="24"/>
          <w:szCs w:val="24"/>
        </w:rPr>
        <w:t>organisation</w:t>
      </w:r>
      <w:proofErr w:type="spellEnd"/>
      <w:r w:rsidRPr="00F3294A">
        <w:rPr>
          <w:rFonts w:eastAsiaTheme="minorHAnsi"/>
          <w:sz w:val="24"/>
          <w:szCs w:val="24"/>
        </w:rPr>
        <w:t xml:space="preserve"> name. They are very active on Instagram in terms of sharing pictures and short videos to keep their followers attracted. They also have a YouTube channel sharing the videos related to activities and appealing for donations. Their YouTube presence is better in terms of views of their videos. Lastly, they have made their presence on LinkedIn which is social connectivity site for professionals (Felix, </w:t>
      </w:r>
      <w:proofErr w:type="spellStart"/>
      <w:r w:rsidRPr="00F3294A">
        <w:rPr>
          <w:rFonts w:eastAsiaTheme="minorHAnsi"/>
          <w:sz w:val="24"/>
          <w:szCs w:val="24"/>
        </w:rPr>
        <w:t>Rauschnabel</w:t>
      </w:r>
      <w:proofErr w:type="spellEnd"/>
      <w:r w:rsidRPr="00F3294A">
        <w:rPr>
          <w:rFonts w:eastAsiaTheme="minorHAnsi"/>
          <w:sz w:val="24"/>
          <w:szCs w:val="24"/>
        </w:rPr>
        <w:t xml:space="preserve"> and </w:t>
      </w:r>
      <w:proofErr w:type="spellStart"/>
      <w:r w:rsidRPr="00F3294A">
        <w:rPr>
          <w:rFonts w:eastAsiaTheme="minorHAnsi"/>
          <w:sz w:val="24"/>
          <w:szCs w:val="24"/>
        </w:rPr>
        <w:t>Hinsch</w:t>
      </w:r>
      <w:proofErr w:type="spellEnd"/>
      <w:r w:rsidRPr="00F3294A">
        <w:rPr>
          <w:rFonts w:eastAsiaTheme="minorHAnsi"/>
          <w:sz w:val="24"/>
          <w:szCs w:val="24"/>
        </w:rPr>
        <w:t xml:space="preserve">, 2017). There reason for being present here is that it helps them in recruiting volunteers and staff members. Also, they present themselves as a full scale </w:t>
      </w:r>
      <w:proofErr w:type="spellStart"/>
      <w:r w:rsidRPr="00F3294A">
        <w:rPr>
          <w:rFonts w:eastAsiaTheme="minorHAnsi"/>
          <w:sz w:val="24"/>
          <w:szCs w:val="24"/>
        </w:rPr>
        <w:t>organisation</w:t>
      </w:r>
      <w:proofErr w:type="spellEnd"/>
      <w:r w:rsidRPr="00F3294A">
        <w:rPr>
          <w:rFonts w:eastAsiaTheme="minorHAnsi"/>
          <w:sz w:val="24"/>
          <w:szCs w:val="24"/>
        </w:rPr>
        <w:t xml:space="preserve"> having a corporate style presence. This is a very good approach as it gives people a better image about the </w:t>
      </w:r>
      <w:proofErr w:type="spellStart"/>
      <w:r w:rsidRPr="00F3294A">
        <w:rPr>
          <w:rFonts w:eastAsiaTheme="minorHAnsi"/>
          <w:sz w:val="24"/>
          <w:szCs w:val="24"/>
        </w:rPr>
        <w:t>organisation</w:t>
      </w:r>
      <w:proofErr w:type="spellEnd"/>
      <w:r w:rsidRPr="00F3294A">
        <w:rPr>
          <w:rFonts w:eastAsiaTheme="minorHAnsi"/>
          <w:sz w:val="24"/>
          <w:szCs w:val="24"/>
        </w:rPr>
        <w:t xml:space="preserve">. </w:t>
      </w:r>
    </w:p>
    <w:p w14:paraId="402BF441" w14:textId="77777777" w:rsidR="00F3294A" w:rsidRPr="00F3294A" w:rsidRDefault="00F3294A" w:rsidP="00F3294A">
      <w:pPr>
        <w:spacing w:after="160" w:line="360" w:lineRule="auto"/>
        <w:jc w:val="both"/>
        <w:rPr>
          <w:rFonts w:eastAsiaTheme="minorHAnsi"/>
          <w:sz w:val="24"/>
          <w:szCs w:val="24"/>
        </w:rPr>
      </w:pPr>
      <w:r w:rsidRPr="00F3294A">
        <w:rPr>
          <w:rFonts w:eastAsiaTheme="minorHAnsi"/>
          <w:sz w:val="24"/>
          <w:szCs w:val="24"/>
        </w:rPr>
        <w:t xml:space="preserve">The community engagement is extremely important and we can conclude that the best approach to attract, engage and involve the community members is necessary for any project to become successful in resolving society issues (Dodd, 2017). Rainbow Trust is an </w:t>
      </w:r>
      <w:proofErr w:type="spellStart"/>
      <w:r w:rsidRPr="00F3294A">
        <w:rPr>
          <w:rFonts w:eastAsiaTheme="minorHAnsi"/>
          <w:sz w:val="24"/>
          <w:szCs w:val="24"/>
        </w:rPr>
        <w:t>organisation</w:t>
      </w:r>
      <w:proofErr w:type="spellEnd"/>
      <w:r w:rsidRPr="00F3294A">
        <w:rPr>
          <w:rFonts w:eastAsiaTheme="minorHAnsi"/>
          <w:sz w:val="24"/>
          <w:szCs w:val="24"/>
        </w:rPr>
        <w:t xml:space="preserve"> focussed on providing emotional and physical support to terminally ill children’s parent. Winston’s Wish is a project aimed at providing bereavement support to young people who have faced the tragedy of loss of their loved ones in form of parents or siblings. The comparison of both </w:t>
      </w:r>
      <w:proofErr w:type="spellStart"/>
      <w:r w:rsidRPr="00F3294A">
        <w:rPr>
          <w:rFonts w:eastAsiaTheme="minorHAnsi"/>
          <w:sz w:val="24"/>
          <w:szCs w:val="24"/>
        </w:rPr>
        <w:t>organisation</w:t>
      </w:r>
      <w:proofErr w:type="spellEnd"/>
      <w:r w:rsidRPr="00F3294A">
        <w:rPr>
          <w:rFonts w:eastAsiaTheme="minorHAnsi"/>
          <w:sz w:val="24"/>
          <w:szCs w:val="24"/>
        </w:rPr>
        <w:t xml:space="preserve"> showed that they are applying the core principles of community engagement as per the suitability to their nature of services. Both of them focus on collaboration from the community based on the shared purpose. Rainbow Trust is still focusing on raising awareness about the issue and gathering support while Winston’s Wish are well established in their community in this regard. Both the projects offer inclusion and diversity. They are targeting each segment of the society and have adopted practices to increase the diversity in their staff to meet the needs of the project. Both of these project is present on different social media and are utilizing its power to ensure community engagement and higher participation. The comparison has shown that Winston’s Wish are more successful in their social media campaign in terms of their following and the reason could by the higher recognition of their project. The usage of best practices in community engagement is necessary for the success of the project.</w:t>
      </w:r>
    </w:p>
    <w:p w14:paraId="71462E56" w14:textId="77777777" w:rsidR="00F3294A" w:rsidRPr="00F3294A" w:rsidRDefault="00F3294A" w:rsidP="00F3294A">
      <w:pPr>
        <w:spacing w:after="160" w:line="259" w:lineRule="auto"/>
        <w:rPr>
          <w:rFonts w:eastAsiaTheme="minorHAnsi"/>
          <w:sz w:val="24"/>
          <w:szCs w:val="24"/>
        </w:rPr>
      </w:pPr>
      <w:r w:rsidRPr="00F3294A">
        <w:rPr>
          <w:rFonts w:eastAsiaTheme="minorHAnsi"/>
          <w:sz w:val="24"/>
          <w:szCs w:val="24"/>
        </w:rPr>
        <w:br w:type="page"/>
      </w:r>
    </w:p>
    <w:p w14:paraId="2C6C9972" w14:textId="77777777" w:rsidR="00F3294A" w:rsidRPr="00F3294A" w:rsidRDefault="00F3294A" w:rsidP="00F3294A">
      <w:pPr>
        <w:keepNext/>
        <w:keepLines/>
        <w:spacing w:before="240" w:line="259" w:lineRule="auto"/>
        <w:outlineLvl w:val="0"/>
        <w:rPr>
          <w:rFonts w:asciiTheme="majorHAnsi" w:eastAsiaTheme="majorEastAsia" w:hAnsiTheme="majorHAnsi" w:cstheme="majorBidi"/>
          <w:color w:val="2F5496" w:themeColor="accent1" w:themeShade="BF"/>
          <w:sz w:val="32"/>
          <w:szCs w:val="32"/>
        </w:rPr>
      </w:pPr>
      <w:r w:rsidRPr="00F3294A">
        <w:rPr>
          <w:rFonts w:asciiTheme="majorHAnsi" w:eastAsiaTheme="majorEastAsia" w:hAnsiTheme="majorHAnsi" w:cstheme="majorBidi"/>
          <w:color w:val="2F5496" w:themeColor="accent1" w:themeShade="BF"/>
          <w:sz w:val="32"/>
          <w:szCs w:val="32"/>
        </w:rPr>
        <w:lastRenderedPageBreak/>
        <w:t>Referencing list</w:t>
      </w:r>
    </w:p>
    <w:p w14:paraId="5D477C29"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r w:rsidRPr="00F3294A">
        <w:rPr>
          <w:rFonts w:eastAsiaTheme="minorHAnsi" w:cstheme="minorHAnsi"/>
          <w:color w:val="000000" w:themeColor="text1"/>
          <w:sz w:val="24"/>
          <w:szCs w:val="20"/>
          <w:shd w:val="clear" w:color="auto" w:fill="FFFFFF"/>
        </w:rPr>
        <w:t>Abu-Samah, A. and Sail, R., 2016. Community Development through Community Capacity Building: A Social Science Perspective. </w:t>
      </w:r>
      <w:r w:rsidRPr="00F3294A">
        <w:rPr>
          <w:rFonts w:eastAsiaTheme="minorHAnsi" w:cstheme="minorHAnsi"/>
          <w:i/>
          <w:iCs/>
          <w:color w:val="000000" w:themeColor="text1"/>
          <w:sz w:val="24"/>
          <w:szCs w:val="20"/>
          <w:shd w:val="clear" w:color="auto" w:fill="FFFFFF"/>
        </w:rPr>
        <w:t>Journal of American Science</w:t>
      </w:r>
      <w:r w:rsidRPr="00F3294A">
        <w:rPr>
          <w:rFonts w:eastAsiaTheme="minorHAnsi" w:cstheme="minorHAnsi"/>
          <w:color w:val="000000" w:themeColor="text1"/>
          <w:sz w:val="24"/>
          <w:szCs w:val="20"/>
          <w:shd w:val="clear" w:color="auto" w:fill="FFFFFF"/>
        </w:rPr>
        <w:t>, 6(2), p.62.</w:t>
      </w:r>
    </w:p>
    <w:p w14:paraId="1A731141"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r w:rsidRPr="00F3294A">
        <w:rPr>
          <w:rFonts w:eastAsiaTheme="minorHAnsi" w:cstheme="minorHAnsi"/>
          <w:color w:val="000000" w:themeColor="text1"/>
          <w:sz w:val="24"/>
          <w:szCs w:val="20"/>
          <w:shd w:val="clear" w:color="auto" w:fill="FFFFFF"/>
        </w:rPr>
        <w:t>Baker, K., 2016. </w:t>
      </w:r>
      <w:r w:rsidRPr="00F3294A">
        <w:rPr>
          <w:rFonts w:eastAsiaTheme="minorHAnsi" w:cstheme="minorHAnsi"/>
          <w:i/>
          <w:iCs/>
          <w:color w:val="000000" w:themeColor="text1"/>
          <w:sz w:val="24"/>
          <w:szCs w:val="20"/>
          <w:shd w:val="clear" w:color="auto" w:fill="FFFFFF"/>
        </w:rPr>
        <w:t>Social media law: an essential guide</w:t>
      </w:r>
      <w:r w:rsidRPr="00F3294A">
        <w:rPr>
          <w:rFonts w:eastAsiaTheme="minorHAnsi" w:cstheme="minorHAnsi"/>
          <w:color w:val="000000" w:themeColor="text1"/>
          <w:sz w:val="24"/>
          <w:szCs w:val="20"/>
          <w:shd w:val="clear" w:color="auto" w:fill="FFFFFF"/>
        </w:rPr>
        <w:t>. [online] Available at: &lt;https://www.theguardian.com/law/2016/aug/12/social-media-law-an-essential-guide&gt; [Accessed 31 August 2021].</w:t>
      </w:r>
    </w:p>
    <w:p w14:paraId="4B69B4B8"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proofErr w:type="spellStart"/>
      <w:r w:rsidRPr="00F3294A">
        <w:rPr>
          <w:rFonts w:eastAsiaTheme="minorHAnsi" w:cstheme="minorHAnsi"/>
          <w:color w:val="000000" w:themeColor="text1"/>
          <w:sz w:val="24"/>
          <w:szCs w:val="20"/>
          <w:shd w:val="clear" w:color="auto" w:fill="FFFFFF"/>
        </w:rPr>
        <w:t>DeMers</w:t>
      </w:r>
      <w:proofErr w:type="spellEnd"/>
      <w:r w:rsidRPr="00F3294A">
        <w:rPr>
          <w:rFonts w:eastAsiaTheme="minorHAnsi" w:cstheme="minorHAnsi"/>
          <w:color w:val="000000" w:themeColor="text1"/>
          <w:sz w:val="24"/>
          <w:szCs w:val="20"/>
          <w:shd w:val="clear" w:color="auto" w:fill="FFFFFF"/>
        </w:rPr>
        <w:t>, J., 2017. The Top 10 Benefits Of Social Media Marketing. </w:t>
      </w:r>
      <w:r w:rsidRPr="00F3294A">
        <w:rPr>
          <w:rFonts w:eastAsiaTheme="minorHAnsi" w:cstheme="minorHAnsi"/>
          <w:i/>
          <w:iCs/>
          <w:color w:val="000000" w:themeColor="text1"/>
          <w:sz w:val="24"/>
          <w:szCs w:val="20"/>
          <w:shd w:val="clear" w:color="auto" w:fill="FFFFFF"/>
        </w:rPr>
        <w:t>Forbes</w:t>
      </w:r>
      <w:r w:rsidRPr="00F3294A">
        <w:rPr>
          <w:rFonts w:eastAsiaTheme="minorHAnsi" w:cstheme="minorHAnsi"/>
          <w:color w:val="000000" w:themeColor="text1"/>
          <w:sz w:val="24"/>
          <w:szCs w:val="20"/>
          <w:shd w:val="clear" w:color="auto" w:fill="FFFFFF"/>
        </w:rPr>
        <w:t>, [online] Available at: &lt;http://www.forbes.com/sites/nataliesportelli/2017/09/10/malala-wants-to-go-to-stanford-but-first-shell-need-to-take-the-sats/&gt; [Accessed 31 August 2021].</w:t>
      </w:r>
    </w:p>
    <w:p w14:paraId="3146C2F9"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r w:rsidRPr="00F3294A">
        <w:rPr>
          <w:rFonts w:eastAsiaTheme="minorHAnsi" w:cstheme="minorHAnsi"/>
          <w:color w:val="000000" w:themeColor="text1"/>
          <w:sz w:val="24"/>
          <w:szCs w:val="20"/>
          <w:shd w:val="clear" w:color="auto" w:fill="FFFFFF"/>
        </w:rPr>
        <w:t xml:space="preserve">Dodd, A., 2017. Finding the community in sustainable online community engagement: Not-for-profit </w:t>
      </w:r>
      <w:proofErr w:type="spellStart"/>
      <w:r w:rsidRPr="00F3294A">
        <w:rPr>
          <w:rFonts w:eastAsiaTheme="minorHAnsi" w:cstheme="minorHAnsi"/>
          <w:color w:val="000000" w:themeColor="text1"/>
          <w:sz w:val="24"/>
          <w:szCs w:val="20"/>
          <w:shd w:val="clear" w:color="auto" w:fill="FFFFFF"/>
        </w:rPr>
        <w:t>organisation</w:t>
      </w:r>
      <w:proofErr w:type="spellEnd"/>
      <w:r w:rsidRPr="00F3294A">
        <w:rPr>
          <w:rFonts w:eastAsiaTheme="minorHAnsi" w:cstheme="minorHAnsi"/>
          <w:color w:val="000000" w:themeColor="text1"/>
          <w:sz w:val="24"/>
          <w:szCs w:val="20"/>
          <w:shd w:val="clear" w:color="auto" w:fill="FFFFFF"/>
        </w:rPr>
        <w:t xml:space="preserve"> websites, service-learning and research. </w:t>
      </w:r>
      <w:r w:rsidRPr="00F3294A">
        <w:rPr>
          <w:rFonts w:eastAsiaTheme="minorHAnsi" w:cstheme="minorHAnsi"/>
          <w:i/>
          <w:iCs/>
          <w:color w:val="000000" w:themeColor="text1"/>
          <w:sz w:val="24"/>
          <w:szCs w:val="20"/>
          <w:shd w:val="clear" w:color="auto" w:fill="FFFFFF"/>
        </w:rPr>
        <w:t>Gateways: International Journal of Community Research and Engagement</w:t>
      </w:r>
      <w:r w:rsidRPr="00F3294A">
        <w:rPr>
          <w:rFonts w:eastAsiaTheme="minorHAnsi" w:cstheme="minorHAnsi"/>
          <w:color w:val="000000" w:themeColor="text1"/>
          <w:sz w:val="24"/>
          <w:szCs w:val="20"/>
          <w:shd w:val="clear" w:color="auto" w:fill="FFFFFF"/>
        </w:rPr>
        <w:t>, 10.</w:t>
      </w:r>
    </w:p>
    <w:p w14:paraId="02B292EB"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r w:rsidRPr="00F3294A">
        <w:rPr>
          <w:rFonts w:eastAsiaTheme="minorHAnsi" w:cstheme="minorHAnsi"/>
          <w:color w:val="000000" w:themeColor="text1"/>
          <w:sz w:val="24"/>
          <w:szCs w:val="20"/>
          <w:shd w:val="clear" w:color="auto" w:fill="FFFFFF"/>
        </w:rPr>
        <w:t xml:space="preserve">Felix, R., </w:t>
      </w:r>
      <w:proofErr w:type="spellStart"/>
      <w:r w:rsidRPr="00F3294A">
        <w:rPr>
          <w:rFonts w:eastAsiaTheme="minorHAnsi" w:cstheme="minorHAnsi"/>
          <w:color w:val="000000" w:themeColor="text1"/>
          <w:sz w:val="24"/>
          <w:szCs w:val="20"/>
          <w:shd w:val="clear" w:color="auto" w:fill="FFFFFF"/>
        </w:rPr>
        <w:t>Rauschnabel</w:t>
      </w:r>
      <w:proofErr w:type="spellEnd"/>
      <w:r w:rsidRPr="00F3294A">
        <w:rPr>
          <w:rFonts w:eastAsiaTheme="minorHAnsi" w:cstheme="minorHAnsi"/>
          <w:color w:val="000000" w:themeColor="text1"/>
          <w:sz w:val="24"/>
          <w:szCs w:val="20"/>
          <w:shd w:val="clear" w:color="auto" w:fill="FFFFFF"/>
        </w:rPr>
        <w:t xml:space="preserve">, P. and </w:t>
      </w:r>
      <w:proofErr w:type="spellStart"/>
      <w:r w:rsidRPr="00F3294A">
        <w:rPr>
          <w:rFonts w:eastAsiaTheme="minorHAnsi" w:cstheme="minorHAnsi"/>
          <w:color w:val="000000" w:themeColor="text1"/>
          <w:sz w:val="24"/>
          <w:szCs w:val="20"/>
          <w:shd w:val="clear" w:color="auto" w:fill="FFFFFF"/>
        </w:rPr>
        <w:t>Hinsch</w:t>
      </w:r>
      <w:proofErr w:type="spellEnd"/>
      <w:r w:rsidRPr="00F3294A">
        <w:rPr>
          <w:rFonts w:eastAsiaTheme="minorHAnsi" w:cstheme="minorHAnsi"/>
          <w:color w:val="000000" w:themeColor="text1"/>
          <w:sz w:val="24"/>
          <w:szCs w:val="20"/>
          <w:shd w:val="clear" w:color="auto" w:fill="FFFFFF"/>
        </w:rPr>
        <w:t>, C., 2017. Elements of strategic social media marketing: A holistic framework. </w:t>
      </w:r>
      <w:r w:rsidRPr="00F3294A">
        <w:rPr>
          <w:rFonts w:eastAsiaTheme="minorHAnsi" w:cstheme="minorHAnsi"/>
          <w:i/>
          <w:iCs/>
          <w:color w:val="000000" w:themeColor="text1"/>
          <w:sz w:val="24"/>
          <w:szCs w:val="20"/>
          <w:shd w:val="clear" w:color="auto" w:fill="FFFFFF"/>
        </w:rPr>
        <w:t>Journal of Business Research</w:t>
      </w:r>
      <w:r w:rsidRPr="00F3294A">
        <w:rPr>
          <w:rFonts w:eastAsiaTheme="minorHAnsi" w:cstheme="minorHAnsi"/>
          <w:color w:val="000000" w:themeColor="text1"/>
          <w:sz w:val="24"/>
          <w:szCs w:val="20"/>
          <w:shd w:val="clear" w:color="auto" w:fill="FFFFFF"/>
        </w:rPr>
        <w:t>, [online] 70, pp.118-126. Available at: &lt;http://www.sciencedirect.com/science/article/pii/S0148296316302843&gt; [Accessed 31 August 2021].</w:t>
      </w:r>
    </w:p>
    <w:p w14:paraId="17BAE74A"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r w:rsidRPr="00F3294A">
        <w:rPr>
          <w:rFonts w:eastAsiaTheme="minorHAnsi" w:cstheme="minorHAnsi"/>
          <w:color w:val="000000" w:themeColor="text1"/>
          <w:sz w:val="24"/>
          <w:szCs w:val="20"/>
          <w:shd w:val="clear" w:color="auto" w:fill="FFFFFF"/>
        </w:rPr>
        <w:t>Gilchrist, A. and Taylor, M., 2017. </w:t>
      </w:r>
      <w:r w:rsidRPr="00F3294A">
        <w:rPr>
          <w:rFonts w:eastAsiaTheme="minorHAnsi" w:cstheme="minorHAnsi"/>
          <w:i/>
          <w:iCs/>
          <w:color w:val="000000" w:themeColor="text1"/>
          <w:sz w:val="24"/>
          <w:szCs w:val="20"/>
          <w:shd w:val="clear" w:color="auto" w:fill="FFFFFF"/>
        </w:rPr>
        <w:t>The Short Guide to Community Development</w:t>
      </w:r>
      <w:r w:rsidRPr="00F3294A">
        <w:rPr>
          <w:rFonts w:eastAsiaTheme="minorHAnsi" w:cstheme="minorHAnsi"/>
          <w:color w:val="000000" w:themeColor="text1"/>
          <w:sz w:val="24"/>
          <w:szCs w:val="20"/>
          <w:shd w:val="clear" w:color="auto" w:fill="FFFFFF"/>
        </w:rPr>
        <w:t>. 3rd ed. Bristol: Policy Press.</w:t>
      </w:r>
    </w:p>
    <w:p w14:paraId="7847B1E9"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proofErr w:type="spellStart"/>
      <w:r w:rsidRPr="00F3294A">
        <w:rPr>
          <w:rFonts w:eastAsiaTheme="minorHAnsi" w:cstheme="minorHAnsi"/>
          <w:color w:val="000000" w:themeColor="text1"/>
          <w:sz w:val="24"/>
          <w:szCs w:val="20"/>
          <w:shd w:val="clear" w:color="auto" w:fill="FFFFFF"/>
        </w:rPr>
        <w:t>Greenberger</w:t>
      </w:r>
      <w:proofErr w:type="spellEnd"/>
      <w:r w:rsidRPr="00F3294A">
        <w:rPr>
          <w:rFonts w:eastAsiaTheme="minorHAnsi" w:cstheme="minorHAnsi"/>
          <w:color w:val="000000" w:themeColor="text1"/>
          <w:sz w:val="24"/>
          <w:szCs w:val="20"/>
          <w:shd w:val="clear" w:color="auto" w:fill="FFFFFF"/>
        </w:rPr>
        <w:t>, S. and McNaughton, M., 2019. The Community Engagement Portfolio: Documenting Faculty Community Engagement. </w:t>
      </w:r>
      <w:r w:rsidRPr="00F3294A">
        <w:rPr>
          <w:rFonts w:eastAsiaTheme="minorHAnsi" w:cstheme="minorHAnsi"/>
          <w:i/>
          <w:iCs/>
          <w:color w:val="000000" w:themeColor="text1"/>
          <w:sz w:val="24"/>
          <w:szCs w:val="20"/>
          <w:shd w:val="clear" w:color="auto" w:fill="FFFFFF"/>
        </w:rPr>
        <w:t>Journal of Scholarly Engagement</w:t>
      </w:r>
      <w:r w:rsidRPr="00F3294A">
        <w:rPr>
          <w:rFonts w:eastAsiaTheme="minorHAnsi" w:cstheme="minorHAnsi"/>
          <w:color w:val="000000" w:themeColor="text1"/>
          <w:sz w:val="24"/>
          <w:szCs w:val="20"/>
          <w:shd w:val="clear" w:color="auto" w:fill="FFFFFF"/>
        </w:rPr>
        <w:t>, 2(1).</w:t>
      </w:r>
    </w:p>
    <w:p w14:paraId="7181390B"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r w:rsidRPr="00F3294A">
        <w:rPr>
          <w:rFonts w:eastAsiaTheme="minorHAnsi" w:cstheme="minorHAnsi"/>
          <w:color w:val="000000" w:themeColor="text1"/>
          <w:sz w:val="24"/>
          <w:szCs w:val="20"/>
          <w:shd w:val="clear" w:color="auto" w:fill="FFFFFF"/>
        </w:rPr>
        <w:t>Rainbow Trust Children's Charity. 2021. </w:t>
      </w:r>
      <w:r w:rsidRPr="00F3294A">
        <w:rPr>
          <w:rFonts w:eastAsiaTheme="minorHAnsi" w:cstheme="minorHAnsi"/>
          <w:i/>
          <w:iCs/>
          <w:color w:val="000000" w:themeColor="text1"/>
          <w:sz w:val="24"/>
          <w:szCs w:val="20"/>
          <w:shd w:val="clear" w:color="auto" w:fill="FFFFFF"/>
        </w:rPr>
        <w:t>What Rainbow Trust does</w:t>
      </w:r>
      <w:r w:rsidRPr="00F3294A">
        <w:rPr>
          <w:rFonts w:eastAsiaTheme="minorHAnsi" w:cstheme="minorHAnsi"/>
          <w:color w:val="000000" w:themeColor="text1"/>
          <w:sz w:val="24"/>
          <w:szCs w:val="20"/>
          <w:shd w:val="clear" w:color="auto" w:fill="FFFFFF"/>
        </w:rPr>
        <w:t>. [online] Available at: &lt;https://www.rainbowtrust.org.uk/about/what-we-do&gt; [Accessed 31 August 2021].</w:t>
      </w:r>
    </w:p>
    <w:p w14:paraId="05764F83" w14:textId="77777777" w:rsidR="00F3294A" w:rsidRPr="00F3294A" w:rsidRDefault="00F3294A" w:rsidP="00F3294A">
      <w:pPr>
        <w:spacing w:after="160" w:line="360" w:lineRule="auto"/>
        <w:jc w:val="both"/>
        <w:rPr>
          <w:rFonts w:eastAsiaTheme="minorHAnsi" w:cstheme="minorHAnsi"/>
          <w:color w:val="000000" w:themeColor="text1"/>
          <w:sz w:val="24"/>
          <w:szCs w:val="20"/>
          <w:shd w:val="clear" w:color="auto" w:fill="FFFFFF"/>
        </w:rPr>
      </w:pPr>
      <w:proofErr w:type="spellStart"/>
      <w:r w:rsidRPr="00F3294A">
        <w:rPr>
          <w:rFonts w:eastAsiaTheme="minorHAnsi" w:cstheme="minorHAnsi"/>
          <w:color w:val="000000" w:themeColor="text1"/>
          <w:sz w:val="24"/>
          <w:szCs w:val="20"/>
          <w:shd w:val="clear" w:color="auto" w:fill="FFFFFF"/>
        </w:rPr>
        <w:t>Sicora</w:t>
      </w:r>
      <w:proofErr w:type="spellEnd"/>
      <w:r w:rsidRPr="00F3294A">
        <w:rPr>
          <w:rFonts w:eastAsiaTheme="minorHAnsi" w:cstheme="minorHAnsi"/>
          <w:color w:val="000000" w:themeColor="text1"/>
          <w:sz w:val="24"/>
          <w:szCs w:val="20"/>
          <w:shd w:val="clear" w:color="auto" w:fill="FFFFFF"/>
        </w:rPr>
        <w:t>, A. (2019). Reflective practice and learning from mistakes in social work student placement. Social Work Education, 38(1), 63-74.</w:t>
      </w:r>
    </w:p>
    <w:p w14:paraId="26D51973" w14:textId="77777777" w:rsidR="00F3294A" w:rsidRDefault="00F3294A">
      <w:r w:rsidRPr="00F3294A">
        <w:rPr>
          <w:rFonts w:eastAsiaTheme="minorHAnsi"/>
          <w:sz w:val="24"/>
          <w:szCs w:val="24"/>
        </w:rPr>
        <w:t>Winston's Wish. 2021. </w:t>
      </w:r>
      <w:r w:rsidRPr="00F3294A">
        <w:rPr>
          <w:rFonts w:eastAsiaTheme="minorHAnsi"/>
          <w:i/>
          <w:iCs/>
          <w:sz w:val="24"/>
          <w:szCs w:val="24"/>
        </w:rPr>
        <w:t>About Winston's Wish - the charity for bereaved children – Winston's Wish</w:t>
      </w:r>
      <w:r w:rsidRPr="00F3294A">
        <w:rPr>
          <w:rFonts w:eastAsiaTheme="minorHAnsi"/>
          <w:sz w:val="24"/>
          <w:szCs w:val="24"/>
        </w:rPr>
        <w:t>. [online] Available at: &lt;https://www.winstonswish.org/about-us/&gt; [Accessed 31 August 2021</w:t>
      </w:r>
    </w:p>
    <w:sectPr w:rsidR="00F329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94A"/>
    <w:rsid w:val="00065538"/>
    <w:rsid w:val="00383663"/>
    <w:rsid w:val="00936F51"/>
    <w:rsid w:val="00F329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5FAC362"/>
  <w15:chartTrackingRefBased/>
  <w15:docId w15:val="{905A490D-315A-4241-8A31-17BE0B023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94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94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3294A"/>
  </w:style>
  <w:style w:type="character" w:customStyle="1" w:styleId="NoSpacingChar">
    <w:name w:val="No Spacing Char"/>
    <w:basedOn w:val="DefaultParagraphFont"/>
    <w:link w:val="NoSpacing"/>
    <w:uiPriority w:val="1"/>
    <w:rsid w:val="00F3294A"/>
  </w:style>
  <w:style w:type="character" w:customStyle="1" w:styleId="selectable">
    <w:name w:val="selectable"/>
    <w:basedOn w:val="DefaultParagraphFont"/>
    <w:rsid w:val="00F32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197205A904674BB313FBE7E6E3D874"/>
        <w:category>
          <w:name w:val="General"/>
          <w:gallery w:val="placeholder"/>
        </w:category>
        <w:types>
          <w:type w:val="bbPlcHdr"/>
        </w:types>
        <w:behaviors>
          <w:behavior w:val="content"/>
        </w:behaviors>
        <w:guid w:val="{7D8D248C-F799-0D4F-BB4A-CAEA51E62DE5}"/>
      </w:docPartPr>
      <w:docPartBody>
        <w:p w:rsidR="00000000" w:rsidRDefault="00370F27" w:rsidP="00370F27">
          <w:pPr>
            <w:pStyle w:val="AC197205A904674BB313FBE7E6E3D874"/>
          </w:pPr>
          <w:r>
            <w:rPr>
              <w:rFonts w:asciiTheme="majorHAnsi" w:eastAsiaTheme="majorEastAsia" w:hAnsiTheme="majorHAnsi" w:cstheme="majorBidi"/>
              <w:caps/>
              <w:color w:val="4472C4" w:themeColor="accent1"/>
              <w:sz w:val="80"/>
              <w:szCs w:val="80"/>
            </w:rPr>
            <w:t>[Document title]</w:t>
          </w:r>
        </w:p>
      </w:docPartBody>
    </w:docPart>
    <w:docPart>
      <w:docPartPr>
        <w:name w:val="2AE58AE89B4DCA419B2D03AD0AB81B6D"/>
        <w:category>
          <w:name w:val="General"/>
          <w:gallery w:val="placeholder"/>
        </w:category>
        <w:types>
          <w:type w:val="bbPlcHdr"/>
        </w:types>
        <w:behaviors>
          <w:behavior w:val="content"/>
        </w:behaviors>
        <w:guid w:val="{97556D56-F3CF-EA45-9449-53510955A2C1}"/>
      </w:docPartPr>
      <w:docPartBody>
        <w:p w:rsidR="00000000" w:rsidRDefault="00370F27" w:rsidP="00370F27">
          <w:pPr>
            <w:pStyle w:val="2AE58AE89B4DCA419B2D03AD0AB81B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F27"/>
    <w:rsid w:val="00370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197205A904674BB313FBE7E6E3D874">
    <w:name w:val="AC197205A904674BB313FBE7E6E3D874"/>
    <w:rsid w:val="00370F27"/>
  </w:style>
  <w:style w:type="paragraph" w:customStyle="1" w:styleId="2AE58AE89B4DCA419B2D03AD0AB81B6D">
    <w:name w:val="2AE58AE89B4DCA419B2D03AD0AB81B6D"/>
    <w:rsid w:val="00370F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2247</Words>
  <Characters>12814</Characters>
  <Application>Microsoft Office Word</Application>
  <DocSecurity>0</DocSecurity>
  <Lines>106</Lines>
  <Paragraphs>30</Paragraphs>
  <ScaleCrop>false</ScaleCrop>
  <Company/>
  <LinksUpToDate>false</LinksUpToDate>
  <CharactersWithSpaces>15031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Кристина Вълева</dc:creator>
  <cp:keywords/>
  <dc:description/>
  <cp:lastModifiedBy>Кристина Вълева</cp:lastModifiedBy>
  <cp:revision>2</cp:revision>
  <dcterms:created xsi:type="dcterms:W3CDTF">2021-09-03T08:19:00Z</dcterms:created>
  <dcterms:modified xsi:type="dcterms:W3CDTF">2021-09-03T08:19:00Z</dcterms:modified>
</cp:coreProperties>
</file>