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72A6659" w14:textId="77777777" w:rsidR="00B322E0" w:rsidRPr="00752C57" w:rsidRDefault="00B322E0" w:rsidP="009C2D59">
      <w:pPr>
        <w:rPr>
          <w:b/>
          <w:i/>
          <w:color w:val="auto"/>
          <w:sz w:val="88"/>
          <w:szCs w:val="88"/>
        </w:rPr>
      </w:pPr>
      <w:bookmarkStart w:id="0" w:name="__RefHeading___Toc82856599"/>
      <w:bookmarkEnd w:id="0"/>
    </w:p>
    <w:p w14:paraId="0A37501D" w14:textId="77777777" w:rsidR="00B322E0" w:rsidRPr="00752C57" w:rsidRDefault="00B322E0">
      <w:pPr>
        <w:jc w:val="center"/>
        <w:rPr>
          <w:b/>
          <w:i/>
          <w:color w:val="auto"/>
          <w:sz w:val="88"/>
          <w:szCs w:val="88"/>
        </w:rPr>
      </w:pPr>
    </w:p>
    <w:p w14:paraId="1F27556A" w14:textId="77777777" w:rsidR="008C5894" w:rsidRPr="00752C57" w:rsidRDefault="00404F5C" w:rsidP="00A87747">
      <w:pPr>
        <w:jc w:val="center"/>
        <w:rPr>
          <w:b/>
          <w:bCs/>
          <w:i/>
          <w:color w:val="auto"/>
          <w:sz w:val="72"/>
          <w:szCs w:val="72"/>
        </w:rPr>
      </w:pPr>
      <w:r w:rsidRPr="00404F5C">
        <w:rPr>
          <w:b/>
          <w:bCs/>
          <w:i/>
          <w:color w:val="auto"/>
          <w:sz w:val="72"/>
          <w:szCs w:val="72"/>
        </w:rPr>
        <w:t>BMHP5016 Principles of Health and Social Care Practice</w:t>
      </w:r>
    </w:p>
    <w:p w14:paraId="11F99054"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22E0FC93" w14:textId="77777777" w:rsidR="00793373" w:rsidRPr="00752C57" w:rsidRDefault="00793373">
      <w:pPr>
        <w:pStyle w:val="ContentsHeading"/>
        <w:pageBreakBefore/>
        <w:rPr>
          <w:color w:val="auto"/>
        </w:rPr>
      </w:pPr>
      <w:r w:rsidRPr="00752C57">
        <w:rPr>
          <w:color w:val="auto"/>
        </w:rPr>
        <w:t>Table of Contents</w:t>
      </w:r>
    </w:p>
    <w:p w14:paraId="32ECA992" w14:textId="313A121B" w:rsidR="00A5453B" w:rsidRDefault="00793373">
      <w:pPr>
        <w:pStyle w:val="Obsah1"/>
        <w:rPr>
          <w:rFonts w:asciiTheme="minorHAnsi" w:eastAsiaTheme="minorEastAsia" w:hAnsiTheme="minorHAnsi" w:cstheme="minorBidi"/>
          <w:noProof/>
          <w:color w:val="auto"/>
          <w:kern w:val="2"/>
          <w:szCs w:val="24"/>
          <w:lang w:eastAsia="ja-JP"/>
          <w14:ligatures w14:val="standardContextual"/>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A5453B">
        <w:rPr>
          <w:noProof/>
        </w:rPr>
        <w:t>Task 1:</w:t>
      </w:r>
      <w:r w:rsidR="00A5453B">
        <w:rPr>
          <w:noProof/>
        </w:rPr>
        <w:tab/>
      </w:r>
      <w:r w:rsidR="00A5453B">
        <w:rPr>
          <w:noProof/>
        </w:rPr>
        <w:fldChar w:fldCharType="begin"/>
      </w:r>
      <w:r w:rsidR="00A5453B">
        <w:rPr>
          <w:noProof/>
        </w:rPr>
        <w:instrText xml:space="preserve"> PAGEREF _Toc212117290 \h </w:instrText>
      </w:r>
      <w:r w:rsidR="00A5453B">
        <w:rPr>
          <w:noProof/>
        </w:rPr>
      </w:r>
      <w:r w:rsidR="00A5453B">
        <w:rPr>
          <w:noProof/>
        </w:rPr>
        <w:fldChar w:fldCharType="separate"/>
      </w:r>
      <w:r w:rsidR="00A5453B">
        <w:rPr>
          <w:noProof/>
        </w:rPr>
        <w:t>3</w:t>
      </w:r>
      <w:r w:rsidR="00A5453B">
        <w:rPr>
          <w:noProof/>
        </w:rPr>
        <w:fldChar w:fldCharType="end"/>
      </w:r>
    </w:p>
    <w:p w14:paraId="3C321B88" w14:textId="65572E6A" w:rsidR="00A5453B" w:rsidRDefault="00A5453B">
      <w:pPr>
        <w:pStyle w:val="Obsah1"/>
        <w:rPr>
          <w:rFonts w:asciiTheme="minorHAnsi" w:eastAsiaTheme="minorEastAsia" w:hAnsiTheme="minorHAnsi" w:cstheme="minorBidi"/>
          <w:noProof/>
          <w:color w:val="auto"/>
          <w:kern w:val="2"/>
          <w:szCs w:val="24"/>
          <w:lang w:eastAsia="ja-JP"/>
          <w14:ligatures w14:val="standardContextual"/>
        </w:rPr>
      </w:pPr>
      <w:r>
        <w:rPr>
          <w:noProof/>
        </w:rPr>
        <w:t>Task 2:</w:t>
      </w:r>
      <w:r>
        <w:rPr>
          <w:noProof/>
        </w:rPr>
        <w:tab/>
      </w:r>
      <w:r>
        <w:rPr>
          <w:noProof/>
        </w:rPr>
        <w:fldChar w:fldCharType="begin"/>
      </w:r>
      <w:r>
        <w:rPr>
          <w:noProof/>
        </w:rPr>
        <w:instrText xml:space="preserve"> PAGEREF _Toc212117291 \h </w:instrText>
      </w:r>
      <w:r>
        <w:rPr>
          <w:noProof/>
        </w:rPr>
      </w:r>
      <w:r>
        <w:rPr>
          <w:noProof/>
        </w:rPr>
        <w:fldChar w:fldCharType="separate"/>
      </w:r>
      <w:r>
        <w:rPr>
          <w:noProof/>
        </w:rPr>
        <w:t>4</w:t>
      </w:r>
      <w:r>
        <w:rPr>
          <w:noProof/>
        </w:rPr>
        <w:fldChar w:fldCharType="end"/>
      </w:r>
    </w:p>
    <w:p w14:paraId="695713E9" w14:textId="7DA13B09" w:rsidR="00A5453B" w:rsidRDefault="00A5453B">
      <w:pPr>
        <w:pStyle w:val="Obsah1"/>
        <w:rPr>
          <w:rFonts w:asciiTheme="minorHAnsi" w:eastAsiaTheme="minorEastAsia" w:hAnsiTheme="minorHAnsi" w:cstheme="minorBidi"/>
          <w:noProof/>
          <w:color w:val="auto"/>
          <w:kern w:val="2"/>
          <w:szCs w:val="24"/>
          <w:lang w:eastAsia="ja-JP"/>
          <w14:ligatures w14:val="standardContextual"/>
        </w:rPr>
      </w:pPr>
      <w:r>
        <w:rPr>
          <w:noProof/>
        </w:rPr>
        <w:t>Task 3:</w:t>
      </w:r>
      <w:r>
        <w:rPr>
          <w:noProof/>
        </w:rPr>
        <w:tab/>
      </w:r>
      <w:r>
        <w:rPr>
          <w:noProof/>
        </w:rPr>
        <w:fldChar w:fldCharType="begin"/>
      </w:r>
      <w:r>
        <w:rPr>
          <w:noProof/>
        </w:rPr>
        <w:instrText xml:space="preserve"> PAGEREF _Toc212117292 \h </w:instrText>
      </w:r>
      <w:r>
        <w:rPr>
          <w:noProof/>
        </w:rPr>
      </w:r>
      <w:r>
        <w:rPr>
          <w:noProof/>
        </w:rPr>
        <w:fldChar w:fldCharType="separate"/>
      </w:r>
      <w:r>
        <w:rPr>
          <w:noProof/>
        </w:rPr>
        <w:t>5</w:t>
      </w:r>
      <w:r>
        <w:rPr>
          <w:noProof/>
        </w:rPr>
        <w:fldChar w:fldCharType="end"/>
      </w:r>
    </w:p>
    <w:p w14:paraId="4CA3B3E0" w14:textId="439D25AA" w:rsidR="00A5453B" w:rsidRDefault="00A5453B">
      <w:pPr>
        <w:pStyle w:val="Obsah1"/>
        <w:rPr>
          <w:rFonts w:asciiTheme="minorHAnsi" w:eastAsiaTheme="minorEastAsia" w:hAnsiTheme="minorHAnsi" w:cstheme="minorBidi"/>
          <w:noProof/>
          <w:color w:val="auto"/>
          <w:kern w:val="2"/>
          <w:szCs w:val="24"/>
          <w:lang w:eastAsia="ja-JP"/>
          <w14:ligatures w14:val="standardContextual"/>
        </w:rPr>
      </w:pPr>
      <w:r>
        <w:rPr>
          <w:noProof/>
        </w:rPr>
        <w:t>REFERENCES</w:t>
      </w:r>
      <w:r>
        <w:rPr>
          <w:noProof/>
        </w:rPr>
        <w:tab/>
      </w:r>
      <w:r>
        <w:rPr>
          <w:noProof/>
        </w:rPr>
        <w:fldChar w:fldCharType="begin"/>
      </w:r>
      <w:r>
        <w:rPr>
          <w:noProof/>
        </w:rPr>
        <w:instrText xml:space="preserve"> PAGEREF _Toc212117293 \h </w:instrText>
      </w:r>
      <w:r>
        <w:rPr>
          <w:noProof/>
        </w:rPr>
      </w:r>
      <w:r>
        <w:rPr>
          <w:noProof/>
        </w:rPr>
        <w:fldChar w:fldCharType="separate"/>
      </w:r>
      <w:r>
        <w:rPr>
          <w:noProof/>
        </w:rPr>
        <w:t>8</w:t>
      </w:r>
      <w:r>
        <w:rPr>
          <w:noProof/>
        </w:rPr>
        <w:fldChar w:fldCharType="end"/>
      </w:r>
    </w:p>
    <w:p w14:paraId="5DAB6C7B" w14:textId="3F38773C" w:rsidR="005901D0" w:rsidRPr="00752C57" w:rsidRDefault="00793373" w:rsidP="005901D0">
      <w:pPr>
        <w:pStyle w:val="Obsah1"/>
        <w:rPr>
          <w:rFonts w:cs="Times New Roman"/>
          <w:color w:val="auto"/>
          <w:szCs w:val="24"/>
        </w:rPr>
      </w:pPr>
      <w:r w:rsidRPr="00752C57">
        <w:rPr>
          <w:rFonts w:cs="Times New Roman"/>
          <w:color w:val="auto"/>
        </w:rPr>
        <w:fldChar w:fldCharType="end"/>
      </w:r>
    </w:p>
    <w:p w14:paraId="02EB378F" w14:textId="77777777" w:rsidR="00793373" w:rsidRPr="00752C57" w:rsidRDefault="00793373">
      <w:pPr>
        <w:rPr>
          <w:color w:val="auto"/>
          <w:szCs w:val="24"/>
        </w:rPr>
      </w:pPr>
    </w:p>
    <w:p w14:paraId="6A05A809" w14:textId="77777777" w:rsidR="00FA3835" w:rsidRPr="00752C57" w:rsidRDefault="00FA3835">
      <w:pPr>
        <w:rPr>
          <w:color w:val="auto"/>
          <w:szCs w:val="24"/>
        </w:rPr>
      </w:pPr>
    </w:p>
    <w:p w14:paraId="5A39BBE3" w14:textId="77777777" w:rsidR="00FA3835" w:rsidRPr="00752C57" w:rsidRDefault="00FA3835">
      <w:pPr>
        <w:rPr>
          <w:color w:val="auto"/>
          <w:szCs w:val="24"/>
        </w:rPr>
      </w:pPr>
    </w:p>
    <w:p w14:paraId="250B0155" w14:textId="0C3BD9BE" w:rsidR="0093725C" w:rsidRPr="00752C57" w:rsidRDefault="006407FE" w:rsidP="00C574D8">
      <w:pPr>
        <w:pStyle w:val="Nadpis1"/>
      </w:pPr>
      <w:r>
        <w:br w:type="page"/>
      </w:r>
      <w:bookmarkStart w:id="1" w:name="_Toc212117290"/>
      <w:r w:rsidR="00A74816">
        <w:t>Task 1:</w:t>
      </w:r>
      <w:bookmarkEnd w:id="1"/>
    </w:p>
    <w:p w14:paraId="096F372B" w14:textId="2260934D" w:rsidR="00A74816" w:rsidRPr="00230DC6" w:rsidRDefault="00A74816" w:rsidP="7F151594">
      <w:pPr>
        <w:suppressAutoHyphens w:val="0"/>
        <w:rPr>
          <w:rFonts w:eastAsia="Times New Roman"/>
          <w:color w:val="auto"/>
          <w:lang w:val="en-IN" w:eastAsia="en-IN"/>
        </w:rPr>
      </w:pPr>
      <w:r>
        <w:t>The principles not only ensure good treatment of the patients, but also their dignity, order, and preferences, which is crucial in their well-being.</w:t>
      </w:r>
      <w:r w:rsidR="6AE22B0F">
        <w:t xml:space="preserve"> </w:t>
      </w:r>
      <w:r>
        <w:t xml:space="preserve">One of the pillars of person-centred care is the idea that patients are supposed to be the centre of their care and care that is much more individualistic in its approach to their needs, preferences, and values. Care Act 2014 presents the prototype of the person-centred care, which is largely decision-oriented, participatory, and seeks to have control over their own care. It highlights how patients could be used in the decision-making process that would provide positive health outcomes and patient satisfaction. Hierarchy of Needs formulated by Maslow has been heavily used to explain how this approach can satisfy the former and latter tier needs of individuals such as the need of their safety and security and the latter need of higher status and </w:t>
      </w:r>
      <w:r w:rsidR="00230DC6">
        <w:t xml:space="preserve">self-actualisation </w:t>
      </w:r>
      <w:r w:rsidR="00230DC6" w:rsidRPr="7F151594">
        <w:rPr>
          <w:rFonts w:eastAsia="Times New Roman"/>
          <w:color w:val="auto"/>
          <w:lang w:val="en-IN" w:eastAsia="en-IN"/>
        </w:rPr>
        <w:t xml:space="preserve">(Wasim, </w:t>
      </w:r>
      <w:proofErr w:type="spellStart"/>
      <w:r w:rsidR="00230DC6" w:rsidRPr="7F151594">
        <w:rPr>
          <w:rFonts w:eastAsia="Times New Roman"/>
          <w:color w:val="auto"/>
          <w:lang w:val="en-IN" w:eastAsia="en-IN"/>
        </w:rPr>
        <w:t>Sajan</w:t>
      </w:r>
      <w:proofErr w:type="spellEnd"/>
      <w:r w:rsidR="00230DC6" w:rsidRPr="7F151594">
        <w:rPr>
          <w:rFonts w:eastAsia="Times New Roman"/>
          <w:color w:val="auto"/>
          <w:lang w:val="en-IN" w:eastAsia="en-IN"/>
        </w:rPr>
        <w:t xml:space="preserve"> and Majid, 2023)</w:t>
      </w:r>
      <w:r>
        <w:t>. This theory has demonstrated that the necessity to make sure that emotional and psychological needs of patients in question are addressed is equal to the need that physical needs are addressed.</w:t>
      </w:r>
    </w:p>
    <w:p w14:paraId="75B2E7F4" w14:textId="77777777" w:rsidR="00A74816" w:rsidRPr="00230DC6" w:rsidRDefault="00A74816" w:rsidP="00C574D8">
      <w:pPr>
        <w:suppressAutoHyphens w:val="0"/>
        <w:rPr>
          <w:rFonts w:eastAsia="Times New Roman"/>
          <w:color w:val="auto"/>
          <w:szCs w:val="24"/>
          <w:lang w:val="en-IN" w:eastAsia="en-IN"/>
        </w:rPr>
      </w:pPr>
      <w:r>
        <w:t xml:space="preserve">People can describe partnership working as the integration of various professionals and </w:t>
      </w:r>
      <w:proofErr w:type="spellStart"/>
      <w:r>
        <w:t>organizations</w:t>
      </w:r>
      <w:proofErr w:type="spellEnd"/>
      <w:r>
        <w:t xml:space="preserve"> to ensure comprehensive and quality care. In the UK, this is possible through Integrated Care Systems (ICS) wherein the health workers, social care, and other voluntary </w:t>
      </w:r>
      <w:proofErr w:type="spellStart"/>
      <w:r>
        <w:t>organizations</w:t>
      </w:r>
      <w:proofErr w:type="spellEnd"/>
      <w:r>
        <w:t xml:space="preserve"> will collaborate in an attempt to meet the multifaceted needs of patients. The cooperation makes the provision of care more coordinated and eliminate the possibility of having a disjointed service. Indicatively, during the long term administration of an illness like diabetes, the medical practitioners come together to come up with an all-hazard plan of care that improves medical and social needs. This would surely improve the quality of life of the patient and limit instances of hospital admissions, besides the patient experience</w:t>
      </w:r>
      <w:r w:rsidR="00230DC6">
        <w:t xml:space="preserve"> </w:t>
      </w:r>
      <w:r w:rsidR="00230DC6" w:rsidRPr="00230DC6">
        <w:rPr>
          <w:rFonts w:eastAsia="Times New Roman"/>
          <w:color w:val="auto"/>
          <w:szCs w:val="24"/>
          <w:lang w:val="en-IN" w:eastAsia="en-IN"/>
        </w:rPr>
        <w:t>(Giusti et al., 2020)</w:t>
      </w:r>
      <w:r>
        <w:t>.</w:t>
      </w:r>
    </w:p>
    <w:p w14:paraId="6C91A110" w14:textId="77777777" w:rsidR="00A74816" w:rsidRPr="00230DC6" w:rsidRDefault="00A74816" w:rsidP="00C574D8">
      <w:pPr>
        <w:suppressAutoHyphens w:val="0"/>
        <w:rPr>
          <w:rFonts w:eastAsia="Times New Roman"/>
          <w:color w:val="auto"/>
          <w:szCs w:val="24"/>
          <w:lang w:val="en-IN" w:eastAsia="en-IN"/>
        </w:rPr>
      </w:pPr>
      <w:r>
        <w:t>The social care and healthcare is founded on ethical values. Healthcare ethics is the concept of making a choice that supports rights, dignity and autonomy of the patients in reasonable balance between the professional obligation of the caregivers. The application of ethics important considerations of autonomy, beneficence, non-maleficence, and justice would guide the professionals to offer ethical care. Code of ethics regulating NHS ensures that the health caregivers abide by these standards and health care practices are reasonable and responsible. Ethical dilemmas normally arise due to the clash between patient autonomy and the requirement to provide protection to the patient especially in case of the disabled or where there is a need to undertake complex medical procedures</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Curreri</w:t>
      </w:r>
      <w:proofErr w:type="spellEnd"/>
      <w:r w:rsidR="00230DC6" w:rsidRPr="00230DC6">
        <w:rPr>
          <w:rFonts w:eastAsia="Times New Roman"/>
          <w:color w:val="auto"/>
          <w:szCs w:val="24"/>
          <w:lang w:val="en-IN" w:eastAsia="en-IN"/>
        </w:rPr>
        <w:t>, 2019)</w:t>
      </w:r>
      <w:r>
        <w:t>.</w:t>
      </w:r>
    </w:p>
    <w:p w14:paraId="7A45DE6B" w14:textId="77777777" w:rsidR="00A74816" w:rsidRPr="00230DC6" w:rsidRDefault="00A74816" w:rsidP="00C574D8">
      <w:pPr>
        <w:suppressAutoHyphens w:val="0"/>
        <w:rPr>
          <w:rFonts w:eastAsia="Times New Roman"/>
          <w:color w:val="auto"/>
          <w:szCs w:val="24"/>
          <w:lang w:val="en-IN" w:eastAsia="en-IN"/>
        </w:rPr>
      </w:pPr>
      <w:r>
        <w:t xml:space="preserve">One cannot overestimate these principles. The person-centred care is beneficial to the patient experience and patient outcomes since it treats people as individuals in their care. Partnership working is the concept that assists in offering a holistic </w:t>
      </w:r>
      <w:proofErr w:type="spellStart"/>
      <w:r>
        <w:t>synchronized</w:t>
      </w:r>
      <w:proofErr w:type="spellEnd"/>
      <w:r>
        <w:t xml:space="preserve"> care. Even in making the ethical decisions, there is the respect towards the patient regarding his rights and dignity. Altogether, the mentioned principles would form a healthcare environment, where patients would be treated in the most humane manner and with respect and the quality of provided care would be the highest possible</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Suominen</w:t>
      </w:r>
      <w:proofErr w:type="spellEnd"/>
      <w:r w:rsidR="00230DC6" w:rsidRPr="00230DC6">
        <w:rPr>
          <w:rFonts w:eastAsia="Times New Roman"/>
          <w:color w:val="auto"/>
          <w:szCs w:val="24"/>
          <w:lang w:val="en-IN" w:eastAsia="en-IN"/>
        </w:rPr>
        <w:t xml:space="preserve">, </w:t>
      </w:r>
      <w:proofErr w:type="spellStart"/>
      <w:r w:rsidR="00230DC6" w:rsidRPr="00230DC6">
        <w:rPr>
          <w:rFonts w:eastAsia="Times New Roman"/>
          <w:color w:val="auto"/>
          <w:szCs w:val="24"/>
          <w:lang w:val="en-IN" w:eastAsia="en-IN"/>
        </w:rPr>
        <w:t>Åstedt-Kurki</w:t>
      </w:r>
      <w:proofErr w:type="spellEnd"/>
      <w:r w:rsidR="00230DC6" w:rsidRPr="00230DC6">
        <w:rPr>
          <w:rFonts w:eastAsia="Times New Roman"/>
          <w:color w:val="auto"/>
          <w:szCs w:val="24"/>
          <w:lang w:val="en-IN" w:eastAsia="en-IN"/>
        </w:rPr>
        <w:t xml:space="preserve"> and </w:t>
      </w:r>
      <w:proofErr w:type="spellStart"/>
      <w:r w:rsidR="00230DC6" w:rsidRPr="00230DC6">
        <w:rPr>
          <w:rFonts w:eastAsia="Times New Roman"/>
          <w:color w:val="auto"/>
          <w:szCs w:val="24"/>
          <w:lang w:val="en-IN" w:eastAsia="en-IN"/>
        </w:rPr>
        <w:t>Lepaitė</w:t>
      </w:r>
      <w:proofErr w:type="spellEnd"/>
      <w:r w:rsidR="00230DC6" w:rsidRPr="00230DC6">
        <w:rPr>
          <w:rFonts w:eastAsia="Times New Roman"/>
          <w:color w:val="auto"/>
          <w:szCs w:val="24"/>
          <w:lang w:val="en-IN" w:eastAsia="en-IN"/>
        </w:rPr>
        <w:t>, 2010)</w:t>
      </w:r>
      <w:r>
        <w:t>.</w:t>
      </w:r>
    </w:p>
    <w:p w14:paraId="41C8F396" w14:textId="77777777" w:rsidR="00A74816" w:rsidRPr="00752C57" w:rsidRDefault="00A74816" w:rsidP="00C574D8"/>
    <w:p w14:paraId="324448B4" w14:textId="108E10C9" w:rsidR="00607926" w:rsidRDefault="00A74816" w:rsidP="00C574D8">
      <w:pPr>
        <w:pStyle w:val="Nadpis1"/>
      </w:pPr>
      <w:bookmarkStart w:id="2" w:name="_Toc212117291"/>
      <w:r>
        <w:t>Task 2:</w:t>
      </w:r>
      <w:bookmarkEnd w:id="2"/>
      <w:r>
        <w:t xml:space="preserve"> </w:t>
      </w:r>
    </w:p>
    <w:p w14:paraId="62895B75" w14:textId="77777777" w:rsidR="00A74816" w:rsidRPr="00230DC6" w:rsidRDefault="00A74816" w:rsidP="00C574D8">
      <w:pPr>
        <w:suppressAutoHyphens w:val="0"/>
        <w:rPr>
          <w:rFonts w:eastAsia="Times New Roman"/>
          <w:color w:val="auto"/>
          <w:szCs w:val="24"/>
          <w:lang w:val="en-IN" w:eastAsia="en-IN"/>
        </w:rPr>
      </w:pPr>
      <w:r>
        <w:t>A good illustration of how the concept of person-centred care, partnership working and ethics could be applied in the case of the UK would be the Dementia Friendly Communities initiative. This program tries to enrich the life of the dementia individuals through an inclusive life by respecting their needs and preferences of the individuals living with dementia. It is an excellent illustration of how these main principles can be used in practice</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Alderwick</w:t>
      </w:r>
      <w:proofErr w:type="spellEnd"/>
      <w:r w:rsidR="00230DC6" w:rsidRPr="00230DC6">
        <w:rPr>
          <w:rFonts w:eastAsia="Times New Roman"/>
          <w:color w:val="auto"/>
          <w:szCs w:val="24"/>
          <w:lang w:val="en-IN" w:eastAsia="en-IN"/>
        </w:rPr>
        <w:t xml:space="preserve"> et al., 2021)</w:t>
      </w:r>
      <w:r>
        <w:t>.</w:t>
      </w:r>
    </w:p>
    <w:p w14:paraId="60E71A0C" w14:textId="77777777" w:rsidR="00A74816" w:rsidRDefault="00A74816" w:rsidP="00C574D8">
      <w:pPr>
        <w:ind w:firstLine="432"/>
      </w:pPr>
      <w:r>
        <w:t xml:space="preserve">This project is founded on the person-centred approach of care. Treating dementia people is an individual therapy founded on the fact that a person has various needs, interests, and capabilities. E.g., memory cafes are dementia-friendly occasions where the audience will have an opportunity to receive the social activities accommodated to their cognitive abilities and produce a perception of their autonomy and belonging. The providers care about offering the environments where such people feel that they are loved and they feel respected, therefore, resulting in the </w:t>
      </w:r>
      <w:proofErr w:type="spellStart"/>
      <w:r>
        <w:t>minimization</w:t>
      </w:r>
      <w:proofErr w:type="spellEnd"/>
      <w:r>
        <w:t xml:space="preserve"> of the sense of isolation among the people with dementia.</w:t>
      </w:r>
    </w:p>
    <w:p w14:paraId="746D8535" w14:textId="77777777" w:rsidR="00A74816" w:rsidRPr="00230DC6" w:rsidRDefault="00A74816" w:rsidP="00C574D8">
      <w:pPr>
        <w:suppressAutoHyphens w:val="0"/>
        <w:rPr>
          <w:rFonts w:eastAsia="Times New Roman"/>
          <w:color w:val="auto"/>
          <w:szCs w:val="24"/>
          <w:lang w:val="en-IN" w:eastAsia="en-IN"/>
        </w:rPr>
      </w:pPr>
      <w:r>
        <w:t>The collaborative practice is highly significant in dementia. Dementia Friendly Communities program is an initiative which entails healthcare practitioners, social workers, companies among other individuals in a community in establishing a web of support to the people living with dementia. As an indicator, the healthcare practitioners collaborate with the local businesses to create dementia-friendly environments of the shops, restaurants, and other social venues. Besides, healthcare teams work together with the families to design the care plans that consider the medical needs and also the social interaction in order to make the care holistic and ensuring that the care is inclusive</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Mahony</w:t>
      </w:r>
      <w:proofErr w:type="spellEnd"/>
      <w:r w:rsidR="00230DC6" w:rsidRPr="00230DC6">
        <w:rPr>
          <w:rFonts w:eastAsia="Times New Roman"/>
          <w:color w:val="auto"/>
          <w:szCs w:val="24"/>
          <w:lang w:val="en-IN" w:eastAsia="en-IN"/>
        </w:rPr>
        <w:t>, 2015)</w:t>
      </w:r>
      <w:r>
        <w:t>.</w:t>
      </w:r>
    </w:p>
    <w:p w14:paraId="55F0A9B1" w14:textId="77777777" w:rsidR="00A74816" w:rsidRDefault="00A74816" w:rsidP="00C574D8">
      <w:pPr>
        <w:ind w:firstLine="432"/>
      </w:pPr>
      <w:r>
        <w:t xml:space="preserve">Another prominent area is the ethics, which is taken into consideration when it comes to dementia. This is one of the greatest ethical considerations; one must have autonomy and provide the required assistance. When making choices and where the healthcare workers are forced to make choices on behalf of the dementia patients, the ethical dilemma occurs, as a rule. In this scenario, the principle of best interest is applied and an individual should not be </w:t>
      </w:r>
      <w:proofErr w:type="spellStart"/>
      <w:r>
        <w:t>victimized</w:t>
      </w:r>
      <w:proofErr w:type="spellEnd"/>
      <w:r>
        <w:t xml:space="preserve"> on the basis of his dignity and wishes. Additionally, the issue of informed consent is also adequately managed and in case, families and care-givers are involved in the decision making process.</w:t>
      </w:r>
    </w:p>
    <w:p w14:paraId="597965EA" w14:textId="77777777" w:rsidR="00F17CBC" w:rsidRDefault="00A74816" w:rsidP="00C574D8">
      <w:pPr>
        <w:ind w:firstLine="432"/>
      </w:pPr>
      <w:r>
        <w:t>This case demonstrates that the person-centred care could be used to make the life of the dementia sufferers more fulfilling by providing them with personalised care. It also depicts effectiveness of partnering in work in the element of ensuring a multifaceted and involved approach of care. Lastly, it has ethical principles of autonomy and best interests that ensures that the rights of the people are respected in their course of care.</w:t>
      </w:r>
    </w:p>
    <w:p w14:paraId="72A3D3EC" w14:textId="77777777" w:rsidR="00A74816" w:rsidRPr="00752C57" w:rsidRDefault="00A74816" w:rsidP="00C574D8"/>
    <w:p w14:paraId="34D5A566" w14:textId="09C7F9A4" w:rsidR="00607926" w:rsidRDefault="00A74816" w:rsidP="00C574D8">
      <w:pPr>
        <w:pStyle w:val="Nadpis1"/>
      </w:pPr>
      <w:bookmarkStart w:id="3" w:name="_Toc212117292"/>
      <w:r>
        <w:t>Task 3:</w:t>
      </w:r>
      <w:bookmarkEnd w:id="3"/>
    </w:p>
    <w:p w14:paraId="66B84405" w14:textId="77777777" w:rsidR="00A74816" w:rsidRDefault="00A74816" w:rsidP="00C574D8">
      <w:proofErr w:type="spellStart"/>
      <w:r>
        <w:t>Theorizing</w:t>
      </w:r>
      <w:proofErr w:type="spellEnd"/>
      <w:r>
        <w:t xml:space="preserve"> about the core principles of person-centred care, the partnership working and ethics, I can note that they can greatly affect my future occupation and personal development in health and social care. To a larger degree, these principles are guidelines that will govern all of my interactions with the patient and my colleagues as well as how I approach patient care, teamwork, and my decision-making on the biased ethical situations, even further in my career.</w:t>
      </w:r>
    </w:p>
    <w:p w14:paraId="0D0B940D" w14:textId="77777777" w:rsidR="00A74816" w:rsidRDefault="00A74816" w:rsidP="00C574D8"/>
    <w:p w14:paraId="260A0864" w14:textId="77777777" w:rsidR="00A74816" w:rsidRPr="00A74816" w:rsidRDefault="00A74816" w:rsidP="00C574D8">
      <w:pPr>
        <w:rPr>
          <w:b/>
        </w:rPr>
      </w:pPr>
      <w:r w:rsidRPr="00A74816">
        <w:rPr>
          <w:b/>
        </w:rPr>
        <w:t>Person-Centred Care</w:t>
      </w:r>
    </w:p>
    <w:p w14:paraId="705981BF" w14:textId="77777777" w:rsidR="00A74816" w:rsidRPr="00230DC6" w:rsidRDefault="00A74816" w:rsidP="00C574D8">
      <w:pPr>
        <w:suppressAutoHyphens w:val="0"/>
        <w:rPr>
          <w:rFonts w:eastAsia="Times New Roman"/>
          <w:color w:val="auto"/>
          <w:szCs w:val="24"/>
          <w:lang w:val="en-IN" w:eastAsia="en-IN"/>
        </w:rPr>
      </w:pPr>
      <w:r>
        <w:t xml:space="preserve">One of the concepts that will guide my practice is the idea of person-centred care since this concept focuses on offering care which will be responsive to the needs, values and preferences of the people. I have also </w:t>
      </w:r>
      <w:proofErr w:type="spellStart"/>
      <w:r>
        <w:t>recognized</w:t>
      </w:r>
      <w:proofErr w:type="spellEnd"/>
      <w:r>
        <w:t xml:space="preserve"> that patient </w:t>
      </w:r>
      <w:proofErr w:type="spellStart"/>
      <w:r>
        <w:t>centered</w:t>
      </w:r>
      <w:proofErr w:type="spellEnd"/>
      <w:r>
        <w:t xml:space="preserve"> care has the potential to cultivate patient experience and improved health outcomes through provision of care in a patient voice manner. This plan assists me in concentrating on active listening and active communication with the patients. That practically means that I would take time to get familiar with the personal circumstances of each patient, values and goals in life. As an example, in attending to patients in helping them make a decision regarding their treatment choices, I would also strive to ensure that they are adequately informed about their choices and the potential consequences of all the other choices so that they make informed choices</w:t>
      </w:r>
      <w:r w:rsidR="00230DC6">
        <w:t xml:space="preserve"> </w:t>
      </w:r>
      <w:r w:rsidR="00230DC6" w:rsidRPr="00230DC6">
        <w:rPr>
          <w:rFonts w:eastAsia="Times New Roman"/>
          <w:color w:val="auto"/>
          <w:szCs w:val="24"/>
          <w:lang w:val="en-IN" w:eastAsia="en-IN"/>
        </w:rPr>
        <w:t>(Moore et al., 2023)</w:t>
      </w:r>
      <w:r>
        <w:t>.</w:t>
      </w:r>
    </w:p>
    <w:p w14:paraId="7D164C55" w14:textId="77777777" w:rsidR="00CE3569" w:rsidRDefault="00A74816" w:rsidP="00C574D8">
      <w:pPr>
        <w:ind w:firstLine="720"/>
      </w:pPr>
      <w:r>
        <w:t xml:space="preserve">It is one of the key points of person-centred care because the patient is supposed to be the most skilled expert in his or her life. This is accompanied by the Care Act 2014 which suggests that the patients be made at the core in their planning of care. However, the application of this principle has at one point been challenging in the face of a consistent application since excellently in instances where the patients are cognitively challenged or in cases where their language is not clearly understood. I have handled cases where the patients especially the patients with dementia or difficulty in communication find it hard to give out their wishes. </w:t>
      </w:r>
    </w:p>
    <w:p w14:paraId="55E34A47" w14:textId="77777777" w:rsidR="00A74816" w:rsidRDefault="00A74816" w:rsidP="00C574D8">
      <w:pPr>
        <w:ind w:firstLine="720"/>
      </w:pPr>
      <w:r>
        <w:t xml:space="preserve">My future practice improvement targets will be to undergo certain communication training (e.g. </w:t>
      </w:r>
      <w:proofErr w:type="spellStart"/>
      <w:r>
        <w:t>Makton</w:t>
      </w:r>
      <w:proofErr w:type="spellEnd"/>
      <w:r>
        <w:t xml:space="preserve"> (a form of the sign language) or focus on the other means of augmentative communication (AAC) equipment, which may assist in the better communication with the patient that has a barrier. I will also consult literature about the use of assistive technology in the care setting to empower more patients with communication problems. These spheres will allow me to improve my abilities to work with the patients in decision-making regarding their treatment to make sure that each person, regardless of his/her abilities, is treated with dignity and respect.</w:t>
      </w:r>
    </w:p>
    <w:p w14:paraId="0E27B00A" w14:textId="77777777" w:rsidR="00A74816" w:rsidRDefault="00A74816" w:rsidP="00C574D8"/>
    <w:p w14:paraId="2D1176DE" w14:textId="77777777" w:rsidR="00A74816" w:rsidRPr="00A74816" w:rsidRDefault="00A74816" w:rsidP="00C574D8">
      <w:pPr>
        <w:rPr>
          <w:b/>
        </w:rPr>
      </w:pPr>
      <w:r w:rsidRPr="00A74816">
        <w:rPr>
          <w:b/>
        </w:rPr>
        <w:t>Partnership Working</w:t>
      </w:r>
    </w:p>
    <w:p w14:paraId="78F8B605" w14:textId="77777777" w:rsidR="00A74816" w:rsidRPr="00230DC6" w:rsidRDefault="00A74816" w:rsidP="00C574D8">
      <w:pPr>
        <w:suppressAutoHyphens w:val="0"/>
        <w:rPr>
          <w:rFonts w:eastAsia="Times New Roman"/>
          <w:color w:val="auto"/>
          <w:szCs w:val="24"/>
          <w:lang w:val="en-IN" w:eastAsia="en-IN"/>
        </w:rPr>
      </w:pPr>
      <w:r>
        <w:t>Effective partnering is another ethical standard that will have an impact on my practice. I also have understood that I should collaborate with other colleagues in the discipline in providing holistic care because healthcare is multi-disciplinary. As it is a part of my work, I do talk to nurses, physiotherapists, social workers or occupational therapists when developing holistic plans of care as it relates to patients. This type of collaboration ensures that all of the spheres of health of the patient, namely, physical, emotional, social, and psychological health are taken into account</w:t>
      </w:r>
      <w:r w:rsidR="00230DC6">
        <w:t xml:space="preserve"> </w:t>
      </w:r>
      <w:r w:rsidR="00230DC6" w:rsidRPr="00230DC6">
        <w:rPr>
          <w:rFonts w:eastAsia="Times New Roman"/>
          <w:color w:val="auto"/>
          <w:szCs w:val="24"/>
          <w:lang w:val="en-IN" w:eastAsia="en-IN"/>
        </w:rPr>
        <w:t>(Bouchez et al., 2023)</w:t>
      </w:r>
      <w:r>
        <w:t>.</w:t>
      </w:r>
    </w:p>
    <w:p w14:paraId="6CEBA77E" w14:textId="77777777" w:rsidR="00A74816" w:rsidRDefault="00A74816" w:rsidP="00C574D8">
      <w:pPr>
        <w:ind w:firstLine="720"/>
      </w:pPr>
      <w:r>
        <w:t>A case in point is where I collaborate with respiratory therapists, social workers, and nurses to come up with a combined care plan in case of patients that require long-term care e.g., chronic obstructive pulmonary disease (COPD). The plan has incorporated medical treatment, lifestyle interventions, and social support as the intended approach which offers an all- rounded approach to the management of the condition. It is a multi-pronged approach which is effective as it is able to manage the physical symptoms, the social and emotional needs of the patient that are critical in the process of coping with long term conditions.</w:t>
      </w:r>
    </w:p>
    <w:p w14:paraId="0BC3F144" w14:textId="77777777" w:rsidR="00A74816" w:rsidRDefault="00A74816" w:rsidP="00C574D8">
      <w:pPr>
        <w:ind w:firstLine="720"/>
      </w:pPr>
      <w:r>
        <w:t>Despite the perceived benefits of partnership working, there are few times that I have experienced the challenges in collaborating between various professionals on care. The presence of inequalities in the professional attitudes or priorities may lead to disagreement or time-wasting of the decision-making, and the latter, in its turn, may damage the patient experience. I have also found out that such conflicts would be hard to control without proper understanding the role and worldview of every professional involved. To improve my abilities in dealing with such cases, I will attend conflict solving seminars and consult the senior employees who are very familiar with multi-disciplinary teams. The choice in developing my negotiation and communication skills should enable me to approach the problematic situations in a more suitable manner, and it should allow me to deliver the most effective care to the patients.</w:t>
      </w:r>
    </w:p>
    <w:p w14:paraId="60061E4C" w14:textId="77777777" w:rsidR="00A74816" w:rsidRDefault="00A74816" w:rsidP="00C574D8"/>
    <w:p w14:paraId="70DD21E4" w14:textId="77777777" w:rsidR="00A74816" w:rsidRPr="00A74816" w:rsidRDefault="00A74816" w:rsidP="00C574D8">
      <w:pPr>
        <w:rPr>
          <w:b/>
        </w:rPr>
      </w:pPr>
      <w:r w:rsidRPr="00A74816">
        <w:rPr>
          <w:b/>
        </w:rPr>
        <w:t>Ethical Decision-Making</w:t>
      </w:r>
    </w:p>
    <w:p w14:paraId="3D7ED8B4" w14:textId="77777777" w:rsidR="00A74816" w:rsidRPr="00230DC6" w:rsidRDefault="00A74816" w:rsidP="00C574D8">
      <w:pPr>
        <w:suppressAutoHyphens w:val="0"/>
        <w:rPr>
          <w:rFonts w:eastAsia="Times New Roman"/>
          <w:color w:val="auto"/>
          <w:szCs w:val="24"/>
          <w:lang w:val="en-IN" w:eastAsia="en-IN"/>
        </w:rPr>
      </w:pPr>
      <w:r>
        <w:t>I also have a longtime tendency to make ethical decisions particularly during the process involving vulnerable groups such as old patients or even individuals with cognitive disorders. Respect of autonomy of the patient is one of the main values that directly guide my practice, which means the respect and the support of the right of the people to make their own decision related to their treatment unless they are not able to make decisions. However, I have also had to face that there are other situations when autonomy of the patients may not be in their best interests especially in situations where individuals are not in a position to make good decisions due to the failure of their cognition or mental illness</w:t>
      </w:r>
      <w:r w:rsidR="00230DC6">
        <w:t xml:space="preserve"> </w:t>
      </w:r>
      <w:r w:rsidR="00230DC6" w:rsidRPr="00230DC6">
        <w:rPr>
          <w:rFonts w:eastAsia="Times New Roman"/>
          <w:color w:val="auto"/>
          <w:szCs w:val="24"/>
          <w:lang w:val="en-IN" w:eastAsia="en-IN"/>
        </w:rPr>
        <w:t>(</w:t>
      </w:r>
      <w:proofErr w:type="spellStart"/>
      <w:r w:rsidR="00230DC6" w:rsidRPr="00230DC6">
        <w:rPr>
          <w:rFonts w:eastAsia="Times New Roman"/>
          <w:color w:val="auto"/>
          <w:szCs w:val="24"/>
          <w:lang w:val="en-IN" w:eastAsia="en-IN"/>
        </w:rPr>
        <w:t>Tietzova</w:t>
      </w:r>
      <w:proofErr w:type="spellEnd"/>
      <w:r w:rsidR="00230DC6" w:rsidRPr="00230DC6">
        <w:rPr>
          <w:rFonts w:eastAsia="Times New Roman"/>
          <w:color w:val="auto"/>
          <w:szCs w:val="24"/>
          <w:lang w:val="en-IN" w:eastAsia="en-IN"/>
        </w:rPr>
        <w:t xml:space="preserve">, </w:t>
      </w:r>
      <w:proofErr w:type="spellStart"/>
      <w:r w:rsidR="00230DC6" w:rsidRPr="00230DC6">
        <w:rPr>
          <w:rFonts w:eastAsia="Times New Roman"/>
          <w:color w:val="auto"/>
          <w:szCs w:val="24"/>
          <w:lang w:val="en-IN" w:eastAsia="en-IN"/>
        </w:rPr>
        <w:t>Buzgova</w:t>
      </w:r>
      <w:proofErr w:type="spellEnd"/>
      <w:r w:rsidR="00230DC6" w:rsidRPr="00230DC6">
        <w:rPr>
          <w:rFonts w:eastAsia="Times New Roman"/>
          <w:color w:val="auto"/>
          <w:szCs w:val="24"/>
          <w:lang w:val="en-IN" w:eastAsia="en-IN"/>
        </w:rPr>
        <w:t xml:space="preserve"> and </w:t>
      </w:r>
      <w:proofErr w:type="spellStart"/>
      <w:r w:rsidR="00230DC6" w:rsidRPr="00230DC6">
        <w:rPr>
          <w:rFonts w:eastAsia="Times New Roman"/>
          <w:color w:val="auto"/>
          <w:szCs w:val="24"/>
          <w:lang w:val="en-IN" w:eastAsia="en-IN"/>
        </w:rPr>
        <w:t>Kopecky</w:t>
      </w:r>
      <w:proofErr w:type="spellEnd"/>
      <w:r w:rsidR="00230DC6" w:rsidRPr="00230DC6">
        <w:rPr>
          <w:rFonts w:eastAsia="Times New Roman"/>
          <w:color w:val="auto"/>
          <w:szCs w:val="24"/>
          <w:lang w:val="en-IN" w:eastAsia="en-IN"/>
        </w:rPr>
        <w:t>, 2024)</w:t>
      </w:r>
      <w:r>
        <w:t>.</w:t>
      </w:r>
      <w:r w:rsidR="00230DC6">
        <w:t xml:space="preserve"> </w:t>
      </w:r>
    </w:p>
    <w:p w14:paraId="0A361712" w14:textId="77777777" w:rsidR="00A74816" w:rsidRDefault="00A74816" w:rsidP="00C574D8">
      <w:pPr>
        <w:ind w:firstLine="720"/>
      </w:pPr>
      <w:r>
        <w:t>One of the issues of ethics decision-making is to ensure that a patient has his free will not violated but at the same time to ensure the safety and well-being of a patient. In a case scenario, to consider a situation, when the patient has dementia it may not always be easy to determine whether a decision made by the patient is in the best interest of the patient or influenced by his or her deterioration of the cognitive ability. In this case, I must make a strike based on the ethical principle of autonomy and the necessity to help the patient. I would always consider the family members, the care team, and the relevant moral principles to ensure we arrive at decisions which are in the best interest of the patient, and that personal decision of the patient is not run-over by other decisions made in case of ethical dilemmas leading me to make such decisions.</w:t>
      </w:r>
    </w:p>
    <w:p w14:paraId="56462395" w14:textId="77777777" w:rsidR="000D5F91" w:rsidRPr="00752C57" w:rsidRDefault="00E61475" w:rsidP="00C574D8">
      <w:pPr>
        <w:pStyle w:val="Nadpis1"/>
      </w:pPr>
      <w:r w:rsidRPr="00752C57">
        <w:br w:type="page"/>
      </w:r>
      <w:bookmarkStart w:id="4" w:name="_Toc212117293"/>
      <w:r w:rsidR="0082293E" w:rsidRPr="00752C57">
        <w:t>REFERENCES</w:t>
      </w:r>
      <w:bookmarkEnd w:id="4"/>
      <w:r w:rsidR="0082293E" w:rsidRPr="00752C57">
        <w:t xml:space="preserve"> </w:t>
      </w:r>
    </w:p>
    <w:p w14:paraId="18635B9E"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Alderwick</w:t>
      </w:r>
      <w:proofErr w:type="spellEnd"/>
      <w:r w:rsidRPr="00ED5B85">
        <w:rPr>
          <w:rFonts w:eastAsia="Times New Roman"/>
          <w:color w:val="auto"/>
          <w:szCs w:val="24"/>
          <w:lang w:val="en-IN" w:eastAsia="en-IN"/>
        </w:rPr>
        <w:t xml:space="preserve">, H., </w:t>
      </w:r>
      <w:proofErr w:type="spellStart"/>
      <w:r w:rsidRPr="00ED5B85">
        <w:rPr>
          <w:rFonts w:eastAsia="Times New Roman"/>
          <w:color w:val="auto"/>
          <w:szCs w:val="24"/>
          <w:lang w:val="en-IN" w:eastAsia="en-IN"/>
        </w:rPr>
        <w:t>Hutchings</w:t>
      </w:r>
      <w:proofErr w:type="spellEnd"/>
      <w:r w:rsidRPr="00ED5B85">
        <w:rPr>
          <w:rFonts w:eastAsia="Times New Roman"/>
          <w:color w:val="auto"/>
          <w:szCs w:val="24"/>
          <w:lang w:val="en-IN" w:eastAsia="en-IN"/>
        </w:rPr>
        <w:t xml:space="preserve">, A., Briggs, A. and Mays, N. (2021). The Impacts of Collaboration between Local Health Care and non-health Care </w:t>
      </w:r>
      <w:proofErr w:type="spellStart"/>
      <w:r w:rsidRPr="00ED5B85">
        <w:rPr>
          <w:rFonts w:eastAsia="Times New Roman"/>
          <w:color w:val="auto"/>
          <w:szCs w:val="24"/>
          <w:lang w:val="en-IN" w:eastAsia="en-IN"/>
        </w:rPr>
        <w:t>Organizations</w:t>
      </w:r>
      <w:proofErr w:type="spellEnd"/>
      <w:r w:rsidRPr="00ED5B85">
        <w:rPr>
          <w:rFonts w:eastAsia="Times New Roman"/>
          <w:color w:val="auto"/>
          <w:szCs w:val="24"/>
          <w:lang w:val="en-IN" w:eastAsia="en-IN"/>
        </w:rPr>
        <w:t xml:space="preserve"> and Factors Shaping How They work: a Systematic Review of Reviews. </w:t>
      </w:r>
      <w:r w:rsidRPr="00ED5B85">
        <w:rPr>
          <w:rFonts w:eastAsia="Times New Roman"/>
          <w:i/>
          <w:iCs/>
          <w:color w:val="auto"/>
          <w:szCs w:val="24"/>
          <w:lang w:val="en-IN" w:eastAsia="en-IN"/>
        </w:rPr>
        <w:t>BioMed Central Public Health</w:t>
      </w:r>
      <w:r w:rsidRPr="00ED5B85">
        <w:rPr>
          <w:rFonts w:eastAsia="Times New Roman"/>
          <w:color w:val="auto"/>
          <w:szCs w:val="24"/>
          <w:lang w:val="en-IN" w:eastAsia="en-IN"/>
        </w:rPr>
        <w:t xml:space="preserve">, [online] 21(1), pp.1–16.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8" w:history="1">
        <w:r w:rsidRPr="009F567F">
          <w:rPr>
            <w:rStyle w:val="Hypertextovodkaz"/>
            <w:rFonts w:eastAsia="Times New Roman"/>
            <w:szCs w:val="24"/>
            <w:lang w:val="en-IN" w:eastAsia="en-IN"/>
          </w:rPr>
          <w:t>https://doi.org/10.1186/s12889-021-10630-1</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08264C2A"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Bouchez, T., </w:t>
      </w:r>
      <w:proofErr w:type="spellStart"/>
      <w:r w:rsidRPr="00ED5B85">
        <w:rPr>
          <w:rFonts w:eastAsia="Times New Roman"/>
          <w:color w:val="auto"/>
          <w:szCs w:val="24"/>
          <w:lang w:val="en-IN" w:eastAsia="en-IN"/>
        </w:rPr>
        <w:t>Cagnon</w:t>
      </w:r>
      <w:proofErr w:type="spellEnd"/>
      <w:r w:rsidRPr="00ED5B85">
        <w:rPr>
          <w:rFonts w:eastAsia="Times New Roman"/>
          <w:color w:val="auto"/>
          <w:szCs w:val="24"/>
          <w:lang w:val="en-IN" w:eastAsia="en-IN"/>
        </w:rPr>
        <w:t xml:space="preserve">, C., </w:t>
      </w:r>
      <w:proofErr w:type="spellStart"/>
      <w:r w:rsidRPr="00ED5B85">
        <w:rPr>
          <w:rFonts w:eastAsia="Times New Roman"/>
          <w:color w:val="auto"/>
          <w:szCs w:val="24"/>
          <w:lang w:val="en-IN" w:eastAsia="en-IN"/>
        </w:rPr>
        <w:t>Hamouche</w:t>
      </w:r>
      <w:proofErr w:type="spellEnd"/>
      <w:r w:rsidRPr="00ED5B85">
        <w:rPr>
          <w:rFonts w:eastAsia="Times New Roman"/>
          <w:color w:val="auto"/>
          <w:szCs w:val="24"/>
          <w:lang w:val="en-IN" w:eastAsia="en-IN"/>
        </w:rPr>
        <w:t xml:space="preserve">, G., </w:t>
      </w:r>
      <w:proofErr w:type="spellStart"/>
      <w:r w:rsidRPr="00ED5B85">
        <w:rPr>
          <w:rFonts w:eastAsia="Times New Roman"/>
          <w:color w:val="auto"/>
          <w:szCs w:val="24"/>
          <w:lang w:val="en-IN" w:eastAsia="en-IN"/>
        </w:rPr>
        <w:t>Majdoub</w:t>
      </w:r>
      <w:proofErr w:type="spellEnd"/>
      <w:r w:rsidRPr="00ED5B85">
        <w:rPr>
          <w:rFonts w:eastAsia="Times New Roman"/>
          <w:color w:val="auto"/>
          <w:szCs w:val="24"/>
          <w:lang w:val="en-IN" w:eastAsia="en-IN"/>
        </w:rPr>
        <w:t xml:space="preserve">, M., </w:t>
      </w:r>
      <w:proofErr w:type="spellStart"/>
      <w:r w:rsidRPr="00ED5B85">
        <w:rPr>
          <w:rFonts w:eastAsia="Times New Roman"/>
          <w:color w:val="auto"/>
          <w:szCs w:val="24"/>
          <w:lang w:val="en-IN" w:eastAsia="en-IN"/>
        </w:rPr>
        <w:t>Charlet</w:t>
      </w:r>
      <w:proofErr w:type="spellEnd"/>
      <w:r w:rsidRPr="00ED5B85">
        <w:rPr>
          <w:rFonts w:eastAsia="Times New Roman"/>
          <w:color w:val="auto"/>
          <w:szCs w:val="24"/>
          <w:lang w:val="en-IN" w:eastAsia="en-IN"/>
        </w:rPr>
        <w:t xml:space="preserve">, J. and </w:t>
      </w:r>
      <w:proofErr w:type="spellStart"/>
      <w:r w:rsidRPr="00ED5B85">
        <w:rPr>
          <w:rFonts w:eastAsia="Times New Roman"/>
          <w:color w:val="auto"/>
          <w:szCs w:val="24"/>
          <w:lang w:val="en-IN" w:eastAsia="en-IN"/>
        </w:rPr>
        <w:t>Schuers</w:t>
      </w:r>
      <w:proofErr w:type="spellEnd"/>
      <w:r w:rsidRPr="00ED5B85">
        <w:rPr>
          <w:rFonts w:eastAsia="Times New Roman"/>
          <w:color w:val="auto"/>
          <w:szCs w:val="24"/>
          <w:lang w:val="en-IN" w:eastAsia="en-IN"/>
        </w:rPr>
        <w:t xml:space="preserve">, M. (2023). </w:t>
      </w:r>
      <w:proofErr w:type="spellStart"/>
      <w:r w:rsidRPr="00ED5B85">
        <w:rPr>
          <w:rFonts w:eastAsia="Times New Roman"/>
          <w:color w:val="auto"/>
          <w:szCs w:val="24"/>
          <w:lang w:val="en-IN" w:eastAsia="en-IN"/>
        </w:rPr>
        <w:t>Interprofessional</w:t>
      </w:r>
      <w:proofErr w:type="spellEnd"/>
      <w:r w:rsidRPr="00ED5B85">
        <w:rPr>
          <w:rFonts w:eastAsia="Times New Roman"/>
          <w:color w:val="auto"/>
          <w:szCs w:val="24"/>
          <w:lang w:val="en-IN" w:eastAsia="en-IN"/>
        </w:rPr>
        <w:t xml:space="preserve"> clinical decision‐making process in health: A scoping review. </w:t>
      </w:r>
      <w:r w:rsidRPr="00ED5B85">
        <w:rPr>
          <w:rFonts w:eastAsia="Times New Roman"/>
          <w:i/>
          <w:iCs/>
          <w:color w:val="auto"/>
          <w:szCs w:val="24"/>
          <w:lang w:val="en-IN" w:eastAsia="en-IN"/>
        </w:rPr>
        <w:t>Journal of Advanced Nursing</w:t>
      </w:r>
      <w:r w:rsidRPr="00ED5B85">
        <w:rPr>
          <w:rFonts w:eastAsia="Times New Roman"/>
          <w:color w:val="auto"/>
          <w:szCs w:val="24"/>
          <w:lang w:val="en-IN" w:eastAsia="en-IN"/>
        </w:rPr>
        <w:t xml:space="preserve">, 80(3).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9" w:history="1">
        <w:r w:rsidRPr="009F567F">
          <w:rPr>
            <w:rStyle w:val="Hypertextovodkaz"/>
            <w:rFonts w:eastAsia="Times New Roman"/>
            <w:szCs w:val="24"/>
            <w:lang w:val="en-IN" w:eastAsia="en-IN"/>
          </w:rPr>
          <w:t>https://doi.org/10.1111/jan.15865</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6824F2C8"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Curreri</w:t>
      </w:r>
      <w:proofErr w:type="spellEnd"/>
      <w:r w:rsidRPr="00ED5B85">
        <w:rPr>
          <w:rFonts w:eastAsia="Times New Roman"/>
          <w:color w:val="auto"/>
          <w:szCs w:val="24"/>
          <w:lang w:val="en-IN" w:eastAsia="en-IN"/>
        </w:rPr>
        <w:t xml:space="preserve">, N.A. (2019). Partnership Working in Health and Social Care. </w:t>
      </w:r>
      <w:r w:rsidRPr="00ED5B85">
        <w:rPr>
          <w:rFonts w:eastAsia="Times New Roman"/>
          <w:i/>
          <w:iCs/>
          <w:color w:val="auto"/>
          <w:szCs w:val="24"/>
          <w:lang w:val="en-IN" w:eastAsia="en-IN"/>
        </w:rPr>
        <w:t>International Journal of Integrated Care</w:t>
      </w:r>
      <w:r w:rsidRPr="00ED5B85">
        <w:rPr>
          <w:rFonts w:eastAsia="Times New Roman"/>
          <w:color w:val="auto"/>
          <w:szCs w:val="24"/>
          <w:lang w:val="en-IN" w:eastAsia="en-IN"/>
        </w:rPr>
        <w:t xml:space="preserve">, [online] 19(2).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0" w:history="1">
        <w:r w:rsidRPr="009F567F">
          <w:rPr>
            <w:rStyle w:val="Hypertextovodkaz"/>
            <w:rFonts w:eastAsia="Times New Roman"/>
            <w:szCs w:val="24"/>
            <w:lang w:val="en-IN" w:eastAsia="en-IN"/>
          </w:rPr>
          <w:t>https://doi.org/10.5334/ijic.4722</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705F9029"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Giusti, A., </w:t>
      </w:r>
      <w:proofErr w:type="spellStart"/>
      <w:r w:rsidRPr="00ED5B85">
        <w:rPr>
          <w:rFonts w:eastAsia="Times New Roman"/>
          <w:color w:val="auto"/>
          <w:szCs w:val="24"/>
          <w:lang w:val="en-IN" w:eastAsia="en-IN"/>
        </w:rPr>
        <w:t>Nkhoma</w:t>
      </w:r>
      <w:proofErr w:type="spellEnd"/>
      <w:r w:rsidRPr="00ED5B85">
        <w:rPr>
          <w:rFonts w:eastAsia="Times New Roman"/>
          <w:color w:val="auto"/>
          <w:szCs w:val="24"/>
          <w:lang w:val="en-IN" w:eastAsia="en-IN"/>
        </w:rPr>
        <w:t xml:space="preserve">, K., </w:t>
      </w:r>
      <w:proofErr w:type="spellStart"/>
      <w:r w:rsidRPr="00ED5B85">
        <w:rPr>
          <w:rFonts w:eastAsia="Times New Roman"/>
          <w:color w:val="auto"/>
          <w:szCs w:val="24"/>
          <w:lang w:val="en-IN" w:eastAsia="en-IN"/>
        </w:rPr>
        <w:t>Petrus</w:t>
      </w:r>
      <w:proofErr w:type="spellEnd"/>
      <w:r w:rsidRPr="00ED5B85">
        <w:rPr>
          <w:rFonts w:eastAsia="Times New Roman"/>
          <w:color w:val="auto"/>
          <w:szCs w:val="24"/>
          <w:lang w:val="en-IN" w:eastAsia="en-IN"/>
        </w:rPr>
        <w:t xml:space="preserve">, R., Petersen, I., </w:t>
      </w:r>
      <w:proofErr w:type="spellStart"/>
      <w:r w:rsidRPr="00ED5B85">
        <w:rPr>
          <w:rFonts w:eastAsia="Times New Roman"/>
          <w:color w:val="auto"/>
          <w:szCs w:val="24"/>
          <w:lang w:val="en-IN" w:eastAsia="en-IN"/>
        </w:rPr>
        <w:t>Gwyther</w:t>
      </w:r>
      <w:proofErr w:type="spellEnd"/>
      <w:r w:rsidRPr="00ED5B85">
        <w:rPr>
          <w:rFonts w:eastAsia="Times New Roman"/>
          <w:color w:val="auto"/>
          <w:szCs w:val="24"/>
          <w:lang w:val="en-IN" w:eastAsia="en-IN"/>
        </w:rPr>
        <w:t xml:space="preserve">, L., </w:t>
      </w:r>
      <w:proofErr w:type="spellStart"/>
      <w:r w:rsidRPr="00ED5B85">
        <w:rPr>
          <w:rFonts w:eastAsia="Times New Roman"/>
          <w:color w:val="auto"/>
          <w:szCs w:val="24"/>
          <w:lang w:val="en-IN" w:eastAsia="en-IN"/>
        </w:rPr>
        <w:t>Farrant</w:t>
      </w:r>
      <w:proofErr w:type="spellEnd"/>
      <w:r w:rsidRPr="00ED5B85">
        <w:rPr>
          <w:rFonts w:eastAsia="Times New Roman"/>
          <w:color w:val="auto"/>
          <w:szCs w:val="24"/>
          <w:lang w:val="en-IN" w:eastAsia="en-IN"/>
        </w:rPr>
        <w:t xml:space="preserve">, L., Venkatapuram, S. and Harding, R. (2020). The empirical evidence underpinning the concept and practice of person-centred care for serious illness: A systematic review. </w:t>
      </w:r>
      <w:r w:rsidRPr="00ED5B85">
        <w:rPr>
          <w:rFonts w:eastAsia="Times New Roman"/>
          <w:i/>
          <w:iCs/>
          <w:color w:val="auto"/>
          <w:szCs w:val="24"/>
          <w:lang w:val="en-IN" w:eastAsia="en-IN"/>
        </w:rPr>
        <w:t>BMJ Global Health</w:t>
      </w:r>
      <w:r w:rsidRPr="00ED5B85">
        <w:rPr>
          <w:rFonts w:eastAsia="Times New Roman"/>
          <w:color w:val="auto"/>
          <w:szCs w:val="24"/>
          <w:lang w:val="en-IN" w:eastAsia="en-IN"/>
        </w:rPr>
        <w:t xml:space="preserve">, [online] 5(12).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1" w:history="1">
        <w:r w:rsidRPr="009F567F">
          <w:rPr>
            <w:rStyle w:val="Hypertextovodkaz"/>
            <w:rFonts w:eastAsia="Times New Roman"/>
            <w:szCs w:val="24"/>
            <w:lang w:val="en-IN" w:eastAsia="en-IN"/>
          </w:rPr>
          <w:t>https://doi.org/10.1136/bmjgh-2020-003330</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3E73AABD"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Mahony</w:t>
      </w:r>
      <w:proofErr w:type="spellEnd"/>
      <w:r w:rsidRPr="00ED5B85">
        <w:rPr>
          <w:rFonts w:eastAsia="Times New Roman"/>
          <w:color w:val="auto"/>
          <w:szCs w:val="24"/>
          <w:lang w:val="en-IN" w:eastAsia="en-IN"/>
        </w:rPr>
        <w:t xml:space="preserve">, C. (2015). Robert Kilpatrick. </w:t>
      </w:r>
      <w:r w:rsidRPr="00ED5B85">
        <w:rPr>
          <w:rFonts w:eastAsia="Times New Roman"/>
          <w:i/>
          <w:iCs/>
          <w:color w:val="auto"/>
          <w:szCs w:val="24"/>
          <w:lang w:val="en-IN" w:eastAsia="en-IN"/>
        </w:rPr>
        <w:t>BMJ</w:t>
      </w:r>
      <w:r w:rsidRPr="00ED5B85">
        <w:rPr>
          <w:rFonts w:eastAsia="Times New Roman"/>
          <w:color w:val="auto"/>
          <w:szCs w:val="24"/>
          <w:lang w:val="en-IN" w:eastAsia="en-IN"/>
        </w:rPr>
        <w:t xml:space="preserve">, p.h5727.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2" w:history="1">
        <w:r w:rsidRPr="009F567F">
          <w:rPr>
            <w:rStyle w:val="Hypertextovodkaz"/>
            <w:rFonts w:eastAsia="Times New Roman"/>
            <w:szCs w:val="24"/>
            <w:lang w:val="en-IN" w:eastAsia="en-IN"/>
          </w:rPr>
          <w:t>https://doi.org/10.1136/bmj.h5727</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119C9AE7"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Moore, H., Watson, R., </w:t>
      </w:r>
      <w:proofErr w:type="spellStart"/>
      <w:r w:rsidRPr="00ED5B85">
        <w:rPr>
          <w:rFonts w:eastAsia="Times New Roman"/>
          <w:color w:val="auto"/>
          <w:szCs w:val="24"/>
          <w:lang w:val="en-IN" w:eastAsia="en-IN"/>
        </w:rPr>
        <w:t>Farnworth</w:t>
      </w:r>
      <w:proofErr w:type="spellEnd"/>
      <w:r w:rsidRPr="00ED5B85">
        <w:rPr>
          <w:rFonts w:eastAsia="Times New Roman"/>
          <w:color w:val="auto"/>
          <w:szCs w:val="24"/>
          <w:lang w:val="en-IN" w:eastAsia="en-IN"/>
        </w:rPr>
        <w:t xml:space="preserve">, A., Giles, K., </w:t>
      </w:r>
      <w:proofErr w:type="spellStart"/>
      <w:r w:rsidRPr="00ED5B85">
        <w:rPr>
          <w:rFonts w:eastAsia="Times New Roman"/>
          <w:color w:val="auto"/>
          <w:szCs w:val="24"/>
          <w:lang w:val="en-IN" w:eastAsia="en-IN"/>
        </w:rPr>
        <w:t>Tomson</w:t>
      </w:r>
      <w:proofErr w:type="spellEnd"/>
      <w:r w:rsidRPr="00ED5B85">
        <w:rPr>
          <w:rFonts w:eastAsia="Times New Roman"/>
          <w:color w:val="auto"/>
          <w:szCs w:val="24"/>
          <w:lang w:val="en-IN" w:eastAsia="en-IN"/>
        </w:rPr>
        <w:t xml:space="preserve">, D. and Thomson, R. (2023). Inclusion of person-centred care in UK postgraduate medical education curricula: Interviews and documentary analysis. </w:t>
      </w:r>
      <w:r w:rsidRPr="00ED5B85">
        <w:rPr>
          <w:rFonts w:eastAsia="Times New Roman"/>
          <w:i/>
          <w:iCs/>
          <w:color w:val="auto"/>
          <w:szCs w:val="24"/>
          <w:lang w:val="en-IN" w:eastAsia="en-IN"/>
        </w:rPr>
        <w:t>BMC Medical Education</w:t>
      </w:r>
      <w:r w:rsidRPr="00ED5B85">
        <w:rPr>
          <w:rFonts w:eastAsia="Times New Roman"/>
          <w:color w:val="auto"/>
          <w:szCs w:val="24"/>
          <w:lang w:val="en-IN" w:eastAsia="en-IN"/>
        </w:rPr>
        <w:t xml:space="preserve">, [online] 23(1).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3" w:history="1">
        <w:r w:rsidRPr="009F567F">
          <w:rPr>
            <w:rStyle w:val="Hypertextovodkaz"/>
            <w:rFonts w:eastAsia="Times New Roman"/>
            <w:szCs w:val="24"/>
            <w:lang w:val="en-IN" w:eastAsia="en-IN"/>
          </w:rPr>
          <w:t>https://doi.org/10.1186/s12909-023-04730-2</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39D5F393"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Suominen</w:t>
      </w:r>
      <w:proofErr w:type="spellEnd"/>
      <w:r w:rsidRPr="00ED5B85">
        <w:rPr>
          <w:rFonts w:eastAsia="Times New Roman"/>
          <w:color w:val="auto"/>
          <w:szCs w:val="24"/>
          <w:lang w:val="en-IN" w:eastAsia="en-IN"/>
        </w:rPr>
        <w:t xml:space="preserve">, T., </w:t>
      </w:r>
      <w:proofErr w:type="spellStart"/>
      <w:r w:rsidRPr="00ED5B85">
        <w:rPr>
          <w:rFonts w:eastAsia="Times New Roman"/>
          <w:color w:val="auto"/>
          <w:szCs w:val="24"/>
          <w:lang w:val="en-IN" w:eastAsia="en-IN"/>
        </w:rPr>
        <w:t>Åstedt-Kurki</w:t>
      </w:r>
      <w:proofErr w:type="spellEnd"/>
      <w:r w:rsidRPr="00ED5B85">
        <w:rPr>
          <w:rFonts w:eastAsia="Times New Roman"/>
          <w:color w:val="auto"/>
          <w:szCs w:val="24"/>
          <w:lang w:val="en-IN" w:eastAsia="en-IN"/>
        </w:rPr>
        <w:t xml:space="preserve">, P. and </w:t>
      </w:r>
      <w:proofErr w:type="spellStart"/>
      <w:r w:rsidRPr="00ED5B85">
        <w:rPr>
          <w:rFonts w:eastAsia="Times New Roman"/>
          <w:color w:val="auto"/>
          <w:szCs w:val="24"/>
          <w:lang w:val="en-IN" w:eastAsia="en-IN"/>
        </w:rPr>
        <w:t>Lepaitė</w:t>
      </w:r>
      <w:proofErr w:type="spellEnd"/>
      <w:r w:rsidRPr="00ED5B85">
        <w:rPr>
          <w:rFonts w:eastAsia="Times New Roman"/>
          <w:color w:val="auto"/>
          <w:szCs w:val="24"/>
          <w:lang w:val="en-IN" w:eastAsia="en-IN"/>
        </w:rPr>
        <w:t xml:space="preserve">, D. (2010). Ethical dilemmas concerning decision-making within health care leadership: a systematic literature review. </w:t>
      </w:r>
      <w:proofErr w:type="spellStart"/>
      <w:r w:rsidRPr="00ED5B85">
        <w:rPr>
          <w:rFonts w:eastAsia="Times New Roman"/>
          <w:i/>
          <w:iCs/>
          <w:color w:val="auto"/>
          <w:szCs w:val="24"/>
          <w:lang w:val="en-IN" w:eastAsia="en-IN"/>
        </w:rPr>
        <w:t>Medicina</w:t>
      </w:r>
      <w:proofErr w:type="spellEnd"/>
      <w:r w:rsidRPr="00ED5B85">
        <w:rPr>
          <w:rFonts w:eastAsia="Times New Roman"/>
          <w:color w:val="auto"/>
          <w:szCs w:val="24"/>
          <w:lang w:val="en-IN" w:eastAsia="en-IN"/>
        </w:rPr>
        <w:t xml:space="preserve">, 46(9), p.595.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4" w:history="1">
        <w:r w:rsidRPr="009F567F">
          <w:rPr>
            <w:rStyle w:val="Hypertextovodkaz"/>
            <w:rFonts w:eastAsia="Times New Roman"/>
            <w:szCs w:val="24"/>
            <w:lang w:val="en-IN" w:eastAsia="en-IN"/>
          </w:rPr>
          <w:t>https://doi.org/10.3390/medicina46090084</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60E49415"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proofErr w:type="spellStart"/>
      <w:r w:rsidRPr="00ED5B85">
        <w:rPr>
          <w:rFonts w:eastAsia="Times New Roman"/>
          <w:color w:val="auto"/>
          <w:szCs w:val="24"/>
          <w:lang w:val="en-IN" w:eastAsia="en-IN"/>
        </w:rPr>
        <w:t>Tietzova</w:t>
      </w:r>
      <w:proofErr w:type="spellEnd"/>
      <w:r w:rsidRPr="00ED5B85">
        <w:rPr>
          <w:rFonts w:eastAsia="Times New Roman"/>
          <w:color w:val="auto"/>
          <w:szCs w:val="24"/>
          <w:lang w:val="en-IN" w:eastAsia="en-IN"/>
        </w:rPr>
        <w:t xml:space="preserve">, I., </w:t>
      </w:r>
      <w:proofErr w:type="spellStart"/>
      <w:r w:rsidRPr="00ED5B85">
        <w:rPr>
          <w:rFonts w:eastAsia="Times New Roman"/>
          <w:color w:val="auto"/>
          <w:szCs w:val="24"/>
          <w:lang w:val="en-IN" w:eastAsia="en-IN"/>
        </w:rPr>
        <w:t>Buzgova</w:t>
      </w:r>
      <w:proofErr w:type="spellEnd"/>
      <w:r w:rsidRPr="00ED5B85">
        <w:rPr>
          <w:rFonts w:eastAsia="Times New Roman"/>
          <w:color w:val="auto"/>
          <w:szCs w:val="24"/>
          <w:lang w:val="en-IN" w:eastAsia="en-IN"/>
        </w:rPr>
        <w:t xml:space="preserve">, R. and </w:t>
      </w:r>
      <w:proofErr w:type="spellStart"/>
      <w:r w:rsidRPr="00ED5B85">
        <w:rPr>
          <w:rFonts w:eastAsia="Times New Roman"/>
          <w:color w:val="auto"/>
          <w:szCs w:val="24"/>
          <w:lang w:val="en-IN" w:eastAsia="en-IN"/>
        </w:rPr>
        <w:t>Kopecky</w:t>
      </w:r>
      <w:proofErr w:type="spellEnd"/>
      <w:r w:rsidRPr="00ED5B85">
        <w:rPr>
          <w:rFonts w:eastAsia="Times New Roman"/>
          <w:color w:val="auto"/>
          <w:szCs w:val="24"/>
          <w:lang w:val="en-IN" w:eastAsia="en-IN"/>
        </w:rPr>
        <w:t xml:space="preserve">, O. (2024). Decision-making and ethical dilemmas experienced by hospital physicians during the COVID-19 pandemic in the Czech Republic. </w:t>
      </w:r>
      <w:r w:rsidRPr="00ED5B85">
        <w:rPr>
          <w:rFonts w:eastAsia="Times New Roman"/>
          <w:i/>
          <w:iCs/>
          <w:color w:val="auto"/>
          <w:szCs w:val="24"/>
          <w:lang w:val="en-IN" w:eastAsia="en-IN"/>
        </w:rPr>
        <w:t>BMC Medical Ethics</w:t>
      </w:r>
      <w:r w:rsidRPr="00ED5B85">
        <w:rPr>
          <w:rFonts w:eastAsia="Times New Roman"/>
          <w:color w:val="auto"/>
          <w:szCs w:val="24"/>
          <w:lang w:val="en-IN" w:eastAsia="en-IN"/>
        </w:rPr>
        <w:t xml:space="preserve">, 25(1).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5" w:history="1">
        <w:r w:rsidRPr="009F567F">
          <w:rPr>
            <w:rStyle w:val="Hypertextovodkaz"/>
            <w:rFonts w:eastAsia="Times New Roman"/>
            <w:szCs w:val="24"/>
            <w:lang w:val="en-IN" w:eastAsia="en-IN"/>
          </w:rPr>
          <w:t>https://doi.org/10.1186/s12910-024-01133-w</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44E25A0A" w14:textId="77777777" w:rsidR="00ED5B85" w:rsidRPr="00ED5B85" w:rsidRDefault="00ED5B85" w:rsidP="00ED5B85">
      <w:pPr>
        <w:numPr>
          <w:ilvl w:val="0"/>
          <w:numId w:val="1"/>
        </w:numPr>
        <w:suppressAutoHyphens w:val="0"/>
        <w:spacing w:after="240" w:line="240" w:lineRule="auto"/>
        <w:rPr>
          <w:rFonts w:eastAsia="Times New Roman"/>
          <w:color w:val="auto"/>
          <w:szCs w:val="24"/>
          <w:lang w:val="en-IN" w:eastAsia="en-IN"/>
        </w:rPr>
      </w:pPr>
      <w:r w:rsidRPr="00ED5B85">
        <w:rPr>
          <w:rFonts w:eastAsia="Times New Roman"/>
          <w:color w:val="auto"/>
          <w:szCs w:val="24"/>
          <w:lang w:val="en-IN" w:eastAsia="en-IN"/>
        </w:rPr>
        <w:t xml:space="preserve">Wasim, A., </w:t>
      </w:r>
      <w:proofErr w:type="spellStart"/>
      <w:r w:rsidRPr="00ED5B85">
        <w:rPr>
          <w:rFonts w:eastAsia="Times New Roman"/>
          <w:color w:val="auto"/>
          <w:szCs w:val="24"/>
          <w:lang w:val="en-IN" w:eastAsia="en-IN"/>
        </w:rPr>
        <w:t>Sajan</w:t>
      </w:r>
      <w:proofErr w:type="spellEnd"/>
      <w:r w:rsidRPr="00ED5B85">
        <w:rPr>
          <w:rFonts w:eastAsia="Times New Roman"/>
          <w:color w:val="auto"/>
          <w:szCs w:val="24"/>
          <w:lang w:val="en-IN" w:eastAsia="en-IN"/>
        </w:rPr>
        <w:t xml:space="preserve">, M. and Majid, U. (2023). </w:t>
      </w:r>
      <w:proofErr w:type="spellStart"/>
      <w:r w:rsidRPr="00ED5B85">
        <w:rPr>
          <w:rFonts w:eastAsia="Times New Roman"/>
          <w:color w:val="auto"/>
          <w:szCs w:val="24"/>
          <w:lang w:val="en-IN" w:eastAsia="en-IN"/>
        </w:rPr>
        <w:t>Patient-centered</w:t>
      </w:r>
      <w:proofErr w:type="spellEnd"/>
      <w:r w:rsidRPr="00ED5B85">
        <w:rPr>
          <w:rFonts w:eastAsia="Times New Roman"/>
          <w:color w:val="auto"/>
          <w:szCs w:val="24"/>
          <w:lang w:val="en-IN" w:eastAsia="en-IN"/>
        </w:rPr>
        <w:t xml:space="preserve"> care frameworks, models and approaches: An environmental scan. </w:t>
      </w:r>
      <w:r w:rsidRPr="00ED5B85">
        <w:rPr>
          <w:rFonts w:eastAsia="Times New Roman"/>
          <w:i/>
          <w:iCs/>
          <w:color w:val="auto"/>
          <w:szCs w:val="24"/>
          <w:lang w:val="en-IN" w:eastAsia="en-IN"/>
        </w:rPr>
        <w:t>Patient Experience Journal</w:t>
      </w:r>
      <w:r w:rsidRPr="00ED5B85">
        <w:rPr>
          <w:rFonts w:eastAsia="Times New Roman"/>
          <w:color w:val="auto"/>
          <w:szCs w:val="24"/>
          <w:lang w:val="en-IN" w:eastAsia="en-IN"/>
        </w:rPr>
        <w:t xml:space="preserve">, [online] 10(2), pp.14–22. </w:t>
      </w:r>
      <w:proofErr w:type="spellStart"/>
      <w:r w:rsidRPr="00ED5B85">
        <w:rPr>
          <w:rFonts w:eastAsia="Times New Roman"/>
          <w:color w:val="auto"/>
          <w:szCs w:val="24"/>
          <w:lang w:val="en-IN" w:eastAsia="en-IN"/>
        </w:rPr>
        <w:t>doi</w:t>
      </w:r>
      <w:proofErr w:type="spellEnd"/>
      <w:r w:rsidRPr="00ED5B85">
        <w:rPr>
          <w:rFonts w:eastAsia="Times New Roman"/>
          <w:color w:val="auto"/>
          <w:szCs w:val="24"/>
          <w:lang w:val="en-IN" w:eastAsia="en-IN"/>
        </w:rPr>
        <w:t>:</w:t>
      </w:r>
      <w:r>
        <w:rPr>
          <w:rFonts w:eastAsia="Times New Roman"/>
          <w:color w:val="auto"/>
          <w:szCs w:val="24"/>
          <w:lang w:val="en-IN" w:eastAsia="en-IN"/>
        </w:rPr>
        <w:t xml:space="preserve"> </w:t>
      </w:r>
      <w:hyperlink r:id="rId16" w:history="1">
        <w:r w:rsidRPr="009F567F">
          <w:rPr>
            <w:rStyle w:val="Hypertextovodkaz"/>
            <w:rFonts w:eastAsia="Times New Roman"/>
            <w:szCs w:val="24"/>
            <w:lang w:val="en-IN" w:eastAsia="en-IN"/>
          </w:rPr>
          <w:t>https://doi.org/10.35680/2372-0247.1806</w:t>
        </w:r>
      </w:hyperlink>
      <w:r>
        <w:rPr>
          <w:rFonts w:eastAsia="Times New Roman"/>
          <w:color w:val="auto"/>
          <w:szCs w:val="24"/>
          <w:lang w:val="en-IN" w:eastAsia="en-IN"/>
        </w:rPr>
        <w:t xml:space="preserve"> </w:t>
      </w:r>
      <w:r w:rsidRPr="00ED5B85">
        <w:rPr>
          <w:rFonts w:eastAsia="Times New Roman"/>
          <w:color w:val="auto"/>
          <w:szCs w:val="24"/>
          <w:lang w:val="en-IN" w:eastAsia="en-IN"/>
        </w:rPr>
        <w:t>.</w:t>
      </w:r>
    </w:p>
    <w:p w14:paraId="44EAFD9C" w14:textId="77777777" w:rsidR="0074789A" w:rsidRPr="00752C57" w:rsidRDefault="0074789A" w:rsidP="00ED5B85"/>
    <w:sectPr w:rsidR="0074789A" w:rsidRPr="00752C57">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E0A6D" w14:textId="77777777" w:rsidR="009B551D" w:rsidRDefault="009B551D" w:rsidP="00A87747">
      <w:pPr>
        <w:spacing w:line="240" w:lineRule="auto"/>
      </w:pPr>
      <w:r>
        <w:separator/>
      </w:r>
    </w:p>
  </w:endnote>
  <w:endnote w:type="continuationSeparator" w:id="0">
    <w:p w14:paraId="715690C8" w14:textId="77777777" w:rsidR="009B551D" w:rsidRDefault="009B551D"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E66EF6" w14:textId="77777777" w:rsidR="00E3453F" w:rsidRDefault="00E3453F">
    <w:pPr>
      <w:pStyle w:val="Zpa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61732" w14:textId="77777777" w:rsidR="00A87747" w:rsidRDefault="00A87747">
    <w:pPr>
      <w:pStyle w:val="Zpat"/>
      <w:jc w:val="center"/>
    </w:pPr>
    <w:r>
      <w:fldChar w:fldCharType="begin"/>
    </w:r>
    <w:r>
      <w:instrText xml:space="preserve"> PAGE   \* MERGEFORMAT </w:instrText>
    </w:r>
    <w:r>
      <w:fldChar w:fldCharType="separate"/>
    </w:r>
    <w:r w:rsidR="00ED5B85">
      <w:rPr>
        <w:noProof/>
      </w:rPr>
      <w:t>8</w:t>
    </w:r>
    <w:r>
      <w:rPr>
        <w:noProof/>
      </w:rPr>
      <w:fldChar w:fldCharType="end"/>
    </w:r>
  </w:p>
  <w:p w14:paraId="3656B9AB" w14:textId="77777777" w:rsidR="00A87747" w:rsidRDefault="00A87747">
    <w:pPr>
      <w:pStyle w:val="Zpa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050DD" w14:textId="77777777" w:rsidR="00E3453F" w:rsidRDefault="00E3453F">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19292" w14:textId="77777777" w:rsidR="009B551D" w:rsidRDefault="009B551D" w:rsidP="00A87747">
      <w:pPr>
        <w:spacing w:line="240" w:lineRule="auto"/>
      </w:pPr>
      <w:r>
        <w:separator/>
      </w:r>
    </w:p>
  </w:footnote>
  <w:footnote w:type="continuationSeparator" w:id="0">
    <w:p w14:paraId="651E2B23" w14:textId="77777777" w:rsidR="009B551D" w:rsidRDefault="009B551D"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85A59" w14:textId="77777777" w:rsidR="00E3453F" w:rsidRDefault="00E3453F">
    <w:pPr>
      <w:pStyle w:val="Zhlav"/>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D2871" w14:textId="77777777" w:rsidR="00E3453F" w:rsidRDefault="00E3453F">
    <w:pPr>
      <w:pStyle w:val="Zhlav"/>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DBFC34" w14:textId="77777777" w:rsidR="00E3453F" w:rsidRDefault="00E3453F">
    <w:pPr>
      <w:pStyle w:val="Zhlav"/>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Nadpis1"/>
      <w:suff w:val="nothing"/>
      <w:lvlText w:val=""/>
      <w:lvlJc w:val="left"/>
      <w:pPr>
        <w:tabs>
          <w:tab w:val="num" w:pos="0"/>
        </w:tabs>
        <w:ind w:left="432" w:hanging="432"/>
      </w:pPr>
    </w:lvl>
    <w:lvl w:ilvl="1">
      <w:start w:val="1"/>
      <w:numFmt w:val="none"/>
      <w:pStyle w:val="Nadpis2"/>
      <w:suff w:val="nothing"/>
      <w:lvlText w:val=""/>
      <w:lvlJc w:val="left"/>
      <w:pPr>
        <w:tabs>
          <w:tab w:val="num" w:pos="0"/>
        </w:tabs>
        <w:ind w:left="576" w:hanging="576"/>
      </w:pPr>
    </w:lvl>
    <w:lvl w:ilvl="2">
      <w:start w:val="1"/>
      <w:numFmt w:val="none"/>
      <w:pStyle w:val="Nadpis3"/>
      <w:suff w:val="nothing"/>
      <w:lvlText w:val=""/>
      <w:lvlJc w:val="left"/>
      <w:pPr>
        <w:tabs>
          <w:tab w:val="num" w:pos="0"/>
        </w:tabs>
        <w:ind w:left="720" w:hanging="720"/>
      </w:pPr>
    </w:lvl>
    <w:lvl w:ilvl="3">
      <w:start w:val="1"/>
      <w:numFmt w:val="none"/>
      <w:pStyle w:val="Nadpis4"/>
      <w:suff w:val="nothing"/>
      <w:lvlText w:val=""/>
      <w:lvlJc w:val="left"/>
      <w:pPr>
        <w:tabs>
          <w:tab w:val="num" w:pos="0"/>
        </w:tabs>
        <w:ind w:left="864" w:hanging="864"/>
      </w:pPr>
    </w:lvl>
    <w:lvl w:ilvl="4">
      <w:start w:val="1"/>
      <w:numFmt w:val="none"/>
      <w:pStyle w:val="Nadpis5"/>
      <w:suff w:val="nothing"/>
      <w:lvlText w:val=""/>
      <w:lvlJc w:val="left"/>
      <w:pPr>
        <w:tabs>
          <w:tab w:val="num" w:pos="0"/>
        </w:tabs>
        <w:ind w:left="1008" w:hanging="1008"/>
      </w:pPr>
    </w:lvl>
    <w:lvl w:ilvl="5">
      <w:start w:val="1"/>
      <w:numFmt w:val="none"/>
      <w:pStyle w:val="Nadpis6"/>
      <w:suff w:val="nothing"/>
      <w:lvlText w:val=""/>
      <w:lvlJc w:val="left"/>
      <w:pPr>
        <w:tabs>
          <w:tab w:val="num" w:pos="0"/>
        </w:tabs>
        <w:ind w:left="1152" w:hanging="1152"/>
      </w:pPr>
    </w:lvl>
    <w:lvl w:ilvl="6">
      <w:start w:val="1"/>
      <w:numFmt w:val="none"/>
      <w:pStyle w:val="Nadpis7"/>
      <w:suff w:val="nothing"/>
      <w:lvlText w:val=""/>
      <w:lvlJc w:val="left"/>
      <w:pPr>
        <w:tabs>
          <w:tab w:val="num" w:pos="0"/>
        </w:tabs>
        <w:ind w:left="1296" w:hanging="1296"/>
      </w:pPr>
    </w:lvl>
    <w:lvl w:ilvl="7">
      <w:start w:val="1"/>
      <w:numFmt w:val="none"/>
      <w:pStyle w:val="Nadpis8"/>
      <w:suff w:val="nothing"/>
      <w:lvlText w:val=""/>
      <w:lvlJc w:val="left"/>
      <w:pPr>
        <w:tabs>
          <w:tab w:val="num" w:pos="0"/>
        </w:tabs>
        <w:ind w:left="1440" w:hanging="1440"/>
      </w:pPr>
    </w:lvl>
    <w:lvl w:ilvl="8">
      <w:start w:val="1"/>
      <w:numFmt w:val="none"/>
      <w:pStyle w:val="Nadpis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2655403">
    <w:abstractNumId w:val="0"/>
  </w:num>
  <w:num w:numId="2" w16cid:durableId="2101831461">
    <w:abstractNumId w:val="1"/>
  </w:num>
  <w:num w:numId="3" w16cid:durableId="832570677">
    <w:abstractNumId w:val="10"/>
  </w:num>
  <w:num w:numId="4" w16cid:durableId="60954395">
    <w:abstractNumId w:val="24"/>
  </w:num>
  <w:num w:numId="5" w16cid:durableId="377361481">
    <w:abstractNumId w:val="9"/>
  </w:num>
  <w:num w:numId="6" w16cid:durableId="1502311566">
    <w:abstractNumId w:val="23"/>
  </w:num>
  <w:num w:numId="7" w16cid:durableId="907303353">
    <w:abstractNumId w:val="27"/>
  </w:num>
  <w:num w:numId="8" w16cid:durableId="1269462149">
    <w:abstractNumId w:val="19"/>
  </w:num>
  <w:num w:numId="9" w16cid:durableId="1854686043">
    <w:abstractNumId w:val="6"/>
  </w:num>
  <w:num w:numId="10" w16cid:durableId="1020472814">
    <w:abstractNumId w:val="16"/>
  </w:num>
  <w:num w:numId="11" w16cid:durableId="1225264500">
    <w:abstractNumId w:val="20"/>
  </w:num>
  <w:num w:numId="12" w16cid:durableId="1405955915">
    <w:abstractNumId w:val="11"/>
  </w:num>
  <w:num w:numId="13" w16cid:durableId="421146774">
    <w:abstractNumId w:val="4"/>
  </w:num>
  <w:num w:numId="14" w16cid:durableId="815612645">
    <w:abstractNumId w:val="17"/>
  </w:num>
  <w:num w:numId="15" w16cid:durableId="270938523">
    <w:abstractNumId w:val="5"/>
  </w:num>
  <w:num w:numId="16" w16cid:durableId="866991553">
    <w:abstractNumId w:val="22"/>
  </w:num>
  <w:num w:numId="17" w16cid:durableId="1559391703">
    <w:abstractNumId w:val="3"/>
  </w:num>
  <w:num w:numId="18" w16cid:durableId="299964153">
    <w:abstractNumId w:val="18"/>
  </w:num>
  <w:num w:numId="19" w16cid:durableId="351958893">
    <w:abstractNumId w:val="2"/>
  </w:num>
  <w:num w:numId="20" w16cid:durableId="1924223732">
    <w:abstractNumId w:val="26"/>
  </w:num>
  <w:num w:numId="21" w16cid:durableId="528224110">
    <w:abstractNumId w:val="13"/>
  </w:num>
  <w:num w:numId="22" w16cid:durableId="756292171">
    <w:abstractNumId w:val="12"/>
  </w:num>
  <w:num w:numId="23" w16cid:durableId="1471246899">
    <w:abstractNumId w:val="25"/>
  </w:num>
  <w:num w:numId="24" w16cid:durableId="1503423686">
    <w:abstractNumId w:val="28"/>
  </w:num>
  <w:num w:numId="25" w16cid:durableId="1184321099">
    <w:abstractNumId w:val="7"/>
  </w:num>
  <w:num w:numId="26" w16cid:durableId="1306856786">
    <w:abstractNumId w:val="15"/>
  </w:num>
  <w:num w:numId="27" w16cid:durableId="731387310">
    <w:abstractNumId w:val="14"/>
  </w:num>
  <w:num w:numId="28" w16cid:durableId="1548571201">
    <w:abstractNumId w:val="21"/>
  </w:num>
  <w:num w:numId="29" w16cid:durableId="11804361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markup="0" w:inkAnnotations="0"/>
  <w:defaultTabStop w:val="720"/>
  <w:hyphenationZone w:val="425"/>
  <w:defaultTableStyle w:val="Normln"/>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qAbKCQ3wsAAAA"/>
  </w:docVars>
  <w:rsids>
    <w:rsidRoot w:val="008D09FF"/>
    <w:rsid w:val="000143B4"/>
    <w:rsid w:val="000157F7"/>
    <w:rsid w:val="000169FC"/>
    <w:rsid w:val="00026F62"/>
    <w:rsid w:val="0003210E"/>
    <w:rsid w:val="00033E1E"/>
    <w:rsid w:val="00043DD1"/>
    <w:rsid w:val="00044E03"/>
    <w:rsid w:val="000470B4"/>
    <w:rsid w:val="00051B13"/>
    <w:rsid w:val="0005499F"/>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30DC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C5059"/>
    <w:rsid w:val="003D2B08"/>
    <w:rsid w:val="003D6472"/>
    <w:rsid w:val="003E3CE3"/>
    <w:rsid w:val="003F321A"/>
    <w:rsid w:val="003F58CF"/>
    <w:rsid w:val="003F652C"/>
    <w:rsid w:val="003F6A34"/>
    <w:rsid w:val="004001C6"/>
    <w:rsid w:val="00404F5C"/>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64B86"/>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089A"/>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B551D"/>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5453B"/>
    <w:rsid w:val="00A60F2E"/>
    <w:rsid w:val="00A62491"/>
    <w:rsid w:val="00A630B9"/>
    <w:rsid w:val="00A654E6"/>
    <w:rsid w:val="00A7011E"/>
    <w:rsid w:val="00A70CE1"/>
    <w:rsid w:val="00A73945"/>
    <w:rsid w:val="00A74816"/>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0718"/>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4D8"/>
    <w:rsid w:val="00C57D30"/>
    <w:rsid w:val="00C66F95"/>
    <w:rsid w:val="00C73ADD"/>
    <w:rsid w:val="00C74D7D"/>
    <w:rsid w:val="00C8669D"/>
    <w:rsid w:val="00C8743A"/>
    <w:rsid w:val="00C919FB"/>
    <w:rsid w:val="00CA59F2"/>
    <w:rsid w:val="00CC3413"/>
    <w:rsid w:val="00CC671B"/>
    <w:rsid w:val="00CD2539"/>
    <w:rsid w:val="00CE356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453F"/>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5B85"/>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6143A"/>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 w:val="08F9C9DD"/>
    <w:rsid w:val="67F94E6B"/>
    <w:rsid w:val="6AE22B0F"/>
    <w:rsid w:val="7F15159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80E7478"/>
  <w15:chartTrackingRefBased/>
  <w15:docId w15:val="{9C56F966-BACD-42C7-9FEA-0C1D939DF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pPr>
      <w:suppressAutoHyphens/>
      <w:spacing w:line="360" w:lineRule="auto"/>
      <w:jc w:val="both"/>
    </w:pPr>
    <w:rPr>
      <w:rFonts w:eastAsia="Calibri"/>
      <w:color w:val="000000"/>
      <w:sz w:val="24"/>
      <w:szCs w:val="22"/>
      <w:lang w:val="en-GB" w:eastAsia="ar-SA"/>
    </w:rPr>
  </w:style>
  <w:style w:type="paragraph" w:styleId="Nadpis1">
    <w:name w:val="heading 1"/>
    <w:basedOn w:val="Normln"/>
    <w:next w:val="Normln"/>
    <w:qFormat/>
    <w:pPr>
      <w:keepNext/>
      <w:keepLines/>
      <w:numPr>
        <w:numId w:val="1"/>
      </w:numPr>
      <w:spacing w:before="113"/>
      <w:outlineLvl w:val="0"/>
    </w:pPr>
    <w:rPr>
      <w:rFonts w:eastAsia="Times New Roman"/>
      <w:b/>
      <w:bCs/>
      <w:sz w:val="28"/>
      <w:szCs w:val="28"/>
    </w:rPr>
  </w:style>
  <w:style w:type="paragraph" w:styleId="Nadpis2">
    <w:name w:val="heading 2"/>
    <w:basedOn w:val="Normln"/>
    <w:next w:val="Normln"/>
    <w:qFormat/>
    <w:pPr>
      <w:keepNext/>
      <w:keepLines/>
      <w:numPr>
        <w:ilvl w:val="1"/>
        <w:numId w:val="1"/>
      </w:numPr>
      <w:spacing w:before="113"/>
      <w:outlineLvl w:val="1"/>
    </w:pPr>
    <w:rPr>
      <w:rFonts w:eastAsia="Times New Roman"/>
      <w:bCs/>
      <w:szCs w:val="26"/>
      <w:u w:val="single"/>
    </w:rPr>
  </w:style>
  <w:style w:type="paragraph" w:styleId="Nadpis3">
    <w:name w:val="heading 3"/>
    <w:basedOn w:val="Heading"/>
    <w:next w:val="Zkladntext"/>
    <w:qFormat/>
    <w:pPr>
      <w:numPr>
        <w:ilvl w:val="2"/>
        <w:numId w:val="1"/>
      </w:numPr>
      <w:outlineLvl w:val="2"/>
    </w:pPr>
    <w:rPr>
      <w:b/>
      <w:bCs/>
    </w:rPr>
  </w:style>
  <w:style w:type="paragraph" w:styleId="Nadpis4">
    <w:name w:val="heading 4"/>
    <w:basedOn w:val="Heading"/>
    <w:next w:val="Zkladntext"/>
    <w:qFormat/>
    <w:pPr>
      <w:numPr>
        <w:ilvl w:val="3"/>
        <w:numId w:val="1"/>
      </w:numPr>
      <w:outlineLvl w:val="3"/>
    </w:pPr>
    <w:rPr>
      <w:b/>
      <w:bCs/>
      <w:i/>
      <w:iCs/>
      <w:sz w:val="24"/>
      <w:szCs w:val="24"/>
    </w:rPr>
  </w:style>
  <w:style w:type="paragraph" w:styleId="Nadpis5">
    <w:name w:val="heading 5"/>
    <w:basedOn w:val="Heading"/>
    <w:next w:val="Zkladntext"/>
    <w:qFormat/>
    <w:pPr>
      <w:numPr>
        <w:ilvl w:val="4"/>
        <w:numId w:val="1"/>
      </w:numPr>
      <w:outlineLvl w:val="4"/>
    </w:pPr>
    <w:rPr>
      <w:b/>
      <w:bCs/>
      <w:sz w:val="24"/>
      <w:szCs w:val="24"/>
    </w:rPr>
  </w:style>
  <w:style w:type="paragraph" w:styleId="Nadpis6">
    <w:name w:val="heading 6"/>
    <w:basedOn w:val="Heading"/>
    <w:next w:val="Zkladntext"/>
    <w:qFormat/>
    <w:pPr>
      <w:numPr>
        <w:ilvl w:val="5"/>
        <w:numId w:val="1"/>
      </w:numPr>
      <w:outlineLvl w:val="5"/>
    </w:pPr>
    <w:rPr>
      <w:b/>
      <w:bCs/>
      <w:sz w:val="21"/>
      <w:szCs w:val="21"/>
    </w:rPr>
  </w:style>
  <w:style w:type="paragraph" w:styleId="Nadpis7">
    <w:name w:val="heading 7"/>
    <w:basedOn w:val="Heading"/>
    <w:next w:val="Zkladntext"/>
    <w:qFormat/>
    <w:pPr>
      <w:numPr>
        <w:ilvl w:val="6"/>
        <w:numId w:val="1"/>
      </w:numPr>
      <w:outlineLvl w:val="6"/>
    </w:pPr>
    <w:rPr>
      <w:b/>
      <w:bCs/>
      <w:sz w:val="21"/>
      <w:szCs w:val="21"/>
    </w:rPr>
  </w:style>
  <w:style w:type="paragraph" w:styleId="Nadpis8">
    <w:name w:val="heading 8"/>
    <w:basedOn w:val="Heading"/>
    <w:next w:val="Zkladntext"/>
    <w:qFormat/>
    <w:pPr>
      <w:numPr>
        <w:ilvl w:val="7"/>
        <w:numId w:val="1"/>
      </w:numPr>
      <w:outlineLvl w:val="7"/>
    </w:pPr>
    <w:rPr>
      <w:b/>
      <w:bCs/>
      <w:sz w:val="21"/>
      <w:szCs w:val="21"/>
    </w:rPr>
  </w:style>
  <w:style w:type="paragraph" w:styleId="Nadpis9">
    <w:name w:val="heading 9"/>
    <w:basedOn w:val="Heading"/>
    <w:next w:val="Zkladntext"/>
    <w:qFormat/>
    <w:pPr>
      <w:numPr>
        <w:ilvl w:val="8"/>
        <w:numId w:val="1"/>
      </w:numPr>
      <w:outlineLvl w:val="8"/>
    </w:pPr>
    <w:rPr>
      <w:b/>
      <w:bCs/>
      <w:sz w:val="21"/>
      <w:szCs w:val="21"/>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DefaultParagraphFont0">
    <w:name w:val="Default Paragraph Font0"/>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textovodkaz">
    <w:name w:val="Hyperlink"/>
    <w:uiPriority w:val="99"/>
    <w:rPr>
      <w:color w:val="000080"/>
      <w:u w:val="single"/>
    </w:rPr>
  </w:style>
  <w:style w:type="character" w:styleId="Odkaznakoment">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iln">
    <w:name w:val="Strong"/>
    <w:uiPriority w:val="22"/>
    <w:qFormat/>
    <w:rPr>
      <w:b/>
      <w:bCs/>
    </w:rPr>
  </w:style>
  <w:style w:type="character" w:customStyle="1" w:styleId="FootnoteCharacters">
    <w:name w:val="Footnote Characters"/>
  </w:style>
  <w:style w:type="character" w:styleId="Znakapoznpodarou">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ln"/>
    <w:next w:val="Zkladntext"/>
    <w:pPr>
      <w:keepNext/>
      <w:spacing w:before="240" w:after="120"/>
    </w:pPr>
    <w:rPr>
      <w:rFonts w:ascii="Arial" w:eastAsia="Droid Sans" w:hAnsi="Arial" w:cs="DejaVu Sans"/>
      <w:sz w:val="28"/>
      <w:szCs w:val="28"/>
    </w:rPr>
  </w:style>
  <w:style w:type="paragraph" w:styleId="Zkladntext">
    <w:name w:val="Body Text"/>
    <w:basedOn w:val="Normln"/>
  </w:style>
  <w:style w:type="paragraph" w:styleId="Seznam">
    <w:name w:val="List"/>
    <w:basedOn w:val="Zkladntext"/>
    <w:rPr>
      <w:rFonts w:cs="DejaVu Sans"/>
    </w:rPr>
  </w:style>
  <w:style w:type="paragraph" w:styleId="Titulek">
    <w:name w:val="caption"/>
    <w:basedOn w:val="Normln"/>
    <w:qFormat/>
    <w:pPr>
      <w:suppressLineNumbers/>
      <w:spacing w:before="120" w:after="120"/>
    </w:pPr>
    <w:rPr>
      <w:rFonts w:cs="DejaVu Sans"/>
      <w:i/>
      <w:iCs/>
      <w:szCs w:val="24"/>
    </w:rPr>
  </w:style>
  <w:style w:type="paragraph" w:customStyle="1" w:styleId="Index">
    <w:name w:val="Index"/>
    <w:basedOn w:val="Normln"/>
    <w:pPr>
      <w:suppressLineNumbers/>
    </w:pPr>
    <w:rPr>
      <w:rFonts w:cs="DejaVu Sans"/>
    </w:rPr>
  </w:style>
  <w:style w:type="paragraph" w:styleId="Zhlav">
    <w:name w:val="header"/>
    <w:basedOn w:val="Normln"/>
    <w:pPr>
      <w:tabs>
        <w:tab w:val="center" w:pos="4680"/>
        <w:tab w:val="right" w:pos="9360"/>
      </w:tabs>
      <w:spacing w:line="240" w:lineRule="auto"/>
    </w:pPr>
  </w:style>
  <w:style w:type="paragraph" w:styleId="Zpat">
    <w:name w:val="footer"/>
    <w:basedOn w:val="Normln"/>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Bezmezer">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ln"/>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ln"/>
    <w:rPr>
      <w:rFonts w:ascii="DejaVu Sans Mono" w:eastAsia="Droid Sans" w:hAnsi="DejaVu Sans Mono" w:cs="DejaVu Sans Mono"/>
      <w:sz w:val="20"/>
      <w:szCs w:val="20"/>
    </w:rPr>
  </w:style>
  <w:style w:type="paragraph" w:styleId="Odstavecseseznamem">
    <w:name w:val="List Paragraph"/>
    <w:basedOn w:val="Normln"/>
    <w:qFormat/>
  </w:style>
  <w:style w:type="paragraph" w:styleId="Obsah1">
    <w:name w:val="toc 1"/>
    <w:basedOn w:val="Index"/>
    <w:uiPriority w:val="39"/>
    <w:pPr>
      <w:tabs>
        <w:tab w:val="right" w:leader="dot" w:pos="9360"/>
      </w:tabs>
    </w:pPr>
  </w:style>
  <w:style w:type="paragraph" w:styleId="Obsah2">
    <w:name w:val="toc 2"/>
    <w:basedOn w:val="Index"/>
    <w:uiPriority w:val="39"/>
    <w:pPr>
      <w:tabs>
        <w:tab w:val="right" w:leader="dot" w:pos="9077"/>
      </w:tabs>
      <w:ind w:left="283"/>
    </w:pPr>
  </w:style>
  <w:style w:type="paragraph" w:styleId="Obsah3">
    <w:name w:val="toc 3"/>
    <w:basedOn w:val="Index"/>
    <w:pPr>
      <w:tabs>
        <w:tab w:val="right" w:leader="dot" w:pos="9072"/>
      </w:tabs>
      <w:ind w:left="566"/>
    </w:pPr>
  </w:style>
  <w:style w:type="paragraph" w:styleId="Obsah4">
    <w:name w:val="toc 4"/>
    <w:basedOn w:val="Index"/>
    <w:pPr>
      <w:tabs>
        <w:tab w:val="right" w:leader="dot" w:pos="8789"/>
      </w:tabs>
      <w:ind w:left="849"/>
    </w:pPr>
  </w:style>
  <w:style w:type="paragraph" w:styleId="Obsah5">
    <w:name w:val="toc 5"/>
    <w:basedOn w:val="Index"/>
    <w:pPr>
      <w:tabs>
        <w:tab w:val="right" w:leader="dot" w:pos="8506"/>
      </w:tabs>
      <w:ind w:left="1132"/>
    </w:pPr>
  </w:style>
  <w:style w:type="paragraph" w:styleId="Obsah6">
    <w:name w:val="toc 6"/>
    <w:basedOn w:val="Index"/>
    <w:pPr>
      <w:tabs>
        <w:tab w:val="right" w:leader="dot" w:pos="8223"/>
      </w:tabs>
      <w:ind w:left="1415"/>
    </w:pPr>
  </w:style>
  <w:style w:type="paragraph" w:styleId="Obsah7">
    <w:name w:val="toc 7"/>
    <w:basedOn w:val="Index"/>
    <w:pPr>
      <w:tabs>
        <w:tab w:val="right" w:leader="dot" w:pos="7940"/>
      </w:tabs>
      <w:ind w:left="1698"/>
    </w:pPr>
  </w:style>
  <w:style w:type="paragraph" w:styleId="Obsah8">
    <w:name w:val="toc 8"/>
    <w:basedOn w:val="Index"/>
    <w:pPr>
      <w:tabs>
        <w:tab w:val="right" w:leader="dot" w:pos="7657"/>
      </w:tabs>
      <w:ind w:left="1981"/>
    </w:pPr>
  </w:style>
  <w:style w:type="paragraph" w:styleId="Obsah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poznpodarou">
    <w:name w:val="footnote text"/>
    <w:basedOn w:val="Normln"/>
    <w:pPr>
      <w:suppressLineNumbers/>
      <w:ind w:left="283" w:hanging="283"/>
    </w:pPr>
    <w:rPr>
      <w:sz w:val="20"/>
      <w:szCs w:val="20"/>
    </w:rPr>
  </w:style>
  <w:style w:type="paragraph" w:styleId="Nzev">
    <w:name w:val="Title"/>
    <w:basedOn w:val="Normln"/>
    <w:next w:val="Normln"/>
    <w:qFormat/>
    <w:pPr>
      <w:spacing w:before="240" w:after="60"/>
      <w:jc w:val="center"/>
    </w:pPr>
    <w:rPr>
      <w:rFonts w:ascii="Cambria" w:eastAsia="Times New Roman" w:hAnsi="Cambria"/>
      <w:b/>
      <w:bCs/>
      <w:kern w:val="1"/>
      <w:sz w:val="32"/>
      <w:szCs w:val="32"/>
    </w:rPr>
  </w:style>
  <w:style w:type="paragraph" w:styleId="Podnadpis">
    <w:name w:val="Subtitle"/>
    <w:basedOn w:val="Heading"/>
    <w:next w:val="Zkladntext"/>
    <w:qFormat/>
    <w:pPr>
      <w:jc w:val="center"/>
    </w:pPr>
    <w:rPr>
      <w:i/>
      <w:iCs/>
    </w:rPr>
  </w:style>
  <w:style w:type="paragraph" w:styleId="Normlnweb">
    <w:name w:val="Normal (Web)"/>
    <w:basedOn w:val="Normln"/>
    <w:uiPriority w:val="99"/>
    <w:pPr>
      <w:spacing w:line="100" w:lineRule="atLeast"/>
    </w:pPr>
    <w:rPr>
      <w:szCs w:val="24"/>
    </w:rPr>
  </w:style>
  <w:style w:type="paragraph" w:customStyle="1" w:styleId="Heading10">
    <w:name w:val="Heading 10"/>
    <w:basedOn w:val="Heading"/>
    <w:next w:val="Zkladntext"/>
    <w:pPr>
      <w:numPr>
        <w:numId w:val="2"/>
      </w:numPr>
    </w:pPr>
    <w:rPr>
      <w:b/>
      <w:bCs/>
      <w:sz w:val="21"/>
      <w:szCs w:val="21"/>
    </w:rPr>
  </w:style>
  <w:style w:type="table" w:styleId="Mkatabulky">
    <w:name w:val="Table Grid"/>
    <w:basedOn w:val="Normlntabulka"/>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rosttabulka1">
    <w:name w:val="Plain Table 1"/>
    <w:basedOn w:val="Normlntabulka"/>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Zdraznn">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Nevyeenzmnka">
    <w:name w:val="Unresolved Mention"/>
    <w:uiPriority w:val="99"/>
    <w:semiHidden/>
    <w:unhideWhenUsed/>
    <w:rsid w:val="003F6A34"/>
    <w:rPr>
      <w:color w:val="605E5C"/>
      <w:shd w:val="clear" w:color="auto" w:fill="E1DFDD"/>
    </w:rPr>
  </w:style>
  <w:style w:type="paragraph" w:styleId="Seznamobrzk">
    <w:name w:val="table of figures"/>
    <w:basedOn w:val="Normln"/>
    <w:next w:val="Normln"/>
    <w:uiPriority w:val="99"/>
    <w:unhideWhenUsed/>
    <w:rsid w:val="00DE64C4"/>
  </w:style>
  <w:style w:type="character" w:styleId="Sledovanodkaz">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8973910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05972250">
      <w:bodyDiv w:val="1"/>
      <w:marLeft w:val="0"/>
      <w:marRight w:val="0"/>
      <w:marTop w:val="0"/>
      <w:marBottom w:val="0"/>
      <w:divBdr>
        <w:top w:val="none" w:sz="0" w:space="0" w:color="auto"/>
        <w:left w:val="none" w:sz="0" w:space="0" w:color="auto"/>
        <w:bottom w:val="none" w:sz="0" w:space="0" w:color="auto"/>
        <w:right w:val="none" w:sz="0" w:space="0" w:color="auto"/>
      </w:divBdr>
    </w:div>
    <w:div w:id="127011425">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223567916">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5829319">
      <w:bodyDiv w:val="1"/>
      <w:marLeft w:val="0"/>
      <w:marRight w:val="0"/>
      <w:marTop w:val="0"/>
      <w:marBottom w:val="0"/>
      <w:divBdr>
        <w:top w:val="none" w:sz="0" w:space="0" w:color="auto"/>
        <w:left w:val="none" w:sz="0" w:space="0" w:color="auto"/>
        <w:bottom w:val="none" w:sz="0" w:space="0" w:color="auto"/>
        <w:right w:val="none" w:sz="0" w:space="0" w:color="auto"/>
      </w:divBdr>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15388356">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84423549">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798643736">
      <w:bodyDiv w:val="1"/>
      <w:marLeft w:val="0"/>
      <w:marRight w:val="0"/>
      <w:marTop w:val="0"/>
      <w:marBottom w:val="0"/>
      <w:divBdr>
        <w:top w:val="none" w:sz="0" w:space="0" w:color="auto"/>
        <w:left w:val="none" w:sz="0" w:space="0" w:color="auto"/>
        <w:bottom w:val="none" w:sz="0" w:space="0" w:color="auto"/>
        <w:right w:val="none" w:sz="0" w:space="0" w:color="auto"/>
      </w:divBdr>
      <w:divsChild>
        <w:div w:id="1445229729">
          <w:marLeft w:val="0"/>
          <w:marRight w:val="0"/>
          <w:marTop w:val="0"/>
          <w:marBottom w:val="0"/>
          <w:divBdr>
            <w:top w:val="none" w:sz="0" w:space="0" w:color="auto"/>
            <w:left w:val="none" w:sz="0" w:space="0" w:color="auto"/>
            <w:bottom w:val="none" w:sz="0" w:space="0" w:color="auto"/>
            <w:right w:val="none" w:sz="0" w:space="0" w:color="auto"/>
          </w:divBdr>
        </w:div>
      </w:divsChild>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037923564">
      <w:bodyDiv w:val="1"/>
      <w:marLeft w:val="0"/>
      <w:marRight w:val="0"/>
      <w:marTop w:val="0"/>
      <w:marBottom w:val="0"/>
      <w:divBdr>
        <w:top w:val="none" w:sz="0" w:space="0" w:color="auto"/>
        <w:left w:val="none" w:sz="0" w:space="0" w:color="auto"/>
        <w:bottom w:val="none" w:sz="0" w:space="0" w:color="auto"/>
        <w:right w:val="none" w:sz="0" w:space="0" w:color="auto"/>
      </w:divBdr>
    </w:div>
    <w:div w:id="2107076014">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9-021-10630-1" TargetMode="External"/><Relationship Id="rId13" Type="http://schemas.openxmlformats.org/officeDocument/2006/relationships/hyperlink" Target="https://doi.org/10.1186/s12909-023-04730-2"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doi.org/10.1136/bmj.h5727"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35680/2372-0247.180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gh-2020-00333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86/s12910-024-01133-w" TargetMode="External"/><Relationship Id="rId23" Type="http://schemas.openxmlformats.org/officeDocument/2006/relationships/fontTable" Target="fontTable.xml"/><Relationship Id="rId10" Type="http://schemas.openxmlformats.org/officeDocument/2006/relationships/hyperlink" Target="https://doi.org/10.5334/ijic.4722"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11/jan.15865" TargetMode="External"/><Relationship Id="rId14" Type="http://schemas.openxmlformats.org/officeDocument/2006/relationships/hyperlink" Target="https://doi.org/10.3390/medicina46090084"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F3C83-53C7-411B-B588-44A9B431B6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2304</Words>
  <Characters>13598</Characters>
  <Application>Microsoft Office Word</Application>
  <DocSecurity>0</DocSecurity>
  <Lines>113</Lines>
  <Paragraphs>31</Paragraphs>
  <ScaleCrop>false</ScaleCrop>
  <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Karin Tokarova (2414165)</cp:lastModifiedBy>
  <cp:revision>2</cp:revision>
  <cp:lastPrinted>1900-01-01T08:00:00Z</cp:lastPrinted>
  <dcterms:created xsi:type="dcterms:W3CDTF">2025-10-24T14:55:00Z</dcterms:created>
  <dcterms:modified xsi:type="dcterms:W3CDTF">2025-10-24T14:55:00Z</dcterms:modified>
</cp:coreProperties>
</file>