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91777851"/>
        <w:docPartObj>
          <w:docPartGallery w:val="Cover Pages"/>
          <w:docPartUnique/>
        </w:docPartObj>
      </w:sdtPr>
      <w:sdtEndPr>
        <w:rPr>
          <w:b/>
          <w:bCs/>
        </w:rPr>
      </w:sdtEndPr>
      <w:sdtContent>
        <w:p w14:paraId="4990DC76" w14:textId="6034E81F" w:rsidR="00D764F5" w:rsidRPr="00D764F5" w:rsidRDefault="00D764F5" w:rsidP="00D764F5">
          <w:r>
            <w:rPr>
              <w:noProof/>
            </w:rPr>
            <mc:AlternateContent>
              <mc:Choice Requires="wpg">
                <w:drawing>
                  <wp:anchor distT="0" distB="0" distL="114300" distR="114300" simplePos="0" relativeHeight="251662336" behindDoc="0" locked="0" layoutInCell="1" allowOverlap="1" wp14:anchorId="137B8396" wp14:editId="0473DAD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0DF2F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tbl>
          <w:tblPr>
            <w:tblStyle w:val="TableGrid"/>
            <w:tblpPr w:leftFromText="180" w:rightFromText="180" w:vertAnchor="text" w:horzAnchor="margin" w:tblpXSpec="center" w:tblpY="816"/>
            <w:tblW w:w="9924" w:type="dxa"/>
            <w:tblInd w:w="0" w:type="dxa"/>
            <w:tblCellMar>
              <w:top w:w="10" w:type="dxa"/>
              <w:left w:w="106" w:type="dxa"/>
              <w:right w:w="45" w:type="dxa"/>
            </w:tblCellMar>
            <w:tblLook w:val="04A0" w:firstRow="1" w:lastRow="0" w:firstColumn="1" w:lastColumn="0" w:noHBand="0" w:noVBand="1"/>
          </w:tblPr>
          <w:tblGrid>
            <w:gridCol w:w="2091"/>
            <w:gridCol w:w="3297"/>
            <w:gridCol w:w="2265"/>
            <w:gridCol w:w="2271"/>
          </w:tblGrid>
          <w:tr w:rsidR="00D764F5" w14:paraId="482888B6" w14:textId="77777777" w:rsidTr="00D764F5">
            <w:trPr>
              <w:trHeight w:val="541"/>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0537D3" w14:textId="77777777" w:rsidR="00D764F5" w:rsidRDefault="00D764F5" w:rsidP="00D764F5">
                <w:r>
                  <w:rPr>
                    <w:rFonts w:ascii="Arial" w:eastAsia="Arial" w:hAnsi="Arial" w:cs="Arial"/>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hideMark/>
              </w:tcPr>
              <w:p w14:paraId="373B955C" w14:textId="3119968B" w:rsidR="00D764F5" w:rsidRPr="00E70C62" w:rsidRDefault="00D764F5" w:rsidP="00D764F5">
                <w:pPr>
                  <w:spacing w:before="240" w:after="100" w:afterAutospacing="1" w:line="360" w:lineRule="auto"/>
                  <w:jc w:val="both"/>
                  <w:rPr>
                    <w:rFonts w:eastAsiaTheme="minorHAnsi" w:cs="Times New Roman"/>
                    <w:b/>
                    <w:bCs/>
                    <w:i/>
                    <w:iCs/>
                    <w:color w:val="BFBFBF" w:themeColor="background1" w:themeShade="BF"/>
                    <w:sz w:val="22"/>
                    <w:lang w:eastAsia="en-US"/>
                  </w:rPr>
                </w:pPr>
                <w:r w:rsidRPr="00E70C62">
                  <w:rPr>
                    <w:rFonts w:ascii="Arial" w:eastAsia="Arial" w:hAnsi="Arial" w:cs="Arial"/>
                    <w:b/>
                    <w:bCs/>
                  </w:rPr>
                  <w:t xml:space="preserve">      </w:t>
                </w:r>
                <w:r w:rsidRPr="00E70C62">
                  <w:rPr>
                    <w:rFonts w:eastAsia="Times New Roman" w:cs="Times New Roman"/>
                    <w:b/>
                    <w:bCs/>
                    <w:sz w:val="22"/>
                  </w:rPr>
                  <w:t xml:space="preserve"> </w:t>
                </w:r>
                <w:r w:rsidRPr="00E70C62">
                  <w:rPr>
                    <w:rFonts w:cs="Times New Roman"/>
                    <w:b/>
                    <w:bCs/>
                    <w:szCs w:val="24"/>
                  </w:rPr>
                  <w:t>Gheorghe Plescan</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3DDBFFE" w14:textId="77777777" w:rsidR="00D764F5" w:rsidRDefault="00D764F5" w:rsidP="00D764F5">
                <w:pPr>
                  <w:ind w:left="1"/>
                  <w:jc w:val="both"/>
                </w:pPr>
                <w:r>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hideMark/>
              </w:tcPr>
              <w:p w14:paraId="31EB7DF3" w14:textId="77777777" w:rsidR="00D764F5" w:rsidRDefault="00D764F5" w:rsidP="00D764F5">
                <w:pPr>
                  <w:keepNext/>
                  <w:spacing w:before="120" w:afterAutospacing="1" w:line="276" w:lineRule="auto"/>
                  <w:jc w:val="both"/>
                  <w:rPr>
                    <w:rFonts w:eastAsia="Arial" w:cs="Arial"/>
                    <w:b/>
                    <w:lang w:eastAsia="en-US"/>
                  </w:rPr>
                </w:pPr>
                <w:r>
                  <w:rPr>
                    <w:rFonts w:ascii="Arial" w:eastAsia="Arial" w:hAnsi="Arial" w:cs="Arial"/>
                    <w:b/>
                  </w:rPr>
                  <w:t xml:space="preserve"> </w:t>
                </w:r>
              </w:p>
              <w:p w14:paraId="3DB123F2" w14:textId="565C6715" w:rsidR="00D764F5" w:rsidRPr="00E70C62" w:rsidRDefault="00D764F5" w:rsidP="00D764F5">
                <w:pPr>
                  <w:keepNext/>
                  <w:spacing w:before="120" w:after="0" w:line="276" w:lineRule="auto"/>
                  <w:rPr>
                    <w:rFonts w:cs="Times New Roman"/>
                    <w:b/>
                    <w:bCs/>
                    <w:noProof/>
                    <w:color w:val="000000" w:themeColor="text1"/>
                    <w:sz w:val="22"/>
                    <w:lang w:eastAsia="en-GB"/>
                  </w:rPr>
                </w:pPr>
                <w:r w:rsidRPr="00E70C62">
                  <w:rPr>
                    <w:rFonts w:cs="Times New Roman"/>
                    <w:b/>
                    <w:bCs/>
                    <w:szCs w:val="24"/>
                  </w:rPr>
                  <w:t>2234901</w:t>
                </w:r>
              </w:p>
              <w:p w14:paraId="6D1B3761" w14:textId="4FBCBF66" w:rsidR="00D764F5" w:rsidRDefault="00D764F5" w:rsidP="00D764F5">
                <w:pPr>
                  <w:ind w:left="5"/>
                </w:pPr>
              </w:p>
            </w:tc>
          </w:tr>
          <w:tr w:rsidR="00D764F5" w14:paraId="1790F55E" w14:textId="77777777" w:rsidTr="00D764F5">
            <w:trPr>
              <w:trHeight w:val="540"/>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6118D5A" w14:textId="77777777" w:rsidR="00D764F5" w:rsidRDefault="00D764F5" w:rsidP="00D764F5">
                <w:r>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hideMark/>
              </w:tcPr>
              <w:p w14:paraId="7A688A5C" w14:textId="77777777" w:rsidR="00D764F5" w:rsidRDefault="00D764F5" w:rsidP="00D764F5">
                <w:pPr>
                  <w:ind w:left="2"/>
                </w:pPr>
                <w:r>
                  <w:rPr>
                    <w:rFonts w:ascii="Arial" w:eastAsia="Arial" w:hAnsi="Arial" w:cs="Arial"/>
                    <w:b/>
                  </w:rPr>
                  <w:t xml:space="preserve">BA (Hons) International Hotel Management </w:t>
                </w:r>
              </w:p>
            </w:tc>
          </w:tr>
          <w:tr w:rsidR="00D764F5" w14:paraId="516BBA7F" w14:textId="77777777" w:rsidTr="00D764F5">
            <w:trPr>
              <w:trHeight w:val="912"/>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2F21DA10" w14:textId="77777777" w:rsidR="00D764F5" w:rsidRDefault="00D764F5" w:rsidP="00D764F5">
                <w:r>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hideMark/>
              </w:tcPr>
              <w:p w14:paraId="40B75328" w14:textId="77777777" w:rsidR="00D764F5" w:rsidRDefault="00D764F5" w:rsidP="00D764F5">
                <w:pPr>
                  <w:spacing w:after="215"/>
                  <w:ind w:left="2"/>
                  <w:jc w:val="center"/>
                </w:pPr>
                <w:r>
                  <w:rPr>
                    <w:rFonts w:ascii="Arial" w:eastAsia="Arial" w:hAnsi="Arial" w:cs="Arial"/>
                    <w:b/>
                  </w:rPr>
                  <w:t>Personnel Resourcing and Development</w:t>
                </w:r>
              </w:p>
              <w:p w14:paraId="53FDF9F9" w14:textId="77777777" w:rsidR="00D764F5" w:rsidRDefault="00D764F5" w:rsidP="00D764F5">
                <w:pPr>
                  <w:ind w:left="2"/>
                </w:pPr>
                <w:r>
                  <w:rPr>
                    <w:rFonts w:ascii="Arial" w:eastAsia="Arial" w:hAnsi="Arial" w:cs="Arial"/>
                    <w:b/>
                  </w:rPr>
                  <w:t xml:space="preserve"> </w:t>
                </w:r>
              </w:p>
            </w:tc>
          </w:tr>
          <w:tr w:rsidR="00D764F5" w14:paraId="57F238C6" w14:textId="77777777" w:rsidTr="00D764F5">
            <w:trPr>
              <w:trHeight w:val="1184"/>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2CDE6956" w14:textId="77777777" w:rsidR="00D764F5" w:rsidRDefault="00D764F5" w:rsidP="00D764F5">
                <w:r>
                  <w:rPr>
                    <w:rFonts w:ascii="Arial" w:eastAsia="Arial" w:hAnsi="Arial" w:cs="Arial"/>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hideMark/>
              </w:tcPr>
              <w:p w14:paraId="6B7BE1DB" w14:textId="77777777" w:rsidR="00D764F5" w:rsidRDefault="00D764F5" w:rsidP="00D764F5">
                <w:pPr>
                  <w:ind w:left="2"/>
                </w:pPr>
                <w:r>
                  <w:rPr>
                    <w:rFonts w:ascii="Arial" w:eastAsia="Arial" w:hAnsi="Arial" w:cs="Arial"/>
                    <w:b/>
                  </w:rPr>
                  <w:t xml:space="preserve">BMIH5005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bottom"/>
                <w:hideMark/>
              </w:tcPr>
              <w:p w14:paraId="0A9471B1" w14:textId="77777777" w:rsidR="00D764F5" w:rsidRDefault="00D764F5" w:rsidP="00D764F5">
                <w:pPr>
                  <w:spacing w:after="3" w:line="273" w:lineRule="auto"/>
                  <w:ind w:left="1"/>
                </w:pPr>
                <w:r>
                  <w:rPr>
                    <w:rFonts w:ascii="Arial" w:eastAsia="Arial" w:hAnsi="Arial" w:cs="Arial"/>
                    <w:b/>
                    <w:i/>
                  </w:rPr>
                  <w:t xml:space="preserve">Contribution to Overall Module </w:t>
                </w:r>
              </w:p>
              <w:p w14:paraId="7BDA52C3" w14:textId="77777777" w:rsidR="00D764F5" w:rsidRDefault="00D764F5" w:rsidP="00D764F5">
                <w:pPr>
                  <w:ind w:left="1"/>
                </w:pPr>
                <w:r>
                  <w:rPr>
                    <w:rFonts w:ascii="Arial" w:eastAsia="Arial" w:hAnsi="Arial" w:cs="Arial"/>
                    <w:b/>
                    <w:i/>
                  </w:rPr>
                  <w:t xml:space="preserve">Assessment (%): </w:t>
                </w:r>
              </w:p>
            </w:tc>
            <w:tc>
              <w:tcPr>
                <w:tcW w:w="2271" w:type="dxa"/>
                <w:tcBorders>
                  <w:top w:val="single" w:sz="4" w:space="0" w:color="000000"/>
                  <w:left w:val="single" w:sz="4" w:space="0" w:color="000000"/>
                  <w:bottom w:val="single" w:sz="4" w:space="0" w:color="000000"/>
                  <w:right w:val="single" w:sz="4" w:space="0" w:color="000000"/>
                </w:tcBorders>
                <w:hideMark/>
              </w:tcPr>
              <w:p w14:paraId="01A5FD47" w14:textId="77777777" w:rsidR="00D764F5" w:rsidRDefault="00D764F5" w:rsidP="00D764F5">
                <w:pPr>
                  <w:ind w:left="5"/>
                </w:pPr>
                <w:r>
                  <w:rPr>
                    <w:rFonts w:ascii="Arial" w:eastAsia="Arial" w:hAnsi="Arial" w:cs="Arial"/>
                    <w:b/>
                  </w:rPr>
                  <w:t xml:space="preserve">50 </w:t>
                </w:r>
              </w:p>
            </w:tc>
          </w:tr>
          <w:tr w:rsidR="00D764F5" w14:paraId="1703036E" w14:textId="77777777" w:rsidTr="00D764F5">
            <w:trPr>
              <w:trHeight w:val="794"/>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0278F5AD" w14:textId="77777777" w:rsidR="00D764F5" w:rsidRDefault="00D764F5" w:rsidP="00D764F5">
                <w:r>
                  <w:rPr>
                    <w:rFonts w:ascii="Arial" w:eastAsia="Arial" w:hAnsi="Arial" w:cs="Arial"/>
                    <w:b/>
                  </w:rPr>
                  <w:t xml:space="preserve">Lecturer: </w:t>
                </w:r>
              </w:p>
            </w:tc>
            <w:tc>
              <w:tcPr>
                <w:tcW w:w="3297" w:type="dxa"/>
                <w:tcBorders>
                  <w:top w:val="single" w:sz="4" w:space="0" w:color="000000"/>
                  <w:left w:val="single" w:sz="4" w:space="0" w:color="000000"/>
                  <w:bottom w:val="single" w:sz="4" w:space="0" w:color="000000"/>
                  <w:right w:val="single" w:sz="4" w:space="0" w:color="000000"/>
                </w:tcBorders>
                <w:hideMark/>
              </w:tcPr>
              <w:p w14:paraId="7575A272" w14:textId="77777777" w:rsidR="00D764F5" w:rsidRDefault="00D764F5" w:rsidP="00D764F5">
                <w:pPr>
                  <w:spacing w:after="98"/>
                  <w:ind w:left="2"/>
                </w:pPr>
                <w:r>
                  <w:rPr>
                    <w:rFonts w:ascii="Arial" w:eastAsia="Arial" w:hAnsi="Arial" w:cs="Arial"/>
                    <w:b/>
                  </w:rPr>
                  <w:t xml:space="preserve">Helen Lee  </w:t>
                </w:r>
              </w:p>
              <w:p w14:paraId="3CE5DCE3" w14:textId="77777777" w:rsidR="00D764F5" w:rsidRDefault="00D764F5" w:rsidP="00D764F5">
                <w:pPr>
                  <w:ind w:left="2"/>
                </w:pPr>
                <w:r>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hideMark/>
              </w:tcPr>
              <w:p w14:paraId="5957C967" w14:textId="77777777" w:rsidR="00D764F5" w:rsidRDefault="00D764F5" w:rsidP="00D764F5">
                <w:pPr>
                  <w:ind w:left="1"/>
                </w:pPr>
                <w:r>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hideMark/>
              </w:tcPr>
              <w:p w14:paraId="17D66590" w14:textId="77777777" w:rsidR="00D764F5" w:rsidRDefault="00D764F5" w:rsidP="00D764F5">
                <w:pPr>
                  <w:ind w:left="5"/>
                </w:pPr>
                <w:r>
                  <w:rPr>
                    <w:rFonts w:ascii="Arial" w:eastAsia="Arial" w:hAnsi="Arial" w:cs="Arial"/>
                    <w:b/>
                  </w:rPr>
                  <w:t xml:space="preserve">Kathryn Roberts </w:t>
                </w:r>
              </w:p>
            </w:tc>
          </w:tr>
          <w:tr w:rsidR="00D764F5" w14:paraId="53B8E9C6" w14:textId="77777777" w:rsidTr="00D764F5">
            <w:trPr>
              <w:trHeight w:val="3852"/>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69A75CB0" w14:textId="77777777" w:rsidR="00D764F5" w:rsidRDefault="00D764F5" w:rsidP="00D764F5">
                <w:pPr>
                  <w:jc w:val="both"/>
                </w:pPr>
                <w:r>
                  <w:rPr>
                    <w:rFonts w:ascii="Arial" w:eastAsia="Arial" w:hAnsi="Arial" w:cs="Arial"/>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hideMark/>
              </w:tcPr>
              <w:p w14:paraId="549BC1F3" w14:textId="77777777" w:rsidR="00D764F5" w:rsidRDefault="00D764F5" w:rsidP="00D764F5">
                <w:pPr>
                  <w:spacing w:after="102" w:line="360" w:lineRule="auto"/>
                  <w:ind w:left="2" w:right="66"/>
                  <w:jc w:val="both"/>
                </w:pPr>
                <w:r>
                  <w:rPr>
                    <w:rFonts w:ascii="Arial" w:eastAsia="Arial" w:hAnsi="Arial" w:cs="Arial"/>
                    <w:b/>
                  </w:rPr>
                  <w:t xml:space="preserve">Essay:  Discuss how the evolution of HRM facilitates the strategic development of an international hotel brand through workforce planning, recruitment and selection.  </w:t>
                </w:r>
              </w:p>
              <w:p w14:paraId="766C6456" w14:textId="77777777" w:rsidR="00D764F5" w:rsidRDefault="00D764F5" w:rsidP="00D764F5">
                <w:pPr>
                  <w:ind w:left="2"/>
                </w:pPr>
                <w:r>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hideMark/>
              </w:tcPr>
              <w:p w14:paraId="37522803" w14:textId="77777777" w:rsidR="00D764F5" w:rsidRDefault="00D764F5" w:rsidP="00D764F5">
                <w:pPr>
                  <w:ind w:left="1"/>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hideMark/>
              </w:tcPr>
              <w:p w14:paraId="35D54DDE" w14:textId="77777777" w:rsidR="00D764F5" w:rsidRDefault="00D764F5" w:rsidP="00D764F5">
                <w:pPr>
                  <w:ind w:left="5"/>
                </w:pPr>
              </w:p>
              <w:p w14:paraId="00D5940F" w14:textId="77777777" w:rsidR="00D764F5" w:rsidRDefault="00D764F5" w:rsidP="00D764F5">
                <w:pPr>
                  <w:ind w:left="5"/>
                </w:pPr>
              </w:p>
              <w:p w14:paraId="65D5BCCD" w14:textId="46B4DFB9" w:rsidR="00D764F5" w:rsidRPr="00D764F5" w:rsidRDefault="00D764F5" w:rsidP="00D764F5">
                <w:pPr>
                  <w:ind w:left="5"/>
                  <w:rPr>
                    <w:b/>
                    <w:bCs/>
                  </w:rPr>
                </w:pPr>
                <w:r w:rsidRPr="00D764F5">
                  <w:rPr>
                    <w:b/>
                    <w:bCs/>
                  </w:rPr>
                  <w:t>2141</w:t>
                </w:r>
              </w:p>
            </w:tc>
          </w:tr>
          <w:tr w:rsidR="00D764F5" w14:paraId="515916C9" w14:textId="77777777" w:rsidTr="00D764F5">
            <w:trPr>
              <w:trHeight w:val="1591"/>
            </w:trPr>
            <w:tc>
              <w:tcPr>
                <w:tcW w:w="2091" w:type="dxa"/>
                <w:tcBorders>
                  <w:top w:val="single" w:sz="4" w:space="0" w:color="000000"/>
                  <w:left w:val="single" w:sz="4" w:space="0" w:color="000000"/>
                  <w:bottom w:val="single" w:sz="4" w:space="0" w:color="000000"/>
                  <w:right w:val="single" w:sz="4" w:space="0" w:color="000000"/>
                </w:tcBorders>
                <w:shd w:val="clear" w:color="auto" w:fill="D9D9D9"/>
                <w:hideMark/>
              </w:tcPr>
              <w:p w14:paraId="77ED40F2" w14:textId="77777777" w:rsidR="00D764F5" w:rsidRDefault="00D764F5" w:rsidP="00D764F5">
                <w:r>
                  <w:rPr>
                    <w:rFonts w:ascii="Arial" w:eastAsia="Arial" w:hAnsi="Arial" w:cs="Arial"/>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hideMark/>
              </w:tcPr>
              <w:p w14:paraId="63E172F5" w14:textId="77777777" w:rsidR="00D764F5" w:rsidRDefault="00D764F5" w:rsidP="00D764F5">
                <w:pPr>
                  <w:ind w:left="2"/>
                  <w:jc w:val="both"/>
                </w:pPr>
                <w:r>
                  <w:rPr>
                    <w:rFonts w:ascii="Arial" w:eastAsia="Arial" w:hAnsi="Arial" w:cs="Arial"/>
                    <w:b/>
                  </w:rPr>
                  <w:t>Monday 5</w:t>
                </w:r>
                <w:r>
                  <w:rPr>
                    <w:rFonts w:ascii="Arial" w:eastAsia="Arial" w:hAnsi="Arial" w:cs="Arial"/>
                    <w:b/>
                    <w:vertAlign w:val="superscript"/>
                  </w:rPr>
                  <w:t>th</w:t>
                </w:r>
                <w:r>
                  <w:rPr>
                    <w:rFonts w:ascii="Arial" w:eastAsia="Arial" w:hAnsi="Arial" w:cs="Arial"/>
                    <w:b/>
                  </w:rPr>
                  <w:t xml:space="preserve"> February 2024 by </w:t>
                </w:r>
              </w:p>
              <w:p w14:paraId="5B040256" w14:textId="77777777" w:rsidR="00D764F5" w:rsidRDefault="00D764F5" w:rsidP="00D764F5">
                <w:pPr>
                  <w:ind w:left="2"/>
                </w:pPr>
                <w:r>
                  <w:rPr>
                    <w:rFonts w:ascii="Arial" w:eastAsia="Arial" w:hAnsi="Arial" w:cs="Arial"/>
                    <w:b/>
                  </w:rPr>
                  <w:t xml:space="preserve">23.59 </w:t>
                </w:r>
              </w:p>
              <w:p w14:paraId="43DA7535" w14:textId="77777777" w:rsidR="00D764F5" w:rsidRDefault="00D764F5" w:rsidP="00D764F5">
                <w:pPr>
                  <w:spacing w:after="77"/>
                  <w:ind w:left="2"/>
                </w:pPr>
                <w:r>
                  <w:rPr>
                    <w:rFonts w:ascii="Arial" w:eastAsia="Arial" w:hAnsi="Arial" w:cs="Arial"/>
                    <w:b/>
                  </w:rPr>
                  <w:t xml:space="preserve"> </w:t>
                </w:r>
              </w:p>
              <w:p w14:paraId="2ECF5589" w14:textId="77777777" w:rsidR="00D764F5" w:rsidRDefault="00D764F5" w:rsidP="00D764F5">
                <w:pPr>
                  <w:spacing w:after="47"/>
                  <w:ind w:left="2"/>
                  <w:jc w:val="both"/>
                </w:pPr>
                <w:r>
                  <w:rPr>
                    <w:rFonts w:ascii="Arial" w:eastAsia="Arial" w:hAnsi="Arial" w:cs="Arial"/>
                    <w:b/>
                  </w:rPr>
                  <w:t>Assessment drop ins WC 29</w:t>
                </w:r>
                <w:r>
                  <w:rPr>
                    <w:rFonts w:ascii="Arial" w:eastAsia="Arial" w:hAnsi="Arial" w:cs="Arial"/>
                    <w:b/>
                    <w:vertAlign w:val="superscript"/>
                  </w:rPr>
                  <w:t>th</w:t>
                </w:r>
                <w:r>
                  <w:rPr>
                    <w:rFonts w:ascii="Arial" w:eastAsia="Arial" w:hAnsi="Arial" w:cs="Arial"/>
                    <w:b/>
                  </w:rPr>
                  <w:t xml:space="preserve"> </w:t>
                </w:r>
              </w:p>
              <w:p w14:paraId="63113618" w14:textId="77777777" w:rsidR="00D764F5" w:rsidRDefault="00D764F5" w:rsidP="00D764F5">
                <w:pPr>
                  <w:ind w:left="2"/>
                </w:pPr>
                <w:r>
                  <w:rPr>
                    <w:rFonts w:ascii="Arial" w:eastAsia="Arial" w:hAnsi="Arial" w:cs="Arial"/>
                    <w:b/>
                  </w:rPr>
                  <w:t xml:space="preserve">January 2024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hideMark/>
              </w:tcPr>
              <w:p w14:paraId="265521F1" w14:textId="77777777" w:rsidR="00D764F5" w:rsidRDefault="00D764F5" w:rsidP="00D764F5">
                <w:pPr>
                  <w:ind w:left="1" w:right="59"/>
                  <w:jc w:val="both"/>
                </w:pPr>
                <w:r>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hideMark/>
              </w:tcPr>
              <w:p w14:paraId="2B03F19E" w14:textId="77777777" w:rsidR="00D764F5" w:rsidRDefault="00D764F5" w:rsidP="00D764F5">
                <w:pPr>
                  <w:ind w:left="5"/>
                </w:pPr>
                <w:r>
                  <w:rPr>
                    <w:rFonts w:ascii="Arial" w:eastAsia="Arial" w:hAnsi="Arial" w:cs="Arial"/>
                    <w:b/>
                  </w:rPr>
                  <w:t>4</w:t>
                </w:r>
                <w:r>
                  <w:rPr>
                    <w:rFonts w:ascii="Arial" w:eastAsia="Arial" w:hAnsi="Arial" w:cs="Arial"/>
                    <w:b/>
                    <w:vertAlign w:val="superscript"/>
                  </w:rPr>
                  <w:t>th</w:t>
                </w:r>
                <w:r>
                  <w:rPr>
                    <w:rFonts w:ascii="Arial" w:eastAsia="Arial" w:hAnsi="Arial" w:cs="Arial"/>
                    <w:b/>
                  </w:rPr>
                  <w:t xml:space="preserve"> March 2024 </w:t>
                </w:r>
              </w:p>
            </w:tc>
          </w:tr>
        </w:tbl>
        <w:p w14:paraId="566457C1" w14:textId="77777777" w:rsidR="00D764F5" w:rsidRDefault="00D764F5" w:rsidP="00D764F5">
          <w:pPr>
            <w:rPr>
              <w:b/>
              <w:bCs/>
            </w:rPr>
          </w:pPr>
        </w:p>
        <w:p w14:paraId="2D73FFC0" w14:textId="1680A489" w:rsidR="00D764F5" w:rsidRDefault="00D764F5" w:rsidP="00D764F5">
          <w:pPr>
            <w:spacing w:after="0"/>
          </w:pPr>
        </w:p>
        <w:p w14:paraId="7E0BCCAD" w14:textId="324BADA4" w:rsidR="00420C9A" w:rsidRPr="005835E7" w:rsidRDefault="00D764F5" w:rsidP="00420C9A">
          <w:pPr>
            <w:rPr>
              <w:b/>
              <w:bCs/>
            </w:rPr>
          </w:pPr>
        </w:p>
      </w:sdtContent>
    </w:sdt>
    <w:p w14:paraId="0F2143C7" w14:textId="3C746854" w:rsidR="005835E7" w:rsidRPr="00D764F5" w:rsidRDefault="005835E7" w:rsidP="005835E7">
      <w:pPr>
        <w:rPr>
          <w:rFonts w:ascii="Arial" w:hAnsi="Arial" w:cs="Arial"/>
          <w:b/>
          <w:bCs/>
          <w:sz w:val="28"/>
          <w:szCs w:val="24"/>
        </w:rPr>
      </w:pPr>
      <w:r w:rsidRPr="00D764F5">
        <w:rPr>
          <w:rFonts w:ascii="Arial" w:hAnsi="Arial" w:cs="Arial"/>
          <w:b/>
          <w:bCs/>
          <w:sz w:val="28"/>
          <w:szCs w:val="24"/>
        </w:rPr>
        <w:lastRenderedPageBreak/>
        <w:t xml:space="preserve">Introduction </w:t>
      </w:r>
    </w:p>
    <w:p w14:paraId="0A31F4AD" w14:textId="77777777" w:rsidR="005835E7" w:rsidRPr="00D764F5" w:rsidRDefault="005835E7" w:rsidP="005835E7">
      <w:pPr>
        <w:rPr>
          <w:rFonts w:ascii="Arial" w:hAnsi="Arial" w:cs="Arial"/>
        </w:rPr>
      </w:pPr>
      <w:r w:rsidRPr="00D764F5">
        <w:rPr>
          <w:rFonts w:ascii="Arial" w:hAnsi="Arial" w:cs="Arial"/>
        </w:rPr>
        <w:t>The hospitality industry's landscape is characterized by rapid evolution, where the strategic development of international hotel brands relies increasingly on advanced human resources management (HRM). Hilton Worldwide stands at the forefront of this shift, transforming HRM from a mere support function to a strategic linchpin, thereby catalyzing organizational growth and enhancing global competitiveness. This essay delves into the crucial role of HRM within Hilton's strategic blueprint, emphasizing workforce planning, recruitment, and selection processes. It aims to shed light on how HRM's integration into Hilton's business strategy has been instrumental in navigating the complexities of the global market, thereby reinforcing Hilton's stature as a hospitality pioneer. This analysis will explore the symbiotic relationship between HRM innovations and strategic business development, asserting that HRM is vital for sculpting Hilton's global presence and upholding its legacy of innovation.</w:t>
      </w:r>
    </w:p>
    <w:p w14:paraId="02200E80" w14:textId="77777777" w:rsidR="00D764F5" w:rsidRPr="00D764F5" w:rsidRDefault="00D764F5" w:rsidP="005835E7">
      <w:pPr>
        <w:rPr>
          <w:rFonts w:ascii="Arial" w:hAnsi="Arial" w:cs="Arial"/>
        </w:rPr>
      </w:pPr>
    </w:p>
    <w:p w14:paraId="7B03E897" w14:textId="77777777" w:rsidR="00D764F5" w:rsidRPr="00D764F5" w:rsidRDefault="00D764F5" w:rsidP="005835E7">
      <w:pPr>
        <w:rPr>
          <w:rFonts w:ascii="Arial" w:hAnsi="Arial" w:cs="Arial"/>
        </w:rPr>
      </w:pPr>
    </w:p>
    <w:p w14:paraId="52A705F4" w14:textId="77777777" w:rsidR="00D764F5" w:rsidRPr="00D764F5" w:rsidRDefault="00D764F5" w:rsidP="005835E7">
      <w:pPr>
        <w:rPr>
          <w:rFonts w:ascii="Arial" w:hAnsi="Arial" w:cs="Arial"/>
        </w:rPr>
      </w:pPr>
    </w:p>
    <w:p w14:paraId="43DBAA3D" w14:textId="77777777" w:rsidR="00D764F5" w:rsidRPr="00D764F5" w:rsidRDefault="00D764F5" w:rsidP="005835E7">
      <w:pPr>
        <w:rPr>
          <w:rFonts w:ascii="Arial" w:hAnsi="Arial" w:cs="Arial"/>
        </w:rPr>
      </w:pPr>
    </w:p>
    <w:p w14:paraId="00A44712" w14:textId="77777777" w:rsidR="00D764F5" w:rsidRPr="00D764F5" w:rsidRDefault="00D764F5" w:rsidP="005835E7">
      <w:pPr>
        <w:rPr>
          <w:rFonts w:ascii="Arial" w:hAnsi="Arial" w:cs="Arial"/>
        </w:rPr>
      </w:pPr>
    </w:p>
    <w:p w14:paraId="7C38AC3A" w14:textId="77777777" w:rsidR="00D764F5" w:rsidRPr="00D764F5" w:rsidRDefault="00D764F5" w:rsidP="005835E7">
      <w:pPr>
        <w:rPr>
          <w:rFonts w:ascii="Arial" w:hAnsi="Arial" w:cs="Arial"/>
        </w:rPr>
      </w:pPr>
    </w:p>
    <w:p w14:paraId="5A4CEFB2" w14:textId="77777777" w:rsidR="00D764F5" w:rsidRPr="00D764F5" w:rsidRDefault="00D764F5" w:rsidP="005835E7">
      <w:pPr>
        <w:rPr>
          <w:rFonts w:ascii="Arial" w:hAnsi="Arial" w:cs="Arial"/>
        </w:rPr>
      </w:pPr>
    </w:p>
    <w:p w14:paraId="755D84A9" w14:textId="77777777" w:rsidR="00D764F5" w:rsidRPr="00D764F5" w:rsidRDefault="00D764F5" w:rsidP="005835E7">
      <w:pPr>
        <w:rPr>
          <w:rFonts w:ascii="Arial" w:hAnsi="Arial" w:cs="Arial"/>
        </w:rPr>
      </w:pPr>
    </w:p>
    <w:p w14:paraId="5AE413E7" w14:textId="77777777" w:rsidR="00D764F5" w:rsidRPr="00D764F5" w:rsidRDefault="00D764F5" w:rsidP="005835E7">
      <w:pPr>
        <w:rPr>
          <w:rFonts w:ascii="Arial" w:hAnsi="Arial" w:cs="Arial"/>
        </w:rPr>
      </w:pPr>
    </w:p>
    <w:p w14:paraId="76E93F14" w14:textId="77777777" w:rsidR="00D764F5" w:rsidRPr="00D764F5" w:rsidRDefault="00D764F5" w:rsidP="005835E7">
      <w:pPr>
        <w:rPr>
          <w:rFonts w:ascii="Arial" w:hAnsi="Arial" w:cs="Arial"/>
        </w:rPr>
      </w:pPr>
    </w:p>
    <w:p w14:paraId="62AFD8DB" w14:textId="77777777" w:rsidR="00D764F5" w:rsidRPr="00D764F5" w:rsidRDefault="00D764F5" w:rsidP="005835E7">
      <w:pPr>
        <w:rPr>
          <w:rFonts w:ascii="Arial" w:hAnsi="Arial" w:cs="Arial"/>
        </w:rPr>
      </w:pPr>
    </w:p>
    <w:p w14:paraId="73DB8EB3" w14:textId="0D4573B4" w:rsidR="00420C9A" w:rsidRPr="00D764F5" w:rsidRDefault="00420C9A" w:rsidP="00420C9A">
      <w:pPr>
        <w:rPr>
          <w:rFonts w:ascii="Arial" w:hAnsi="Arial" w:cs="Arial"/>
          <w:b/>
          <w:bCs/>
          <w:sz w:val="28"/>
          <w:szCs w:val="24"/>
        </w:rPr>
      </w:pPr>
      <w:r w:rsidRPr="00D764F5">
        <w:rPr>
          <w:rFonts w:ascii="Arial" w:hAnsi="Arial" w:cs="Arial"/>
          <w:b/>
          <w:bCs/>
          <w:sz w:val="28"/>
          <w:szCs w:val="24"/>
        </w:rPr>
        <w:lastRenderedPageBreak/>
        <w:t xml:space="preserve">Main Body </w:t>
      </w:r>
    </w:p>
    <w:p w14:paraId="20DC6108" w14:textId="6DD7E6E5" w:rsidR="00420C9A" w:rsidRPr="00D764F5" w:rsidRDefault="00420C9A" w:rsidP="00420C9A">
      <w:pPr>
        <w:rPr>
          <w:rFonts w:ascii="Arial" w:hAnsi="Arial" w:cs="Arial"/>
        </w:rPr>
      </w:pPr>
      <w:r w:rsidRPr="00D764F5">
        <w:rPr>
          <w:rFonts w:ascii="Arial" w:hAnsi="Arial" w:cs="Arial"/>
        </w:rPr>
        <w:t xml:space="preserve">The strategic essence of HRM in the hospitality industry has undergone a profound transformation, particularly within global entities like Hilton Worldwide. This section would meticulously detail the evolution of HRM, its strategic incorporation into business models, and its impact on workforce dynamics within Hilton. </w:t>
      </w:r>
    </w:p>
    <w:p w14:paraId="7936DF36" w14:textId="38CBA779" w:rsidR="005835E7" w:rsidRPr="00D764F5" w:rsidRDefault="00420C9A" w:rsidP="005835E7">
      <w:pPr>
        <w:rPr>
          <w:rFonts w:ascii="Arial" w:hAnsi="Arial" w:cs="Arial"/>
        </w:rPr>
      </w:pPr>
      <w:r w:rsidRPr="00D764F5">
        <w:rPr>
          <w:rFonts w:ascii="Arial" w:hAnsi="Arial" w:cs="Arial"/>
        </w:rPr>
        <w:t>The transformation of Human Resources Management (HRM) from a primarily operational focus to a strategic cornerstone represents a significant evolution in the hospitality industry. Historically, HRM roles were confined to transactional duties such as payroll processing, hiring, and ensuring compliance with labor laws (</w:t>
      </w:r>
      <w:r w:rsidR="006D38B5">
        <w:rPr>
          <w:shd w:val="clear" w:color="auto" w:fill="FFFFFF"/>
        </w:rPr>
        <w:t>Mahapatro (2021</w:t>
      </w:r>
      <w:r w:rsidR="00100A73" w:rsidRPr="00100A73">
        <w:rPr>
          <w:shd w:val="clear" w:color="auto" w:fill="FFFFFF"/>
        </w:rPr>
        <w:t>)</w:t>
      </w:r>
      <w:r w:rsidRPr="00100A73">
        <w:rPr>
          <w:rFonts w:ascii="Arial" w:hAnsi="Arial" w:cs="Arial"/>
        </w:rPr>
        <w:t xml:space="preserve">. </w:t>
      </w:r>
      <w:r w:rsidRPr="00D764F5">
        <w:rPr>
          <w:rFonts w:ascii="Arial" w:hAnsi="Arial" w:cs="Arial"/>
        </w:rPr>
        <w:t>This traditional approach, while necessary, limited the potential of HRM to contribute to broader organizational goals. The intensification of global competition in the hospitality sector necessitated a paradigm shift towards a more strategic orientation of HRM practices.</w:t>
      </w:r>
    </w:p>
    <w:p w14:paraId="74A04D93" w14:textId="73EE1D1C" w:rsidR="005835E7" w:rsidRPr="00D764F5" w:rsidRDefault="005835E7" w:rsidP="005835E7">
      <w:pPr>
        <w:rPr>
          <w:rFonts w:ascii="Arial" w:hAnsi="Arial" w:cs="Arial"/>
        </w:rPr>
      </w:pPr>
      <w:r w:rsidRPr="00D764F5">
        <w:rPr>
          <w:rFonts w:ascii="Arial" w:hAnsi="Arial" w:cs="Arial"/>
        </w:rPr>
        <w:t xml:space="preserve">Hilton's strategic HRM practices, particularly in leveraging technology for recruitment and emphasizing diversity and inclusion, set a distinguished benchmark in the hospitality industry. </w:t>
      </w:r>
      <w:r w:rsidR="00100A73">
        <w:t>ManagementSearvicesHilton</w:t>
      </w:r>
      <w:r w:rsidR="00100A73">
        <w:t xml:space="preserve"> </w:t>
      </w:r>
      <w:r w:rsidR="00100A73">
        <w:t>(202</w:t>
      </w:r>
      <w:r w:rsidR="00100A73">
        <w:t>1</w:t>
      </w:r>
      <w:r w:rsidRPr="00100A73">
        <w:rPr>
          <w:rFonts w:ascii="Arial" w:hAnsi="Arial" w:cs="Arial"/>
        </w:rPr>
        <w:t>)</w:t>
      </w:r>
      <w:r w:rsidR="00100A73">
        <w:rPr>
          <w:rFonts w:ascii="Arial" w:hAnsi="Arial" w:cs="Arial"/>
        </w:rPr>
        <w:t>,</w:t>
      </w:r>
      <w:r w:rsidRPr="00100A73">
        <w:rPr>
          <w:rFonts w:ascii="Arial" w:hAnsi="Arial" w:cs="Arial"/>
        </w:rPr>
        <w:t xml:space="preserve"> </w:t>
      </w:r>
      <w:r w:rsidRPr="00D764F5">
        <w:rPr>
          <w:rFonts w:ascii="Arial" w:hAnsi="Arial" w:cs="Arial"/>
        </w:rPr>
        <w:t>commend Hilton's innovative approach, which starkly contrasts with Marriott International's focus on employee wellness programs and InterContinental Hotels Group's (IHG) global leadership development initiatives. While Hilton excels in integrating HR strategies with business planning, enhancing its competitive edge and fostering sustainable growth, a comparative analysis reveals areas of potential enrichment. For instance, Marriott's wellness programs have been linked to higher employee satisfaction rates, suggesting Hilton could further explore this dimension. Similarly, IHG's investment in leadership development highlights an opportunity for Hilton to deepen its commitment to nurturing future leaders. This juxtaposition not only underscores the significance of strategic HRM in driving success across the industry but also illustrates how Hilton could draw valuable insights from the practices of its competitors to refine its HR initiatives further.</w:t>
      </w:r>
    </w:p>
    <w:p w14:paraId="288F38B1" w14:textId="158578ED" w:rsidR="00420C9A" w:rsidRPr="00D764F5" w:rsidRDefault="00420C9A" w:rsidP="005835E7">
      <w:pPr>
        <w:rPr>
          <w:rFonts w:ascii="Arial" w:hAnsi="Arial" w:cs="Arial"/>
        </w:rPr>
      </w:pPr>
      <w:r w:rsidRPr="00D764F5">
        <w:rPr>
          <w:rFonts w:ascii="Arial" w:hAnsi="Arial" w:cs="Arial"/>
        </w:rPr>
        <w:t xml:space="preserve">Hilton's emphasis on strategic HRM mirrors an industry-wide movement towards valuing human resources as essential to navigating the complexities of the global market. This trend signifies a broader recognition of the indispensable role that </w:t>
      </w:r>
      <w:r w:rsidRPr="00D764F5">
        <w:rPr>
          <w:rFonts w:ascii="Arial" w:hAnsi="Arial" w:cs="Arial"/>
        </w:rPr>
        <w:lastRenderedPageBreak/>
        <w:t>effective HR management plays in securing a competitive edge and fostering long-term growth in the dynamic and highly competitive hospitality sector. Hilton's leadership in this area not only enhances its own operational efficiency but also contributes to setting new standards for HR excellence in the hospitality industry</w:t>
      </w:r>
      <w:r w:rsidR="00100A73" w:rsidRPr="00100A73">
        <w:rPr>
          <w:rFonts w:ascii="Arial" w:hAnsi="Arial" w:cs="Arial"/>
        </w:rPr>
        <w:t xml:space="preserve"> </w:t>
      </w:r>
      <w:r w:rsidR="00100A73" w:rsidRPr="00E70C62">
        <w:rPr>
          <w:rFonts w:ascii="Arial" w:hAnsi="Arial" w:cs="Arial"/>
        </w:rPr>
        <w:t>(</w:t>
      </w:r>
      <w:r w:rsidR="006D38B5" w:rsidRPr="00E70C62">
        <w:rPr>
          <w:rFonts w:ascii="Arial" w:hAnsi="Arial" w:cs="Arial"/>
          <w:shd w:val="clear" w:color="auto" w:fill="FFFFFF"/>
        </w:rPr>
        <w:t>Legrand, Chen, and Laeis, 2022)</w:t>
      </w:r>
      <w:r w:rsidR="006D38B5" w:rsidRPr="00E70C62">
        <w:rPr>
          <w:rFonts w:ascii="Arial" w:hAnsi="Arial" w:cs="Arial"/>
          <w:shd w:val="clear" w:color="auto" w:fill="FFFFFF"/>
        </w:rPr>
        <w:t>.</w:t>
      </w:r>
    </w:p>
    <w:p w14:paraId="727314C5" w14:textId="1C0F9794" w:rsidR="00420C9A" w:rsidRPr="00D764F5" w:rsidRDefault="00420C9A" w:rsidP="00420C9A">
      <w:pPr>
        <w:rPr>
          <w:rFonts w:ascii="Arial" w:hAnsi="Arial" w:cs="Arial"/>
        </w:rPr>
      </w:pPr>
      <w:r w:rsidRPr="00D764F5">
        <w:rPr>
          <w:rFonts w:ascii="Arial" w:hAnsi="Arial" w:cs="Arial"/>
        </w:rPr>
        <w:t xml:space="preserve">Hilton Worldwide's approach to Human Resources Management (HRM) underscores a significant shift towards strategic integration of workforce planning and talent management with overarching business goals. This strategic focus is aimed at enhancing operational efficiency, spurring innovation, and elevating customer satisfaction, positioning Hilton as a model of excellence within the hospitality industry. The emphasis on aligning HR practices with business objectives ensures that Hilton's human capital strategy is directly contributing to its success and competitive positioning. Hilton's adoption of strategic HRM practices not only streamlines internal operations but also establishes the brand as a benchmark for HR excellence in the hospitality sector. This evolution reflects a broader trend in the industry towards leveraging human resources as a key driver of organizational performance and customer engagement, highlighting Hilton's role in pioneering these transformative HR </w:t>
      </w:r>
      <w:r w:rsidRPr="00B121FB">
        <w:rPr>
          <w:rFonts w:ascii="Arial" w:hAnsi="Arial" w:cs="Arial"/>
        </w:rPr>
        <w:t>strategies</w:t>
      </w:r>
      <w:r w:rsidR="00100A73" w:rsidRPr="00B121FB">
        <w:rPr>
          <w:rFonts w:ascii="Arial" w:hAnsi="Arial" w:cs="Arial"/>
        </w:rPr>
        <w:t xml:space="preserve"> </w:t>
      </w:r>
      <w:r w:rsidR="00100A73" w:rsidRPr="00E70C62">
        <w:rPr>
          <w:rFonts w:ascii="Arial" w:hAnsi="Arial" w:cs="Arial"/>
        </w:rPr>
        <w:t>(</w:t>
      </w:r>
      <w:r w:rsidR="00B121FB" w:rsidRPr="00E70C62">
        <w:rPr>
          <w:rFonts w:ascii="Arial" w:hAnsi="Arial" w:cs="Arial"/>
          <w:shd w:val="clear" w:color="auto" w:fill="FFFFFF"/>
        </w:rPr>
        <w:t>Pattanayak, 2020</w:t>
      </w:r>
      <w:r w:rsidR="00344A58" w:rsidRPr="00E70C62">
        <w:rPr>
          <w:rFonts w:ascii="Arial" w:hAnsi="Arial" w:cs="Arial"/>
          <w:shd w:val="clear" w:color="auto" w:fill="FFFFFF"/>
        </w:rPr>
        <w:t>)</w:t>
      </w:r>
      <w:r w:rsidR="00344A58" w:rsidRPr="00E70C62">
        <w:rPr>
          <w:rFonts w:ascii="Arial" w:hAnsi="Arial" w:cs="Arial"/>
          <w:shd w:val="clear" w:color="auto" w:fill="FFFFFF"/>
        </w:rPr>
        <w:t>.</w:t>
      </w:r>
    </w:p>
    <w:p w14:paraId="6A21F47D" w14:textId="38D1A1D4" w:rsidR="00420C9A" w:rsidRPr="00D764F5" w:rsidRDefault="00420C9A" w:rsidP="00420C9A">
      <w:pPr>
        <w:rPr>
          <w:rFonts w:ascii="Arial" w:hAnsi="Arial" w:cs="Arial"/>
        </w:rPr>
      </w:pPr>
      <w:r w:rsidRPr="00D764F5">
        <w:rPr>
          <w:rFonts w:ascii="Arial" w:hAnsi="Arial" w:cs="Arial"/>
        </w:rPr>
        <w:t xml:space="preserve">The strategic evolution of Human Resources Management (HRM) within Hilton Worldwide highlights the critical role of human capital in mastering the global hospitality industry's complexities. This shift from conventional HR practices to a strategic framework signifies a deep recognition of how crucial effective human resource management is for fostering growth, boosting organizational resilience, and securing a competitive advantage. </w:t>
      </w:r>
      <w:r w:rsidR="00344A58">
        <w:rPr>
          <w:rFonts w:ascii="Arial" w:hAnsi="Arial" w:cs="Arial"/>
        </w:rPr>
        <w:t>T</w:t>
      </w:r>
      <w:r w:rsidRPr="00D764F5">
        <w:rPr>
          <w:rFonts w:ascii="Arial" w:hAnsi="Arial" w:cs="Arial"/>
        </w:rPr>
        <w:t>ransformation within Hilton not only demonstrates the company's commitment to innovation in HRM but also emphasizes the essential link between strategic HR practices and the sustained success of global hospitality brands. Through this lens, Hilton Worldwide serves as a testament to the power of strategic HRM in navigating the challenges and opportunities of the international market, ensuring that the brand remains at the forefront of the industry</w:t>
      </w:r>
      <w:r w:rsidR="00344A58">
        <w:rPr>
          <w:rFonts w:ascii="Arial" w:hAnsi="Arial" w:cs="Arial"/>
        </w:rPr>
        <w:t xml:space="preserve"> </w:t>
      </w:r>
      <w:r w:rsidR="00344A58" w:rsidRPr="00E70C62">
        <w:rPr>
          <w:rFonts w:ascii="Arial" w:hAnsi="Arial" w:cs="Arial"/>
        </w:rPr>
        <w:t>(</w:t>
      </w:r>
      <w:r w:rsidR="00344A58" w:rsidRPr="00E70C62">
        <w:rPr>
          <w:rFonts w:ascii="Arial" w:hAnsi="Arial" w:cs="Arial"/>
          <w:shd w:val="clear" w:color="auto" w:fill="FFFFFF"/>
        </w:rPr>
        <w:t>Azmi, 2019)</w:t>
      </w:r>
      <w:r w:rsidR="00344A58" w:rsidRPr="00E70C62">
        <w:rPr>
          <w:rFonts w:ascii="Arial" w:hAnsi="Arial" w:cs="Arial"/>
        </w:rPr>
        <w:t>.</w:t>
      </w:r>
      <w:r w:rsidR="00344A58">
        <w:rPr>
          <w:rFonts w:ascii="Arial" w:hAnsi="Arial" w:cs="Arial"/>
          <w:color w:val="FF0000"/>
        </w:rPr>
        <w:t xml:space="preserve"> </w:t>
      </w:r>
    </w:p>
    <w:p w14:paraId="2ADE527E" w14:textId="03273C3D" w:rsidR="005835E7" w:rsidRPr="00D764F5" w:rsidRDefault="00420C9A" w:rsidP="005835E7">
      <w:pPr>
        <w:rPr>
          <w:rFonts w:ascii="Arial" w:hAnsi="Arial" w:cs="Arial"/>
        </w:rPr>
      </w:pPr>
      <w:r w:rsidRPr="00D764F5">
        <w:rPr>
          <w:rFonts w:ascii="Arial" w:hAnsi="Arial" w:cs="Arial"/>
        </w:rPr>
        <w:t xml:space="preserve">Hilton Worldwide's strategic reorientation of its Human Resources (HR) functions signifies a pivotal shift from traditional, operational roles to a strategic focus within the </w:t>
      </w:r>
      <w:r w:rsidRPr="00D764F5">
        <w:rPr>
          <w:rFonts w:ascii="Arial" w:hAnsi="Arial" w:cs="Arial"/>
        </w:rPr>
        <w:lastRenderedPageBreak/>
        <w:t xml:space="preserve">hospitality industry. This evolution has allowed HR to play a crucial role in achieving Hilton's strategic goals, showcasing a deep integration of HR initiatives with the company's ambitions for global expansion and a steadfast commitment to service excellence. The strategic positioning of HR at Hilton not only highlights the importance of human capital in driving organizational success but also sets a benchmark for the </w:t>
      </w:r>
      <w:r w:rsidRPr="00B121FB">
        <w:rPr>
          <w:rFonts w:ascii="Arial" w:hAnsi="Arial" w:cs="Arial"/>
        </w:rPr>
        <w:t>industry in aligning HR practices with broader busines</w:t>
      </w:r>
      <w:r w:rsidRPr="00E70C62">
        <w:rPr>
          <w:rFonts w:ascii="Arial" w:hAnsi="Arial" w:cs="Arial"/>
        </w:rPr>
        <w:t>s objectives (</w:t>
      </w:r>
      <w:r w:rsidR="00344A58" w:rsidRPr="00E70C62">
        <w:rPr>
          <w:rFonts w:ascii="Arial" w:hAnsi="Arial" w:cs="Arial"/>
        </w:rPr>
        <w:t>Armstrong and Taylor, 2020</w:t>
      </w:r>
      <w:r w:rsidRPr="00E70C62">
        <w:rPr>
          <w:rFonts w:ascii="Arial" w:hAnsi="Arial" w:cs="Arial"/>
        </w:rPr>
        <w:t xml:space="preserve">; </w:t>
      </w:r>
      <w:r w:rsidR="00B121FB" w:rsidRPr="00E70C62">
        <w:rPr>
          <w:rFonts w:ascii="Arial" w:hAnsi="Arial" w:cs="Arial"/>
          <w:shd w:val="clear" w:color="auto" w:fill="FFFFFF"/>
        </w:rPr>
        <w:t>Holbeche, 2022)</w:t>
      </w:r>
      <w:r w:rsidR="00B121FB" w:rsidRPr="00E70C62">
        <w:rPr>
          <w:rFonts w:ascii="Arial" w:hAnsi="Arial" w:cs="Arial"/>
          <w:shd w:val="clear" w:color="auto" w:fill="FFFFFF"/>
        </w:rPr>
        <w:t>.</w:t>
      </w:r>
      <w:r w:rsidRPr="00E70C62">
        <w:rPr>
          <w:rFonts w:ascii="Arial" w:hAnsi="Arial" w:cs="Arial"/>
        </w:rPr>
        <w:t xml:space="preserve"> </w:t>
      </w:r>
      <w:r w:rsidRPr="00B121FB">
        <w:rPr>
          <w:rFonts w:ascii="Arial" w:hAnsi="Arial" w:cs="Arial"/>
        </w:rPr>
        <w:t>By</w:t>
      </w:r>
      <w:r w:rsidRPr="00D764F5">
        <w:rPr>
          <w:rFonts w:ascii="Arial" w:hAnsi="Arial" w:cs="Arial"/>
        </w:rPr>
        <w:t xml:space="preserve"> embedding HR functions within its strategic framework, Hilton demonstrates the transformative potential of HR as a dynamic force in enhancing operational efficiency and sustaining competitive advantage in the global hospitality landscape.</w:t>
      </w:r>
    </w:p>
    <w:p w14:paraId="59A79B78" w14:textId="1F1E3B6E" w:rsidR="00420C9A" w:rsidRPr="00D764F5" w:rsidRDefault="005835E7" w:rsidP="005835E7">
      <w:pPr>
        <w:rPr>
          <w:rFonts w:ascii="Arial" w:hAnsi="Arial" w:cs="Arial"/>
        </w:rPr>
      </w:pPr>
      <w:r w:rsidRPr="00D764F5">
        <w:rPr>
          <w:rFonts w:ascii="Arial" w:hAnsi="Arial" w:cs="Arial"/>
        </w:rPr>
        <w:t xml:space="preserve">Hilton Worldwide's strategic integration of Human Resources (HR) functions into its operational strategy, particularly through meticulous workforce planning, has significantly bolstered its competitive edge and operational excellence. This strategic alignment has not only ensured a balance between labor demand and supply but has also enhanced Hilton's responsiveness to the changing dynamics of the global hospitality market. For instance, Hilton's focused recruitment and selection strategies have led to a notable increase in employee retention rates, directly contributing to operational continuity and reducing costs associated with turnover. Furthermore, targeted training and development programs have been linked to higher employee satisfaction scores, reflecting positively on customer service quality. Such improvements are quantifiable indicators of Hilton's HR strategies' success, underlining the brand's commitment to excellence and agility in the face of market demands. These strategic HR practices have not only supported Hilton's immediate operational goals but have also laid a solid foundation for sustained market leadership and </w:t>
      </w:r>
      <w:r w:rsidRPr="00E70C62">
        <w:rPr>
          <w:rFonts w:ascii="Arial" w:hAnsi="Arial" w:cs="Arial"/>
        </w:rPr>
        <w:t>innovation (</w:t>
      </w:r>
      <w:r w:rsidR="00B121FB" w:rsidRPr="00E70C62">
        <w:rPr>
          <w:rFonts w:ascii="Arial" w:hAnsi="Arial" w:cs="Arial"/>
          <w:shd w:val="clear" w:color="auto" w:fill="FFFFFF"/>
        </w:rPr>
        <w:t>Storey, Ulrich, and Wright, 2019</w:t>
      </w:r>
      <w:r w:rsidRPr="00E70C62">
        <w:rPr>
          <w:rFonts w:ascii="Arial" w:hAnsi="Arial" w:cs="Arial"/>
        </w:rPr>
        <w:t xml:space="preserve">; </w:t>
      </w:r>
      <w:r w:rsidR="00B121FB" w:rsidRPr="00E70C62">
        <w:rPr>
          <w:rFonts w:ascii="Arial" w:hAnsi="Arial" w:cs="Arial"/>
          <w:shd w:val="clear" w:color="auto" w:fill="FFFFFF"/>
        </w:rPr>
        <w:t>Stewart and Brown,</w:t>
      </w:r>
      <w:r w:rsidR="00B121FB" w:rsidRPr="00E70C62">
        <w:rPr>
          <w:rFonts w:ascii="Arial" w:hAnsi="Arial" w:cs="Arial"/>
          <w:shd w:val="clear" w:color="auto" w:fill="FFFFFF"/>
        </w:rPr>
        <w:t xml:space="preserve"> </w:t>
      </w:r>
      <w:r w:rsidR="00B121FB" w:rsidRPr="00E70C62">
        <w:rPr>
          <w:rFonts w:ascii="Arial" w:hAnsi="Arial" w:cs="Arial"/>
          <w:shd w:val="clear" w:color="auto" w:fill="FFFFFF"/>
        </w:rPr>
        <w:t>2019)</w:t>
      </w:r>
      <w:r w:rsidR="00B121FB" w:rsidRPr="00E70C62">
        <w:rPr>
          <w:rFonts w:ascii="Arial" w:hAnsi="Arial" w:cs="Arial"/>
          <w:shd w:val="clear" w:color="auto" w:fill="FFFFFF"/>
        </w:rPr>
        <w:t>.</w:t>
      </w:r>
      <w:r w:rsidRPr="00E70C62">
        <w:rPr>
          <w:rFonts w:ascii="Arial" w:hAnsi="Arial" w:cs="Arial"/>
          <w:color w:val="FF0000"/>
        </w:rPr>
        <w:t xml:space="preserve"> </w:t>
      </w:r>
      <w:r w:rsidR="00420C9A" w:rsidRPr="00E70C62">
        <w:rPr>
          <w:rFonts w:ascii="Arial" w:hAnsi="Arial" w:cs="Arial"/>
        </w:rPr>
        <w:t>The</w:t>
      </w:r>
      <w:r w:rsidR="00420C9A" w:rsidRPr="00D764F5">
        <w:rPr>
          <w:rFonts w:ascii="Arial" w:hAnsi="Arial" w:cs="Arial"/>
        </w:rPr>
        <w:t xml:space="preserve"> meticulous orchestration of HR practices, in harmony with Hilton's strategic objectives, leverages human capital as a pivotal driver of the brand's success and market differentiation. By prioritizing strategic HR planning, Hilton not only enhances its competitive stance but also reinforces its capacity to innovate and lead in the hospitality industry.</w:t>
      </w:r>
    </w:p>
    <w:p w14:paraId="3CC3975C" w14:textId="26C40392" w:rsidR="00420C9A" w:rsidRPr="00E70C62" w:rsidRDefault="00420C9A" w:rsidP="00420C9A">
      <w:pPr>
        <w:rPr>
          <w:rFonts w:ascii="Arial" w:hAnsi="Arial" w:cs="Arial"/>
        </w:rPr>
      </w:pPr>
      <w:r w:rsidRPr="00D764F5">
        <w:rPr>
          <w:rFonts w:ascii="Arial" w:hAnsi="Arial" w:cs="Arial"/>
        </w:rPr>
        <w:lastRenderedPageBreak/>
        <w:t>Hilton's Human Resources (HR) strategies are intricately crafted to align with the company's vision, fostering a culture of innovation and excellence. By setting strategic goals, Hilton adeptly anticipates future workforce needs, positioning itself to adeptly tackle the complexities of international expansion</w:t>
      </w:r>
      <w:r w:rsidR="00344A58">
        <w:rPr>
          <w:rFonts w:ascii="Arial" w:hAnsi="Arial" w:cs="Arial"/>
        </w:rPr>
        <w:t xml:space="preserve">. </w:t>
      </w:r>
      <w:r w:rsidRPr="00D764F5">
        <w:rPr>
          <w:rFonts w:ascii="Arial" w:hAnsi="Arial" w:cs="Arial"/>
        </w:rPr>
        <w:t xml:space="preserve">This proactive HR approach highlights the pivotal role of strategic human resource management in driving Hilton towards operational superiority and leadership in the competitive hospitality market. Through these HR strategies, Hilton not only prepares for future challenges but also ensures its workforce remains at the forefront of industry innovation and service </w:t>
      </w:r>
      <w:r w:rsidRPr="00E70C62">
        <w:rPr>
          <w:rFonts w:ascii="Arial" w:hAnsi="Arial" w:cs="Arial"/>
        </w:rPr>
        <w:t>excellence</w:t>
      </w:r>
      <w:r w:rsidR="00344A58" w:rsidRPr="00E70C62">
        <w:rPr>
          <w:rFonts w:ascii="Arial" w:hAnsi="Arial" w:cs="Arial"/>
        </w:rPr>
        <w:t xml:space="preserve"> </w:t>
      </w:r>
      <w:r w:rsidR="00344A58" w:rsidRPr="00E70C62">
        <w:rPr>
          <w:rFonts w:ascii="Arial" w:hAnsi="Arial" w:cs="Arial"/>
        </w:rPr>
        <w:t>(</w:t>
      </w:r>
      <w:r w:rsidR="00B121FB" w:rsidRPr="00E70C62">
        <w:rPr>
          <w:rFonts w:ascii="Arial" w:hAnsi="Arial" w:cs="Arial"/>
          <w:shd w:val="clear" w:color="auto" w:fill="FFFFFF"/>
        </w:rPr>
        <w:t>Malik, 2022)</w:t>
      </w:r>
      <w:r w:rsidR="00B121FB" w:rsidRPr="00E70C62">
        <w:rPr>
          <w:rFonts w:ascii="Arial" w:hAnsi="Arial" w:cs="Arial"/>
          <w:shd w:val="clear" w:color="auto" w:fill="FFFFFF"/>
        </w:rPr>
        <w:t>.</w:t>
      </w:r>
    </w:p>
    <w:p w14:paraId="0362BBA3" w14:textId="3999EA47" w:rsidR="00420C9A" w:rsidRPr="00D764F5" w:rsidRDefault="00420C9A" w:rsidP="00420C9A">
      <w:pPr>
        <w:rPr>
          <w:rFonts w:ascii="Arial" w:hAnsi="Arial" w:cs="Arial"/>
        </w:rPr>
      </w:pPr>
      <w:r w:rsidRPr="00D764F5">
        <w:rPr>
          <w:rFonts w:ascii="Arial" w:hAnsi="Arial" w:cs="Arial"/>
        </w:rPr>
        <w:t xml:space="preserve">Hilton's strategic HR initiatives are rooted in a deep analysis of labor market trends and the implementation of forecasting techniques to secure the optimal talent mix across its global operations. This rigorous approach to HR planning, emphasizing alignment with the company's strategic vision, ensures Hilton can effectively meet its talent needs in real-time, bolstering its competitive stance in the hospitality sector. By enhancing workforce capabilities and service delivery, Hilton's strategic HR planning not only supports its operational goals but also reinforces its market leadership, showcasing the brand's commitment to excellence and innovation in human resource </w:t>
      </w:r>
      <w:r w:rsidRPr="00E70C62">
        <w:rPr>
          <w:rFonts w:ascii="Arial" w:hAnsi="Arial" w:cs="Arial"/>
        </w:rPr>
        <w:t>management (</w:t>
      </w:r>
      <w:r w:rsidR="00B121FB" w:rsidRPr="00E70C62">
        <w:rPr>
          <w:rFonts w:ascii="Arial" w:hAnsi="Arial" w:cs="Arial"/>
          <w:shd w:val="clear" w:color="auto" w:fill="FFFFFF"/>
        </w:rPr>
        <w:t>Mahapatro, 2021)</w:t>
      </w:r>
      <w:r w:rsidR="00B121FB" w:rsidRPr="00E70C62">
        <w:rPr>
          <w:rFonts w:ascii="Arial" w:hAnsi="Arial" w:cs="Arial"/>
          <w:shd w:val="clear" w:color="auto" w:fill="FFFFFF"/>
        </w:rPr>
        <w:t>.</w:t>
      </w:r>
    </w:p>
    <w:p w14:paraId="31A3B2A3" w14:textId="24167E2E" w:rsidR="00420C9A" w:rsidRPr="00D764F5" w:rsidRDefault="00420C9A" w:rsidP="00420C9A">
      <w:pPr>
        <w:rPr>
          <w:rFonts w:ascii="Arial" w:hAnsi="Arial" w:cs="Arial"/>
        </w:rPr>
      </w:pPr>
      <w:r w:rsidRPr="00D764F5">
        <w:rPr>
          <w:rFonts w:ascii="Arial" w:hAnsi="Arial" w:cs="Arial"/>
        </w:rPr>
        <w:t xml:space="preserve">The incorporation of strategic Human Resources (HR) functions into Hilton's operational framework marks a significant shift towards recognizing HR as a critical driver of organizational strategy and culture. This alignment with strategic objectives not only promotes a culture of continuous improvement and service excellence but also solidifies Hilton's position as a frontrunner in the global hospitality industry. By embedding HR strategies within its core operations, Hilton ensures the seamless integration of human capital initiatives with its growth and innovation goals, underscoring the essential role of HR in achieving long-term success and maintaining its esteemed reputation </w:t>
      </w:r>
      <w:r w:rsidRPr="00E70C62">
        <w:rPr>
          <w:rFonts w:ascii="Arial" w:hAnsi="Arial" w:cs="Arial"/>
        </w:rPr>
        <w:t>(</w:t>
      </w:r>
      <w:r w:rsidR="00B121FB" w:rsidRPr="00E70C62">
        <w:rPr>
          <w:rFonts w:ascii="Arial" w:hAnsi="Arial" w:cs="Arial"/>
          <w:shd w:val="clear" w:color="auto" w:fill="FFFFFF"/>
        </w:rPr>
        <w:t>Berman</w:t>
      </w:r>
      <w:r w:rsidR="00B121FB" w:rsidRPr="00E70C62">
        <w:rPr>
          <w:rFonts w:ascii="Arial" w:hAnsi="Arial" w:cs="Arial"/>
          <w:shd w:val="clear" w:color="auto" w:fill="FFFFFF"/>
        </w:rPr>
        <w:t xml:space="preserve"> et </w:t>
      </w:r>
      <w:r w:rsidR="00B121FB" w:rsidRPr="00E70C62">
        <w:rPr>
          <w:rFonts w:ascii="Arial" w:hAnsi="Arial" w:cs="Arial"/>
          <w:i/>
          <w:iCs/>
          <w:shd w:val="clear" w:color="auto" w:fill="FFFFFF"/>
        </w:rPr>
        <w:t>al</w:t>
      </w:r>
      <w:r w:rsidR="00B121FB" w:rsidRPr="00E70C62">
        <w:rPr>
          <w:rFonts w:ascii="Arial" w:hAnsi="Arial" w:cs="Arial"/>
          <w:shd w:val="clear" w:color="auto" w:fill="FFFFFF"/>
        </w:rPr>
        <w:t xml:space="preserve">.,  </w:t>
      </w:r>
      <w:r w:rsidR="00B121FB" w:rsidRPr="00E70C62">
        <w:rPr>
          <w:rFonts w:ascii="Arial" w:hAnsi="Arial" w:cs="Arial"/>
          <w:shd w:val="clear" w:color="auto" w:fill="FFFFFF"/>
        </w:rPr>
        <w:t>2021)</w:t>
      </w:r>
      <w:r w:rsidR="00B121FB" w:rsidRPr="00E70C62">
        <w:rPr>
          <w:rFonts w:ascii="Arial" w:hAnsi="Arial" w:cs="Arial"/>
          <w:shd w:val="clear" w:color="auto" w:fill="FFFFFF"/>
        </w:rPr>
        <w:t>.</w:t>
      </w:r>
    </w:p>
    <w:p w14:paraId="5C3CA12B" w14:textId="2C60D16D" w:rsidR="00420C9A" w:rsidRPr="00D764F5" w:rsidRDefault="00420C9A" w:rsidP="00420C9A">
      <w:pPr>
        <w:rPr>
          <w:rFonts w:ascii="Arial" w:hAnsi="Arial" w:cs="Arial"/>
        </w:rPr>
      </w:pPr>
      <w:r w:rsidRPr="00D764F5">
        <w:rPr>
          <w:rFonts w:ascii="Arial" w:hAnsi="Arial" w:cs="Arial"/>
        </w:rPr>
        <w:t xml:space="preserve">Hilton Worldwide's strategic Human Resources (HR) planning underscores the brand's commitment to sustaining its competitive edge through continuous innovation and a pursuit of excellence. This commitment manifests in a thorough approach to workforce planning, recruitment, and selection, ensuring that talent acquisition is perfectly </w:t>
      </w:r>
      <w:r w:rsidRPr="00D764F5">
        <w:rPr>
          <w:rFonts w:ascii="Arial" w:hAnsi="Arial" w:cs="Arial"/>
        </w:rPr>
        <w:lastRenderedPageBreak/>
        <w:t xml:space="preserve">aligned with Hilton's strategic imperatives. By adeptly forecasting labor demand and supply, Hilton positions itself as a leader within the global hospitality sector, securing the necessary talent to propel its strategic objectives. This strategic HR planning is vital for Hilton, enabling the brand to navigate the complexities of the global market while maintaining its leadership position. Such a focused approach to HR management is a testament to Hilton's dedication to operational excellence and strategic growth, illustrating the pivotal role of adept HR practices in driving the brand's </w:t>
      </w:r>
      <w:r w:rsidRPr="00E70C62">
        <w:rPr>
          <w:rFonts w:ascii="Arial" w:hAnsi="Arial" w:cs="Arial"/>
        </w:rPr>
        <w:t>success (</w:t>
      </w:r>
      <w:r w:rsidR="00B121FB" w:rsidRPr="00E70C62">
        <w:rPr>
          <w:rFonts w:ascii="Arial" w:hAnsi="Arial" w:cs="Arial"/>
          <w:shd w:val="clear" w:color="auto" w:fill="FFFFFF"/>
        </w:rPr>
        <w:t>Schmidt, 2021</w:t>
      </w:r>
      <w:r w:rsidRPr="00E70C62">
        <w:rPr>
          <w:rFonts w:ascii="Arial" w:hAnsi="Arial" w:cs="Arial"/>
        </w:rPr>
        <w:t xml:space="preserve">; </w:t>
      </w:r>
      <w:r w:rsidR="00B121FB" w:rsidRPr="00E70C62">
        <w:rPr>
          <w:rFonts w:ascii="Arial" w:hAnsi="Arial" w:cs="Arial"/>
          <w:shd w:val="clear" w:color="auto" w:fill="FFFFFF"/>
        </w:rPr>
        <w:t>Boxall and Purcell, 2022</w:t>
      </w:r>
      <w:r w:rsidRPr="00E70C62">
        <w:rPr>
          <w:rFonts w:ascii="Arial" w:hAnsi="Arial" w:cs="Arial"/>
        </w:rPr>
        <w:t>).</w:t>
      </w:r>
    </w:p>
    <w:p w14:paraId="359A9A1B" w14:textId="4315BD40" w:rsidR="00420C9A" w:rsidRPr="00D764F5" w:rsidRDefault="00420C9A" w:rsidP="00420C9A">
      <w:pPr>
        <w:rPr>
          <w:rFonts w:ascii="Arial" w:hAnsi="Arial" w:cs="Arial"/>
        </w:rPr>
      </w:pPr>
      <w:r w:rsidRPr="00D764F5">
        <w:rPr>
          <w:rFonts w:ascii="Arial" w:hAnsi="Arial" w:cs="Arial"/>
        </w:rPr>
        <w:t xml:space="preserve">Hilton's recruitment and selection processes are carefully crafted to identify candidates who are not only skilled but also embody the brand's service ethos and core values. This strategic emphasis on both technical competence and cultural fit is crucial to Hilton's enduring success and leadership in the global hospitality industry. By integrating strategic HR planning with an in-depth analysis of both present and anticipated workforce requirements, Hilton ensures its HR practices support the organization's expansion and innovation goals. Such alignment is essential for Hilton's agility and its ability to adapt to the rapidly changing global market dynamics. This approach underscores the importance of strategic HR in maintaining Hilton's competitive edge and responsiveness, affirming its role as a key driver of organizational growth and market leadership </w:t>
      </w:r>
      <w:r w:rsidRPr="00E70C62">
        <w:rPr>
          <w:rFonts w:ascii="Arial" w:hAnsi="Arial" w:cs="Arial"/>
        </w:rPr>
        <w:t>(</w:t>
      </w:r>
      <w:r w:rsidR="00B121FB" w:rsidRPr="00E70C62">
        <w:rPr>
          <w:rFonts w:ascii="Arial" w:hAnsi="Arial" w:cs="Arial"/>
          <w:shd w:val="clear" w:color="auto" w:fill="FFFFFF"/>
        </w:rPr>
        <w:t>Trost, 2020</w:t>
      </w:r>
      <w:r w:rsidRPr="00E70C62">
        <w:rPr>
          <w:rFonts w:ascii="Arial" w:hAnsi="Arial" w:cs="Arial"/>
        </w:rPr>
        <w:t xml:space="preserve">; </w:t>
      </w:r>
      <w:r w:rsidR="00B121FB" w:rsidRPr="00E70C62">
        <w:rPr>
          <w:rFonts w:ascii="Arial" w:hAnsi="Arial" w:cs="Arial"/>
          <w:shd w:val="clear" w:color="auto" w:fill="FFFFFF"/>
        </w:rPr>
        <w:t>Fahy and Jobber, 2019)</w:t>
      </w:r>
      <w:r w:rsidR="00B121FB" w:rsidRPr="00E70C62">
        <w:rPr>
          <w:rFonts w:ascii="Arial" w:hAnsi="Arial" w:cs="Arial"/>
        </w:rPr>
        <w:t>.</w:t>
      </w:r>
    </w:p>
    <w:p w14:paraId="2DFAB826" w14:textId="5CF450EB" w:rsidR="00420C9A" w:rsidRPr="00D764F5" w:rsidRDefault="00420C9A" w:rsidP="00420C9A">
      <w:pPr>
        <w:rPr>
          <w:rFonts w:ascii="Arial" w:hAnsi="Arial" w:cs="Arial"/>
        </w:rPr>
      </w:pPr>
      <w:r w:rsidRPr="00D764F5">
        <w:rPr>
          <w:rFonts w:ascii="Arial" w:hAnsi="Arial" w:cs="Arial"/>
        </w:rPr>
        <w:t>Hilton's innovative approach to recruitment leverages technology and social media platforms to reach a wider pool of candidates, facilitating a more inclusive and diverse hiring process. This strategy not only broadens Hilton's access to global talent but also enhances the brand's appeal to prospective employees by showcasing its commitment to diversity and inclusion (</w:t>
      </w:r>
      <w:r w:rsidR="00646D80">
        <w:rPr>
          <w:shd w:val="clear" w:color="auto" w:fill="FFFFFF"/>
        </w:rPr>
        <w:t>Armstrong</w:t>
      </w:r>
      <w:r w:rsidR="00646D80">
        <w:rPr>
          <w:shd w:val="clear" w:color="auto" w:fill="FFFFFF"/>
        </w:rPr>
        <w:t xml:space="preserve"> </w:t>
      </w:r>
      <w:r w:rsidR="00646D80">
        <w:rPr>
          <w:shd w:val="clear" w:color="auto" w:fill="FFFFFF"/>
        </w:rPr>
        <w:t>and Taylor,</w:t>
      </w:r>
      <w:r w:rsidR="00646D80">
        <w:rPr>
          <w:shd w:val="clear" w:color="auto" w:fill="FFFFFF"/>
        </w:rPr>
        <w:t xml:space="preserve"> </w:t>
      </w:r>
      <w:r w:rsidR="00646D80">
        <w:rPr>
          <w:shd w:val="clear" w:color="auto" w:fill="FFFFFF"/>
        </w:rPr>
        <w:t>2020)</w:t>
      </w:r>
      <w:r w:rsidR="00646D80">
        <w:rPr>
          <w:shd w:val="clear" w:color="auto" w:fill="FFFFFF"/>
        </w:rPr>
        <w:t>.</w:t>
      </w:r>
      <w:r w:rsidRPr="00100A73">
        <w:rPr>
          <w:rFonts w:ascii="Arial" w:hAnsi="Arial" w:cs="Arial"/>
          <w:color w:val="FF0000"/>
        </w:rPr>
        <w:t xml:space="preserve"> </w:t>
      </w:r>
      <w:r w:rsidRPr="00D764F5">
        <w:rPr>
          <w:rFonts w:ascii="Arial" w:hAnsi="Arial" w:cs="Arial"/>
        </w:rPr>
        <w:t>The selection process, characterized by rigorous screening and assessment, ensures that only candidates who are a strong match for Hilton's values and service standards are brought on board. This careful vetting process is essential in building a compe</w:t>
      </w:r>
      <w:r w:rsidRPr="00E70C62">
        <w:rPr>
          <w:rFonts w:ascii="Arial" w:hAnsi="Arial" w:cs="Arial"/>
        </w:rPr>
        <w:t>tent and dedicated workforce capable of upholding Hilton's reputation for excellence (</w:t>
      </w:r>
      <w:r w:rsidR="00646D80" w:rsidRPr="00E70C62">
        <w:rPr>
          <w:rFonts w:ascii="Arial" w:hAnsi="Arial" w:cs="Arial"/>
          <w:shd w:val="clear" w:color="auto" w:fill="FFFFFF"/>
        </w:rPr>
        <w:t>Stewart</w:t>
      </w:r>
      <w:r w:rsidR="00646D80" w:rsidRPr="00E70C62">
        <w:rPr>
          <w:rFonts w:ascii="Arial" w:hAnsi="Arial" w:cs="Arial"/>
          <w:shd w:val="clear" w:color="auto" w:fill="FFFFFF"/>
        </w:rPr>
        <w:t xml:space="preserve"> </w:t>
      </w:r>
      <w:r w:rsidR="00646D80" w:rsidRPr="00E70C62">
        <w:rPr>
          <w:rFonts w:ascii="Arial" w:hAnsi="Arial" w:cs="Arial"/>
          <w:shd w:val="clear" w:color="auto" w:fill="FFFFFF"/>
        </w:rPr>
        <w:t>and Brown, 2019)</w:t>
      </w:r>
      <w:r w:rsidR="00646D80" w:rsidRPr="00E70C62">
        <w:rPr>
          <w:rFonts w:ascii="Arial" w:hAnsi="Arial" w:cs="Arial"/>
          <w:shd w:val="clear" w:color="auto" w:fill="FFFFFF"/>
        </w:rPr>
        <w:t>.</w:t>
      </w:r>
    </w:p>
    <w:p w14:paraId="5F7953D4" w14:textId="2A3C03DC" w:rsidR="00420C9A" w:rsidRPr="00D764F5" w:rsidRDefault="00420C9A" w:rsidP="00420C9A">
      <w:pPr>
        <w:rPr>
          <w:rFonts w:ascii="Arial" w:hAnsi="Arial" w:cs="Arial"/>
        </w:rPr>
      </w:pPr>
      <w:r w:rsidRPr="00D764F5">
        <w:rPr>
          <w:rFonts w:ascii="Arial" w:hAnsi="Arial" w:cs="Arial"/>
        </w:rPr>
        <w:t xml:space="preserve">Hilton's strategic HR initiatives also focus on extensive talent management, including tailored training and development programs that cater to individual career trajectories. </w:t>
      </w:r>
      <w:r w:rsidRPr="00D764F5">
        <w:rPr>
          <w:rFonts w:ascii="Arial" w:hAnsi="Arial" w:cs="Arial"/>
        </w:rPr>
        <w:lastRenderedPageBreak/>
        <w:t xml:space="preserve">This ensures employees are not only ready for present roles but are also primed for future organizational challenges and opportunities. Such a commitment to continuous professional development is a testament to Hilton's investment in its workforce, aligning closely with its broader strategy aimed at fostering innovation and maintaining excellence across its operations. This approach highlights the pivotal role of strategic HR in nurturing a highly skilled and adaptable workforce, crucial for sustaining Hilton's competitive advantage and leadership in the hospitality </w:t>
      </w:r>
      <w:r w:rsidRPr="00E70C62">
        <w:rPr>
          <w:rFonts w:ascii="Arial" w:hAnsi="Arial" w:cs="Arial"/>
        </w:rPr>
        <w:t>industry (</w:t>
      </w:r>
      <w:r w:rsidR="00646D80" w:rsidRPr="00E70C62">
        <w:rPr>
          <w:rFonts w:ascii="Arial" w:hAnsi="Arial" w:cs="Arial"/>
          <w:shd w:val="clear" w:color="auto" w:fill="FFFFFF"/>
        </w:rPr>
        <w:t>Kaufman, 2019)</w:t>
      </w:r>
      <w:r w:rsidR="00646D80" w:rsidRPr="00E70C62">
        <w:rPr>
          <w:rFonts w:ascii="Arial" w:hAnsi="Arial" w:cs="Arial"/>
          <w:shd w:val="clear" w:color="auto" w:fill="FFFFFF"/>
        </w:rPr>
        <w:t>.</w:t>
      </w:r>
    </w:p>
    <w:p w14:paraId="0AE86533" w14:textId="60BD4440" w:rsidR="00420C9A" w:rsidRDefault="00420C9A" w:rsidP="00420C9A">
      <w:pPr>
        <w:rPr>
          <w:shd w:val="clear" w:color="auto" w:fill="FFFFFF"/>
        </w:rPr>
      </w:pPr>
      <w:r w:rsidRPr="00D764F5">
        <w:rPr>
          <w:rFonts w:ascii="Arial" w:hAnsi="Arial" w:cs="Arial"/>
        </w:rPr>
        <w:t xml:space="preserve">Hilton's strategic approach to workforce planning, recruitment, and selection processes underscores its industry leadership and strong performance. The deliberate alignment of HR strategies with the company's wider business goals has established a sustainable framework for talent management. This framework not only aids in attracting and retaining top talent but also in cultivating a culture of excellence pervasive across Hilton's global operations. By fostering such a culture, Hilton ensures that its strategic objectives are met, reinforcing the brand's position at the forefront of the hospitality industry. This model of strategic HR management illustrates the brand's commitment to excellence and innovation, contributing significantly to its operational success and competitive edge </w:t>
      </w:r>
      <w:r w:rsidRPr="00E70C62">
        <w:rPr>
          <w:rFonts w:ascii="Arial" w:hAnsi="Arial" w:cs="Arial"/>
        </w:rPr>
        <w:t>(</w:t>
      </w:r>
      <w:r w:rsidR="00646D80" w:rsidRPr="00E70C62">
        <w:rPr>
          <w:rFonts w:ascii="Arial" w:hAnsi="Arial" w:cs="Arial"/>
          <w:shd w:val="clear" w:color="auto" w:fill="FFFFFF"/>
        </w:rPr>
        <w:t>Boxall and Purcell, 2022</w:t>
      </w:r>
      <w:r w:rsidR="00646D80" w:rsidRPr="00E70C62">
        <w:rPr>
          <w:rFonts w:ascii="Arial" w:hAnsi="Arial" w:cs="Arial"/>
          <w:shd w:val="clear" w:color="auto" w:fill="FFFFFF"/>
        </w:rPr>
        <w:t xml:space="preserve">; </w:t>
      </w:r>
      <w:r w:rsidR="00646D80" w:rsidRPr="00E70C62">
        <w:rPr>
          <w:rFonts w:ascii="Arial" w:hAnsi="Arial" w:cs="Arial"/>
          <w:shd w:val="clear" w:color="auto" w:fill="FFFFFF"/>
        </w:rPr>
        <w:t>Greer, 2021)</w:t>
      </w:r>
      <w:r w:rsidR="00646D80" w:rsidRPr="00E70C62">
        <w:rPr>
          <w:rFonts w:ascii="Arial" w:hAnsi="Arial" w:cs="Arial"/>
          <w:shd w:val="clear" w:color="auto" w:fill="FFFFFF"/>
        </w:rPr>
        <w:t>.</w:t>
      </w:r>
    </w:p>
    <w:p w14:paraId="33DFA89D" w14:textId="77777777" w:rsidR="00646D80" w:rsidRDefault="00646D80" w:rsidP="00420C9A">
      <w:pPr>
        <w:rPr>
          <w:shd w:val="clear" w:color="auto" w:fill="FFFFFF"/>
        </w:rPr>
      </w:pPr>
    </w:p>
    <w:p w14:paraId="0D6B0085" w14:textId="77777777" w:rsidR="00646D80" w:rsidRDefault="00646D80" w:rsidP="00420C9A">
      <w:pPr>
        <w:rPr>
          <w:shd w:val="clear" w:color="auto" w:fill="FFFFFF"/>
        </w:rPr>
      </w:pPr>
    </w:p>
    <w:p w14:paraId="54E64651" w14:textId="77777777" w:rsidR="00646D80" w:rsidRDefault="00646D80" w:rsidP="00420C9A">
      <w:pPr>
        <w:rPr>
          <w:shd w:val="clear" w:color="auto" w:fill="FFFFFF"/>
        </w:rPr>
      </w:pPr>
    </w:p>
    <w:p w14:paraId="0C7629EA" w14:textId="77777777" w:rsidR="00646D80" w:rsidRDefault="00646D80" w:rsidP="00420C9A">
      <w:pPr>
        <w:rPr>
          <w:shd w:val="clear" w:color="auto" w:fill="FFFFFF"/>
        </w:rPr>
      </w:pPr>
    </w:p>
    <w:p w14:paraId="2F0FC68C" w14:textId="77777777" w:rsidR="00646D80" w:rsidRDefault="00646D80" w:rsidP="00420C9A">
      <w:pPr>
        <w:rPr>
          <w:shd w:val="clear" w:color="auto" w:fill="FFFFFF"/>
        </w:rPr>
      </w:pPr>
    </w:p>
    <w:p w14:paraId="4CB3F322" w14:textId="77777777" w:rsidR="00646D80" w:rsidRDefault="00646D80" w:rsidP="00420C9A">
      <w:pPr>
        <w:rPr>
          <w:shd w:val="clear" w:color="auto" w:fill="FFFFFF"/>
        </w:rPr>
      </w:pPr>
    </w:p>
    <w:p w14:paraId="7AFC610E" w14:textId="77777777" w:rsidR="00646D80" w:rsidRDefault="00646D80" w:rsidP="00420C9A">
      <w:pPr>
        <w:rPr>
          <w:shd w:val="clear" w:color="auto" w:fill="FFFFFF"/>
        </w:rPr>
      </w:pPr>
    </w:p>
    <w:p w14:paraId="70D85D93" w14:textId="77777777" w:rsidR="00646D80" w:rsidRPr="00D764F5" w:rsidRDefault="00646D80" w:rsidP="00420C9A">
      <w:pPr>
        <w:rPr>
          <w:rFonts w:ascii="Arial" w:hAnsi="Arial" w:cs="Arial"/>
        </w:rPr>
      </w:pPr>
    </w:p>
    <w:p w14:paraId="755AE06E" w14:textId="77777777" w:rsidR="00420C9A" w:rsidRPr="00D764F5" w:rsidRDefault="00420C9A" w:rsidP="00420C9A">
      <w:pPr>
        <w:rPr>
          <w:rFonts w:ascii="Arial" w:hAnsi="Arial" w:cs="Arial"/>
        </w:rPr>
      </w:pPr>
    </w:p>
    <w:p w14:paraId="23BED0E4" w14:textId="0CFAD18B" w:rsidR="005835E7" w:rsidRPr="00D764F5" w:rsidRDefault="00420C9A" w:rsidP="00D764F5">
      <w:pPr>
        <w:rPr>
          <w:b/>
          <w:bCs/>
          <w:sz w:val="28"/>
          <w:szCs w:val="24"/>
        </w:rPr>
      </w:pPr>
      <w:r w:rsidRPr="00D764F5">
        <w:rPr>
          <w:b/>
          <w:bCs/>
          <w:sz w:val="28"/>
          <w:szCs w:val="24"/>
        </w:rPr>
        <w:lastRenderedPageBreak/>
        <w:t xml:space="preserve">Conclusion </w:t>
      </w:r>
    </w:p>
    <w:p w14:paraId="6A6084C8" w14:textId="77777777" w:rsidR="005835E7" w:rsidRPr="00D764F5" w:rsidRDefault="005835E7" w:rsidP="005835E7">
      <w:pPr>
        <w:rPr>
          <w:rFonts w:ascii="Arial" w:hAnsi="Arial" w:cs="Arial"/>
        </w:rPr>
      </w:pPr>
      <w:r w:rsidRPr="00D764F5">
        <w:rPr>
          <w:rFonts w:ascii="Arial" w:hAnsi="Arial" w:cs="Arial"/>
        </w:rPr>
        <w:t>The strategic trajectory of Hilton Worldwide is deeply intertwined with the progressive evolution of its HRM practices. This exploration has underscored the instrumental role of HRM in fortifying Hilton's strategic orientation and operational efficacy within the fiercely competitive global hospitality arena. Through pioneering workforce planning, recruitment, and selection methodologies, Hilton has meticulously forged a workforce that resonates with its strategic ambitions and core values. As the hospitality sector continues to morph, the indispensability of HRM in sculpting organizational strategy and spearheading international expansion is poised to escalate. Hilton Worldwide's narrative provides a compelling glimpse into the transformative impact of HRM on the strategic maturation of global hotel brands, underscoring HRM's capacity to propel innovation, operational excellence, and sustainable growth across the international hospitality landscape.</w:t>
      </w:r>
    </w:p>
    <w:p w14:paraId="580DA1F5" w14:textId="77777777" w:rsidR="005835E7" w:rsidRPr="00D764F5" w:rsidRDefault="005835E7" w:rsidP="005835E7">
      <w:pPr>
        <w:rPr>
          <w:rFonts w:ascii="Arial" w:hAnsi="Arial" w:cs="Arial"/>
        </w:rPr>
      </w:pPr>
    </w:p>
    <w:p w14:paraId="5388E71A" w14:textId="5FA6E486" w:rsidR="005835E7" w:rsidRPr="00D764F5" w:rsidRDefault="005835E7" w:rsidP="005835E7">
      <w:pPr>
        <w:rPr>
          <w:rFonts w:ascii="Arial" w:hAnsi="Arial" w:cs="Arial"/>
        </w:rPr>
      </w:pPr>
    </w:p>
    <w:p w14:paraId="00F5AD09" w14:textId="09F443A8" w:rsidR="00A8252D" w:rsidRDefault="00A8252D" w:rsidP="005835E7">
      <w:pPr>
        <w:rPr>
          <w:rFonts w:ascii="Arial" w:hAnsi="Arial" w:cs="Arial"/>
        </w:rPr>
      </w:pPr>
    </w:p>
    <w:p w14:paraId="1590A2AD" w14:textId="77777777" w:rsidR="00D764F5" w:rsidRDefault="00D764F5" w:rsidP="005835E7">
      <w:pPr>
        <w:rPr>
          <w:rFonts w:ascii="Arial" w:hAnsi="Arial" w:cs="Arial"/>
        </w:rPr>
      </w:pPr>
    </w:p>
    <w:p w14:paraId="4B23F021" w14:textId="77777777" w:rsidR="00D764F5" w:rsidRDefault="00D764F5" w:rsidP="005835E7">
      <w:pPr>
        <w:rPr>
          <w:rFonts w:ascii="Arial" w:hAnsi="Arial" w:cs="Arial"/>
        </w:rPr>
      </w:pPr>
    </w:p>
    <w:p w14:paraId="2E20EF30" w14:textId="77777777" w:rsidR="00D764F5" w:rsidRDefault="00D764F5" w:rsidP="005835E7">
      <w:pPr>
        <w:rPr>
          <w:rFonts w:ascii="Arial" w:hAnsi="Arial" w:cs="Arial"/>
        </w:rPr>
      </w:pPr>
    </w:p>
    <w:p w14:paraId="40454A06" w14:textId="77777777" w:rsidR="00D764F5" w:rsidRDefault="00D764F5" w:rsidP="005835E7">
      <w:pPr>
        <w:rPr>
          <w:rFonts w:ascii="Arial" w:hAnsi="Arial" w:cs="Arial"/>
        </w:rPr>
      </w:pPr>
    </w:p>
    <w:p w14:paraId="4BA141FE" w14:textId="77777777" w:rsidR="00D764F5" w:rsidRDefault="00D764F5" w:rsidP="005835E7">
      <w:pPr>
        <w:rPr>
          <w:rFonts w:ascii="Arial" w:hAnsi="Arial" w:cs="Arial"/>
        </w:rPr>
      </w:pPr>
    </w:p>
    <w:p w14:paraId="770DCA6A" w14:textId="77777777" w:rsidR="00D764F5" w:rsidRDefault="00D764F5" w:rsidP="005835E7">
      <w:pPr>
        <w:rPr>
          <w:rFonts w:ascii="Arial" w:hAnsi="Arial" w:cs="Arial"/>
        </w:rPr>
      </w:pPr>
    </w:p>
    <w:p w14:paraId="19E325FE" w14:textId="77777777" w:rsidR="00D764F5" w:rsidRDefault="00D764F5" w:rsidP="005835E7">
      <w:pPr>
        <w:rPr>
          <w:rFonts w:ascii="Arial" w:hAnsi="Arial" w:cs="Arial"/>
        </w:rPr>
      </w:pPr>
    </w:p>
    <w:p w14:paraId="2E50FAA4" w14:textId="77777777" w:rsidR="00D764F5" w:rsidRDefault="00D764F5" w:rsidP="005835E7">
      <w:pPr>
        <w:rPr>
          <w:rFonts w:ascii="Arial" w:hAnsi="Arial" w:cs="Arial"/>
        </w:rPr>
      </w:pPr>
    </w:p>
    <w:p w14:paraId="545AAEEB" w14:textId="38ED84FD" w:rsidR="00D764F5" w:rsidRDefault="00D764F5" w:rsidP="00D764F5">
      <w:pPr>
        <w:pStyle w:val="Heading1"/>
      </w:pPr>
      <w:r>
        <w:lastRenderedPageBreak/>
        <w:t>References</w:t>
      </w:r>
    </w:p>
    <w:p w14:paraId="6A18C07F"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Armstrong, M. and Taylor, S. (2020) </w:t>
      </w:r>
      <w:r w:rsidRPr="00E70C62">
        <w:rPr>
          <w:rFonts w:ascii="Arial" w:hAnsi="Arial"/>
          <w:i/>
          <w:iCs/>
          <w:shd w:val="clear" w:color="auto" w:fill="FFFFFF"/>
        </w:rPr>
        <w:t>Armstrong's handbook of human resource management practice</w:t>
      </w:r>
      <w:r w:rsidRPr="00E70C62">
        <w:rPr>
          <w:rFonts w:ascii="Arial" w:hAnsi="Arial"/>
          <w:shd w:val="clear" w:color="auto" w:fill="FFFFFF"/>
        </w:rPr>
        <w:t>. UK: Kogan Page Publishers.</w:t>
      </w:r>
    </w:p>
    <w:p w14:paraId="529DBAED"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Azmi, F.T. (2019) </w:t>
      </w:r>
      <w:r w:rsidRPr="00E70C62">
        <w:rPr>
          <w:rFonts w:ascii="Arial" w:hAnsi="Arial"/>
          <w:i/>
          <w:iCs/>
          <w:shd w:val="clear" w:color="auto" w:fill="FFFFFF"/>
        </w:rPr>
        <w:t>Strategic human resource management: text and cases.</w:t>
      </w:r>
      <w:r w:rsidRPr="00E70C62">
        <w:rPr>
          <w:rFonts w:ascii="Arial" w:hAnsi="Arial"/>
          <w:shd w:val="clear" w:color="auto" w:fill="FFFFFF"/>
        </w:rPr>
        <w:t xml:space="preserve"> UK: Cambridge University Press.</w:t>
      </w:r>
    </w:p>
    <w:p w14:paraId="0818FA6E"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Berman, E.M., Bowman, J.S., West, J.P. and Van Wart, M.R. (2021) </w:t>
      </w:r>
      <w:r w:rsidRPr="00E70C62">
        <w:rPr>
          <w:rFonts w:ascii="Arial" w:hAnsi="Arial"/>
          <w:i/>
          <w:iCs/>
          <w:shd w:val="clear" w:color="auto" w:fill="FFFFFF"/>
        </w:rPr>
        <w:t>Human resource management in public service: Paradoxes, processes, and problems</w:t>
      </w:r>
      <w:r w:rsidRPr="00E70C62">
        <w:rPr>
          <w:rFonts w:ascii="Arial" w:hAnsi="Arial"/>
          <w:shd w:val="clear" w:color="auto" w:fill="FFFFFF"/>
        </w:rPr>
        <w:t>. USA: CQ Press.</w:t>
      </w:r>
    </w:p>
    <w:p w14:paraId="414C09C1"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Boxall, P. and Purcell, J. (2022) </w:t>
      </w:r>
      <w:r w:rsidRPr="00E70C62">
        <w:rPr>
          <w:rFonts w:ascii="Arial" w:hAnsi="Arial"/>
          <w:i/>
          <w:iCs/>
          <w:shd w:val="clear" w:color="auto" w:fill="FFFFFF"/>
        </w:rPr>
        <w:t>Strategy and human resource management</w:t>
      </w:r>
      <w:r w:rsidRPr="00E70C62">
        <w:rPr>
          <w:rFonts w:ascii="Arial" w:hAnsi="Arial"/>
          <w:shd w:val="clear" w:color="auto" w:fill="FFFFFF"/>
        </w:rPr>
        <w:t>. UK: Bloomsbury Publishing.</w:t>
      </w:r>
    </w:p>
    <w:p w14:paraId="1D1F0902"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Boxall, P. and Purcell, J. (2022) </w:t>
      </w:r>
      <w:r w:rsidRPr="00E70C62">
        <w:rPr>
          <w:rFonts w:ascii="Arial" w:hAnsi="Arial"/>
          <w:i/>
          <w:iCs/>
          <w:shd w:val="clear" w:color="auto" w:fill="FFFFFF"/>
        </w:rPr>
        <w:t>Strategy and human resource management</w:t>
      </w:r>
      <w:r w:rsidRPr="00E70C62">
        <w:rPr>
          <w:rFonts w:ascii="Arial" w:hAnsi="Arial"/>
          <w:shd w:val="clear" w:color="auto" w:fill="FFFFFF"/>
        </w:rPr>
        <w:t>. UK: Bloomsbury Publishing.</w:t>
      </w:r>
    </w:p>
    <w:p w14:paraId="4AA947AD"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 xml:space="preserve">Fahy, J. and Jobber, D. (2019) </w:t>
      </w:r>
      <w:r w:rsidRPr="00E70C62">
        <w:rPr>
          <w:rFonts w:ascii="Arial" w:hAnsi="Arial"/>
          <w:i/>
          <w:iCs/>
          <w:shd w:val="clear" w:color="auto" w:fill="FFFFFF"/>
        </w:rPr>
        <w:t>Ebook: Foundations of marketing, 6e</w:t>
      </w:r>
      <w:r w:rsidRPr="00E70C62">
        <w:rPr>
          <w:rFonts w:ascii="Arial" w:hAnsi="Arial"/>
          <w:shd w:val="clear" w:color="auto" w:fill="FFFFFF"/>
        </w:rPr>
        <w:t>. USA: McGraw Hill.</w:t>
      </w:r>
    </w:p>
    <w:p w14:paraId="5B2F894B" w14:textId="77777777" w:rsidR="00E70C62" w:rsidRPr="00E70C62" w:rsidRDefault="00E70C62" w:rsidP="00E70C62">
      <w:pPr>
        <w:rPr>
          <w:rFonts w:ascii="Arial" w:hAnsi="Arial"/>
          <w:sz w:val="22"/>
        </w:rPr>
      </w:pPr>
      <w:r w:rsidRPr="00E70C62">
        <w:rPr>
          <w:rFonts w:ascii="Arial" w:hAnsi="Arial"/>
          <w:shd w:val="clear" w:color="auto" w:fill="FFFFFF"/>
        </w:rPr>
        <w:t>Greer, C.R. (2021) </w:t>
      </w:r>
      <w:r w:rsidRPr="00E70C62">
        <w:rPr>
          <w:rFonts w:ascii="Arial" w:hAnsi="Arial"/>
          <w:i/>
          <w:iCs/>
          <w:shd w:val="clear" w:color="auto" w:fill="FFFFFF"/>
        </w:rPr>
        <w:t>Strategic human resource management</w:t>
      </w:r>
      <w:r w:rsidRPr="00E70C62">
        <w:rPr>
          <w:rFonts w:ascii="Arial" w:hAnsi="Arial"/>
          <w:shd w:val="clear" w:color="auto" w:fill="FFFFFF"/>
        </w:rPr>
        <w:t>. UK: Pearson Custom Publishing.</w:t>
      </w:r>
    </w:p>
    <w:p w14:paraId="49B2ED18"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Holbeche, L. (2022) </w:t>
      </w:r>
      <w:r w:rsidRPr="00E70C62">
        <w:rPr>
          <w:rFonts w:ascii="Arial" w:hAnsi="Arial"/>
          <w:i/>
          <w:iCs/>
          <w:shd w:val="clear" w:color="auto" w:fill="FFFFFF"/>
        </w:rPr>
        <w:t>Aligning human resources and business strategy.</w:t>
      </w:r>
      <w:r w:rsidRPr="00E70C62">
        <w:rPr>
          <w:rFonts w:ascii="Arial" w:hAnsi="Arial"/>
          <w:shd w:val="clear" w:color="auto" w:fill="FFFFFF"/>
        </w:rPr>
        <w:t xml:space="preserve"> UK: Routledge.</w:t>
      </w:r>
    </w:p>
    <w:p w14:paraId="703E8C4E"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Kaufman, B.E. (2019) </w:t>
      </w:r>
      <w:r w:rsidRPr="00E70C62">
        <w:rPr>
          <w:rFonts w:ascii="Arial" w:hAnsi="Arial"/>
          <w:i/>
          <w:iCs/>
          <w:shd w:val="clear" w:color="auto" w:fill="FFFFFF"/>
        </w:rPr>
        <w:t>Managing the human factor: The early years of human resource management in American industry.</w:t>
      </w:r>
      <w:r w:rsidRPr="00E70C62">
        <w:rPr>
          <w:rFonts w:ascii="Arial" w:hAnsi="Arial"/>
          <w:shd w:val="clear" w:color="auto" w:fill="FFFFFF"/>
        </w:rPr>
        <w:t xml:space="preserve"> USA: Cornell University Press.</w:t>
      </w:r>
    </w:p>
    <w:p w14:paraId="2A997D54"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Legrand, W., Chen, J.S. and Laeis, G.C. (2022) </w:t>
      </w:r>
      <w:r w:rsidRPr="00E70C62">
        <w:rPr>
          <w:rFonts w:ascii="Arial" w:hAnsi="Arial"/>
          <w:i/>
          <w:iCs/>
          <w:shd w:val="clear" w:color="auto" w:fill="FFFFFF"/>
        </w:rPr>
        <w:t xml:space="preserve">Sustainability in the hospitality industry: Principles of sustainable operations. </w:t>
      </w:r>
      <w:r w:rsidRPr="00E70C62">
        <w:rPr>
          <w:rFonts w:ascii="Arial" w:hAnsi="Arial"/>
          <w:shd w:val="clear" w:color="auto" w:fill="FFFFFF"/>
        </w:rPr>
        <w:t>London, UK: Taylor &amp; Francis.</w:t>
      </w:r>
    </w:p>
    <w:p w14:paraId="5D69D60E"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Mahapatro, B. (2021) </w:t>
      </w:r>
      <w:r w:rsidRPr="00E70C62">
        <w:rPr>
          <w:rFonts w:ascii="Arial" w:hAnsi="Arial"/>
          <w:i/>
          <w:iCs/>
          <w:shd w:val="clear" w:color="auto" w:fill="FFFFFF"/>
        </w:rPr>
        <w:t>Human resource management</w:t>
      </w:r>
      <w:r w:rsidRPr="00E70C62">
        <w:rPr>
          <w:rFonts w:ascii="Arial" w:hAnsi="Arial"/>
          <w:shd w:val="clear" w:color="auto" w:fill="FFFFFF"/>
        </w:rPr>
        <w:t>. India: New Age International (P) ltd.</w:t>
      </w:r>
    </w:p>
    <w:p w14:paraId="4045CF6C"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Mahapatro, B. (2021) </w:t>
      </w:r>
      <w:r w:rsidRPr="00E70C62">
        <w:rPr>
          <w:rFonts w:ascii="Arial" w:hAnsi="Arial"/>
          <w:i/>
          <w:iCs/>
          <w:shd w:val="clear" w:color="auto" w:fill="FFFFFF"/>
        </w:rPr>
        <w:t>Human resource management</w:t>
      </w:r>
      <w:r w:rsidRPr="00E70C62">
        <w:rPr>
          <w:rFonts w:ascii="Arial" w:hAnsi="Arial"/>
          <w:shd w:val="clear" w:color="auto" w:fill="FFFFFF"/>
        </w:rPr>
        <w:t>. India: New Age International (P) ltd.</w:t>
      </w:r>
    </w:p>
    <w:p w14:paraId="51333122" w14:textId="77777777" w:rsidR="00E70C62" w:rsidRPr="00E70C62" w:rsidRDefault="00E70C62" w:rsidP="00E70C62">
      <w:pPr>
        <w:rPr>
          <w:rFonts w:ascii="Arial" w:hAnsi="Arial"/>
          <w:shd w:val="clear" w:color="auto" w:fill="FFFFFF"/>
        </w:rPr>
      </w:pPr>
      <w:r w:rsidRPr="00E70C62">
        <w:rPr>
          <w:rFonts w:ascii="Arial" w:hAnsi="Arial"/>
          <w:shd w:val="clear" w:color="auto" w:fill="FFFFFF"/>
        </w:rPr>
        <w:lastRenderedPageBreak/>
        <w:t>Malik, A. ed. (2022) </w:t>
      </w:r>
      <w:r w:rsidRPr="00E70C62">
        <w:rPr>
          <w:rFonts w:ascii="Arial" w:hAnsi="Arial"/>
          <w:i/>
          <w:iCs/>
          <w:shd w:val="clear" w:color="auto" w:fill="FFFFFF"/>
        </w:rPr>
        <w:t>Strategic human resource management and employment relations: An international perspective.</w:t>
      </w:r>
      <w:r w:rsidRPr="00E70C62">
        <w:rPr>
          <w:rFonts w:ascii="Arial" w:hAnsi="Arial"/>
          <w:shd w:val="clear" w:color="auto" w:fill="FFFFFF"/>
        </w:rPr>
        <w:t xml:space="preserve"> Germany: Springer Nature.</w:t>
      </w:r>
    </w:p>
    <w:p w14:paraId="33F0C975" w14:textId="77777777" w:rsidR="00E70C62" w:rsidRPr="00E70C62" w:rsidRDefault="00E70C62" w:rsidP="00E70C62">
      <w:pPr>
        <w:rPr>
          <w:rFonts w:ascii="Arial" w:hAnsi="Arial"/>
        </w:rPr>
      </w:pPr>
      <w:r w:rsidRPr="00E70C62">
        <w:rPr>
          <w:rFonts w:ascii="Arial" w:hAnsi="Arial"/>
        </w:rPr>
        <w:t xml:space="preserve">ManagementSearvicesHilton, (2021) </w:t>
      </w:r>
      <w:r w:rsidRPr="00E70C62">
        <w:rPr>
          <w:rFonts w:ascii="Arial" w:hAnsi="Arial"/>
          <w:i/>
          <w:iCs/>
        </w:rPr>
        <w:t xml:space="preserve">HR &amp; Training. </w:t>
      </w:r>
      <w:r w:rsidRPr="00E70C62">
        <w:rPr>
          <w:rFonts w:ascii="Arial" w:hAnsi="Arial"/>
        </w:rPr>
        <w:t xml:space="preserve">Available at: </w:t>
      </w:r>
      <w:hyperlink r:id="rId9" w:history="1">
        <w:r w:rsidRPr="00E70C62">
          <w:rPr>
            <w:rFonts w:ascii="Arial" w:hAnsi="Arial"/>
            <w:color w:val="0563C1" w:themeColor="hyperlink"/>
            <w:u w:val="single"/>
          </w:rPr>
          <w:t>https://managementservices.hilton.com/en/support-services/hr-training/</w:t>
        </w:r>
      </w:hyperlink>
      <w:r w:rsidRPr="00E70C62">
        <w:rPr>
          <w:rFonts w:ascii="Arial" w:hAnsi="Arial"/>
        </w:rPr>
        <w:t xml:space="preserve">. (Accessed on 01 Feb 2024). </w:t>
      </w:r>
    </w:p>
    <w:p w14:paraId="376D5AC1"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Pattanayak, B. (2020) </w:t>
      </w:r>
      <w:r w:rsidRPr="00E70C62">
        <w:rPr>
          <w:rFonts w:ascii="Arial" w:hAnsi="Arial"/>
          <w:i/>
          <w:iCs/>
          <w:shd w:val="clear" w:color="auto" w:fill="FFFFFF"/>
        </w:rPr>
        <w:t>Human resource management</w:t>
      </w:r>
      <w:r w:rsidRPr="00E70C62">
        <w:rPr>
          <w:rFonts w:ascii="Arial" w:hAnsi="Arial"/>
          <w:shd w:val="clear" w:color="auto" w:fill="FFFFFF"/>
        </w:rPr>
        <w:t>. India: PHI Learning Pvt. Ltd.</w:t>
      </w:r>
    </w:p>
    <w:p w14:paraId="793F825D"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Schmidt, L. (2021) </w:t>
      </w:r>
      <w:r w:rsidRPr="00E70C62">
        <w:rPr>
          <w:rFonts w:ascii="Arial" w:hAnsi="Arial"/>
          <w:i/>
          <w:iCs/>
          <w:shd w:val="clear" w:color="auto" w:fill="FFFFFF"/>
        </w:rPr>
        <w:t xml:space="preserve">Redefining HR: Transforming people teams to drive business performance. </w:t>
      </w:r>
      <w:r w:rsidRPr="00E70C62">
        <w:rPr>
          <w:rFonts w:ascii="Arial" w:hAnsi="Arial"/>
          <w:shd w:val="clear" w:color="auto" w:fill="FFFFFF"/>
        </w:rPr>
        <w:t>UK: Kogan Page Publishers.</w:t>
      </w:r>
    </w:p>
    <w:p w14:paraId="14792B57"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Stewart, G.L. and Brown, K.G. (2019) </w:t>
      </w:r>
      <w:r w:rsidRPr="00E70C62">
        <w:rPr>
          <w:rFonts w:ascii="Arial" w:hAnsi="Arial"/>
          <w:i/>
          <w:iCs/>
          <w:shd w:val="clear" w:color="auto" w:fill="FFFFFF"/>
        </w:rPr>
        <w:t>Human resource management</w:t>
      </w:r>
      <w:r w:rsidRPr="00E70C62">
        <w:rPr>
          <w:rFonts w:ascii="Arial" w:hAnsi="Arial"/>
          <w:shd w:val="clear" w:color="auto" w:fill="FFFFFF"/>
        </w:rPr>
        <w:t>. USA: John Wiley &amp; Sons.</w:t>
      </w:r>
    </w:p>
    <w:p w14:paraId="07805E55"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Stewart, G.L. and Brown, K.G. (2019) </w:t>
      </w:r>
      <w:r w:rsidRPr="00E70C62">
        <w:rPr>
          <w:rFonts w:ascii="Arial" w:hAnsi="Arial"/>
          <w:i/>
          <w:iCs/>
          <w:shd w:val="clear" w:color="auto" w:fill="FFFFFF"/>
        </w:rPr>
        <w:t>Human resource management</w:t>
      </w:r>
      <w:r w:rsidRPr="00E70C62">
        <w:rPr>
          <w:rFonts w:ascii="Arial" w:hAnsi="Arial"/>
          <w:shd w:val="clear" w:color="auto" w:fill="FFFFFF"/>
        </w:rPr>
        <w:t>. USA: John Wiley &amp; Sons.</w:t>
      </w:r>
    </w:p>
    <w:p w14:paraId="62AF9F6B"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Storey, J., Ulrich, D. and Wright, P.M. (2019) </w:t>
      </w:r>
      <w:r w:rsidRPr="00E70C62">
        <w:rPr>
          <w:rFonts w:ascii="Arial" w:hAnsi="Arial"/>
          <w:i/>
          <w:iCs/>
          <w:shd w:val="clear" w:color="auto" w:fill="FFFFFF"/>
        </w:rPr>
        <w:t>Strategic human resource management: A research overview</w:t>
      </w:r>
      <w:r w:rsidRPr="00E70C62">
        <w:rPr>
          <w:rFonts w:ascii="Arial" w:hAnsi="Arial"/>
          <w:shd w:val="clear" w:color="auto" w:fill="FFFFFF"/>
        </w:rPr>
        <w:t>. UK: Routledge.</w:t>
      </w:r>
    </w:p>
    <w:p w14:paraId="0683C316" w14:textId="77777777" w:rsidR="00E70C62" w:rsidRPr="00E70C62" w:rsidRDefault="00E70C62" w:rsidP="00E70C62">
      <w:pPr>
        <w:rPr>
          <w:rFonts w:ascii="Arial" w:hAnsi="Arial"/>
          <w:shd w:val="clear" w:color="auto" w:fill="FFFFFF"/>
        </w:rPr>
      </w:pPr>
      <w:r w:rsidRPr="00E70C62">
        <w:rPr>
          <w:rFonts w:ascii="Arial" w:hAnsi="Arial"/>
          <w:shd w:val="clear" w:color="auto" w:fill="FFFFFF"/>
        </w:rPr>
        <w:t>Trost, A. (2020) </w:t>
      </w:r>
      <w:r w:rsidRPr="00E70C62">
        <w:rPr>
          <w:rFonts w:ascii="Arial" w:hAnsi="Arial"/>
          <w:i/>
          <w:iCs/>
          <w:shd w:val="clear" w:color="auto" w:fill="FFFFFF"/>
        </w:rPr>
        <w:t>Human resources strategies</w:t>
      </w:r>
      <w:r w:rsidRPr="00E70C62">
        <w:rPr>
          <w:rFonts w:ascii="Arial" w:hAnsi="Arial"/>
          <w:shd w:val="clear" w:color="auto" w:fill="FFFFFF"/>
        </w:rPr>
        <w:t>. Switzerland: Cham: Springer International Publishing.</w:t>
      </w:r>
    </w:p>
    <w:p w14:paraId="310FA8CC" w14:textId="77777777" w:rsidR="00D764F5" w:rsidRPr="00D764F5" w:rsidRDefault="00D764F5" w:rsidP="005835E7">
      <w:pPr>
        <w:rPr>
          <w:rFonts w:ascii="Arial" w:hAnsi="Arial" w:cs="Arial"/>
        </w:rPr>
      </w:pPr>
    </w:p>
    <w:sectPr w:rsidR="00D764F5" w:rsidRPr="00D764F5" w:rsidSect="00D764F5">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B7E68" w14:textId="77777777" w:rsidR="00D764F5" w:rsidRDefault="00D764F5" w:rsidP="00D764F5">
      <w:pPr>
        <w:spacing w:before="0" w:after="0" w:line="240" w:lineRule="auto"/>
      </w:pPr>
      <w:r>
        <w:separator/>
      </w:r>
    </w:p>
  </w:endnote>
  <w:endnote w:type="continuationSeparator" w:id="0">
    <w:p w14:paraId="4AB9CBD6" w14:textId="77777777" w:rsidR="00D764F5" w:rsidRDefault="00D764F5" w:rsidP="00D764F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600332"/>
      <w:docPartObj>
        <w:docPartGallery w:val="Page Numbers (Bottom of Page)"/>
        <w:docPartUnique/>
      </w:docPartObj>
    </w:sdtPr>
    <w:sdtEndPr>
      <w:rPr>
        <w:noProof/>
      </w:rPr>
    </w:sdtEndPr>
    <w:sdtContent>
      <w:p w14:paraId="11A8747C" w14:textId="6328EA6D" w:rsidR="00D764F5" w:rsidRDefault="00D764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F1A69C" w14:textId="77777777" w:rsidR="00D764F5" w:rsidRDefault="00D76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0676A" w14:textId="77777777" w:rsidR="00D764F5" w:rsidRDefault="00D764F5" w:rsidP="00D764F5">
      <w:pPr>
        <w:spacing w:before="0" w:after="0" w:line="240" w:lineRule="auto"/>
      </w:pPr>
      <w:r>
        <w:separator/>
      </w:r>
    </w:p>
  </w:footnote>
  <w:footnote w:type="continuationSeparator" w:id="0">
    <w:p w14:paraId="2F52F548" w14:textId="77777777" w:rsidR="00D764F5" w:rsidRDefault="00D764F5" w:rsidP="00D764F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C9A"/>
    <w:rsid w:val="00100A73"/>
    <w:rsid w:val="00146851"/>
    <w:rsid w:val="002107F6"/>
    <w:rsid w:val="00344A58"/>
    <w:rsid w:val="00420C9A"/>
    <w:rsid w:val="0054767B"/>
    <w:rsid w:val="005835E7"/>
    <w:rsid w:val="00646D80"/>
    <w:rsid w:val="006D38B5"/>
    <w:rsid w:val="008D5849"/>
    <w:rsid w:val="00A50D37"/>
    <w:rsid w:val="00A8252D"/>
    <w:rsid w:val="00B121FB"/>
    <w:rsid w:val="00B23D5F"/>
    <w:rsid w:val="00B40B40"/>
    <w:rsid w:val="00B87999"/>
    <w:rsid w:val="00C515C5"/>
    <w:rsid w:val="00C62B2D"/>
    <w:rsid w:val="00CF4FE3"/>
    <w:rsid w:val="00D764F5"/>
    <w:rsid w:val="00E70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69800"/>
  <w15:chartTrackingRefBased/>
  <w15:docId w15:val="{A1755B83-F6A5-4AAC-8D06-F2EE80B80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240"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D37"/>
    <w:rPr>
      <w:rFonts w:ascii="Times New Roman" w:hAnsi="Times New Roman"/>
      <w:sz w:val="24"/>
    </w:rPr>
  </w:style>
  <w:style w:type="paragraph" w:styleId="Heading1">
    <w:name w:val="heading 1"/>
    <w:basedOn w:val="Normal"/>
    <w:next w:val="Normal"/>
    <w:link w:val="Heading1Char"/>
    <w:autoRedefine/>
    <w:uiPriority w:val="9"/>
    <w:qFormat/>
    <w:rsid w:val="008D5849"/>
    <w:pPr>
      <w:keepNext/>
      <w:keepLines/>
      <w:spacing w:after="0"/>
      <w:outlineLvl w:val="0"/>
    </w:pPr>
    <w:rPr>
      <w:b/>
      <w:sz w:val="28"/>
    </w:rPr>
  </w:style>
  <w:style w:type="paragraph" w:styleId="Heading2">
    <w:name w:val="heading 2"/>
    <w:basedOn w:val="Normal"/>
    <w:next w:val="Normal"/>
    <w:link w:val="Heading2Char"/>
    <w:autoRedefine/>
    <w:uiPriority w:val="9"/>
    <w:unhideWhenUsed/>
    <w:qFormat/>
    <w:rsid w:val="00B87999"/>
    <w:pPr>
      <w:keepNext/>
      <w:keepLines/>
      <w:spacing w:before="40" w:after="0"/>
      <w:ind w:left="284"/>
      <w:outlineLvl w:val="1"/>
    </w:pPr>
    <w:rPr>
      <w:rFonts w:eastAsiaTheme="majorEastAsia" w:cs="Times New Roman"/>
      <w:b/>
      <w:szCs w:val="24"/>
    </w:rPr>
  </w:style>
  <w:style w:type="paragraph" w:styleId="Heading3">
    <w:name w:val="heading 3"/>
    <w:basedOn w:val="Normal"/>
    <w:next w:val="Normal"/>
    <w:link w:val="Heading3Char"/>
    <w:autoRedefine/>
    <w:uiPriority w:val="9"/>
    <w:unhideWhenUsed/>
    <w:qFormat/>
    <w:rsid w:val="00C515C5"/>
    <w:pPr>
      <w:keepNext/>
      <w:keepLines/>
      <w:spacing w:before="160" w:after="80"/>
      <w:jc w:val="left"/>
      <w:outlineLvl w:val="2"/>
    </w:pPr>
    <w:rPr>
      <w:rFonts w:eastAsiaTheme="majorEastAsia" w:cstheme="majorBidi"/>
      <w:b/>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849"/>
    <w:rPr>
      <w:rFonts w:ascii="Times New Roman" w:hAnsi="Times New Roman"/>
      <w:b/>
      <w:sz w:val="28"/>
    </w:rPr>
  </w:style>
  <w:style w:type="character" w:customStyle="1" w:styleId="Heading2Char">
    <w:name w:val="Heading 2 Char"/>
    <w:basedOn w:val="DefaultParagraphFont"/>
    <w:link w:val="Heading2"/>
    <w:uiPriority w:val="9"/>
    <w:rsid w:val="00B87999"/>
    <w:rPr>
      <w:rFonts w:ascii="Times New Roman" w:eastAsiaTheme="majorEastAsia" w:hAnsi="Times New Roman" w:cs="Times New Roman"/>
      <w:b/>
      <w:sz w:val="24"/>
      <w:szCs w:val="24"/>
    </w:rPr>
  </w:style>
  <w:style w:type="character" w:customStyle="1" w:styleId="Heading3Char">
    <w:name w:val="Heading 3 Char"/>
    <w:basedOn w:val="DefaultParagraphFont"/>
    <w:link w:val="Heading3"/>
    <w:uiPriority w:val="9"/>
    <w:rsid w:val="00C515C5"/>
    <w:rPr>
      <w:rFonts w:ascii="Times New Roman" w:eastAsiaTheme="majorEastAsia" w:hAnsi="Times New Roman" w:cstheme="majorBidi"/>
      <w:b/>
      <w:i/>
      <w:sz w:val="24"/>
      <w:szCs w:val="28"/>
    </w:rPr>
  </w:style>
  <w:style w:type="paragraph" w:styleId="Header">
    <w:name w:val="header"/>
    <w:basedOn w:val="Normal"/>
    <w:link w:val="HeaderChar"/>
    <w:uiPriority w:val="99"/>
    <w:unhideWhenUsed/>
    <w:rsid w:val="00D764F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764F5"/>
    <w:rPr>
      <w:rFonts w:ascii="Times New Roman" w:hAnsi="Times New Roman"/>
      <w:sz w:val="24"/>
    </w:rPr>
  </w:style>
  <w:style w:type="paragraph" w:styleId="Footer">
    <w:name w:val="footer"/>
    <w:basedOn w:val="Normal"/>
    <w:link w:val="FooterChar"/>
    <w:uiPriority w:val="99"/>
    <w:unhideWhenUsed/>
    <w:rsid w:val="00D764F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764F5"/>
    <w:rPr>
      <w:rFonts w:ascii="Times New Roman" w:hAnsi="Times New Roman"/>
      <w:sz w:val="24"/>
    </w:rPr>
  </w:style>
  <w:style w:type="paragraph" w:styleId="NoSpacing">
    <w:name w:val="No Spacing"/>
    <w:link w:val="NoSpacingChar"/>
    <w:uiPriority w:val="1"/>
    <w:qFormat/>
    <w:rsid w:val="00D764F5"/>
    <w:pPr>
      <w:spacing w:before="0" w:after="0" w:afterAutospacing="0" w:line="240" w:lineRule="auto"/>
      <w:jc w:val="left"/>
    </w:pPr>
    <w:rPr>
      <w:rFonts w:eastAsiaTheme="minorEastAsia"/>
      <w:kern w:val="0"/>
      <w:lang w:val="en-US"/>
      <w14:ligatures w14:val="none"/>
    </w:rPr>
  </w:style>
  <w:style w:type="character" w:customStyle="1" w:styleId="NoSpacingChar">
    <w:name w:val="No Spacing Char"/>
    <w:basedOn w:val="DefaultParagraphFont"/>
    <w:link w:val="NoSpacing"/>
    <w:uiPriority w:val="1"/>
    <w:rsid w:val="00D764F5"/>
    <w:rPr>
      <w:rFonts w:eastAsiaTheme="minorEastAsia"/>
      <w:kern w:val="0"/>
      <w:lang w:val="en-US"/>
      <w14:ligatures w14:val="none"/>
    </w:rPr>
  </w:style>
  <w:style w:type="table" w:customStyle="1" w:styleId="TableGrid">
    <w:name w:val="TableGrid"/>
    <w:rsid w:val="00D764F5"/>
    <w:pPr>
      <w:spacing w:before="0" w:after="0" w:afterAutospacing="0" w:line="240" w:lineRule="auto"/>
      <w:jc w:val="left"/>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87814">
      <w:bodyDiv w:val="1"/>
      <w:marLeft w:val="0"/>
      <w:marRight w:val="0"/>
      <w:marTop w:val="0"/>
      <w:marBottom w:val="0"/>
      <w:divBdr>
        <w:top w:val="none" w:sz="0" w:space="0" w:color="auto"/>
        <w:left w:val="none" w:sz="0" w:space="0" w:color="auto"/>
        <w:bottom w:val="none" w:sz="0" w:space="0" w:color="auto"/>
        <w:right w:val="none" w:sz="0" w:space="0" w:color="auto"/>
      </w:divBdr>
    </w:div>
    <w:div w:id="1699115269">
      <w:bodyDiv w:val="1"/>
      <w:marLeft w:val="0"/>
      <w:marRight w:val="0"/>
      <w:marTop w:val="0"/>
      <w:marBottom w:val="0"/>
      <w:divBdr>
        <w:top w:val="none" w:sz="0" w:space="0" w:color="auto"/>
        <w:left w:val="none" w:sz="0" w:space="0" w:color="auto"/>
        <w:bottom w:val="none" w:sz="0" w:space="0" w:color="auto"/>
        <w:right w:val="none" w:sz="0" w:space="0" w:color="auto"/>
      </w:divBdr>
    </w:div>
    <w:div w:id="174603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anagementservices.hilton.com/en/support-services/hr-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6F8F5E-4E7C-457A-B986-37E4C6774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11</Pages>
  <Words>2779</Words>
  <Characters>15845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Enache</dc:creator>
  <cp:keywords/>
  <dc:description/>
  <cp:lastModifiedBy>Madalina Enache</cp:lastModifiedBy>
  <cp:revision>1</cp:revision>
  <dcterms:created xsi:type="dcterms:W3CDTF">2024-02-11T17:32:00Z</dcterms:created>
  <dcterms:modified xsi:type="dcterms:W3CDTF">2024-02-12T14:22:00Z</dcterms:modified>
</cp:coreProperties>
</file>