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387E0" w14:textId="77777777" w:rsidR="00B16314" w:rsidRDefault="00B16314"/>
    <w:p w14:paraId="468FEB5D" w14:textId="77777777" w:rsidR="00362AA5" w:rsidRDefault="00B234CF" w:rsidP="00DC4327">
      <w:pPr>
        <w:spacing w:line="360" w:lineRule="auto"/>
        <w:jc w:val="center"/>
        <w:rPr>
          <w:b/>
          <w:sz w:val="44"/>
          <w:szCs w:val="44"/>
        </w:rPr>
      </w:pPr>
      <w:r>
        <w:rPr>
          <w:b/>
          <w:sz w:val="44"/>
          <w:szCs w:val="44"/>
        </w:rPr>
        <w:t xml:space="preserve">How does the absence of formal education affect the social and </w:t>
      </w:r>
    </w:p>
    <w:p w14:paraId="7AD31F00" w14:textId="27501705" w:rsidR="00DC4327" w:rsidRDefault="00B234CF" w:rsidP="00DC4327">
      <w:pPr>
        <w:spacing w:line="360" w:lineRule="auto"/>
        <w:jc w:val="center"/>
        <w:rPr>
          <w:b/>
          <w:sz w:val="44"/>
          <w:szCs w:val="44"/>
        </w:rPr>
      </w:pPr>
      <w:r>
        <w:rPr>
          <w:b/>
          <w:sz w:val="44"/>
          <w:szCs w:val="44"/>
        </w:rPr>
        <w:t xml:space="preserve">emotional </w:t>
      </w:r>
      <w:r w:rsidR="00362AA5">
        <w:rPr>
          <w:b/>
          <w:sz w:val="44"/>
          <w:szCs w:val="44"/>
        </w:rPr>
        <w:t>wellbeing of young people?</w:t>
      </w:r>
    </w:p>
    <w:p w14:paraId="105932CC" w14:textId="77777777" w:rsidR="00DC4327" w:rsidRDefault="00DC4327" w:rsidP="00DC4327">
      <w:pPr>
        <w:spacing w:line="360" w:lineRule="auto"/>
        <w:jc w:val="right"/>
        <w:rPr>
          <w:b/>
          <w:sz w:val="44"/>
          <w:szCs w:val="44"/>
        </w:rPr>
      </w:pPr>
    </w:p>
    <w:p w14:paraId="48FE6FE2" w14:textId="77777777" w:rsidR="00DC4327" w:rsidRDefault="00DC4327" w:rsidP="00DC4327">
      <w:pPr>
        <w:jc w:val="right"/>
        <w:rPr>
          <w:b/>
          <w:i/>
          <w:iCs/>
          <w:sz w:val="56"/>
          <w:szCs w:val="48"/>
        </w:rPr>
      </w:pPr>
    </w:p>
    <w:p w14:paraId="64171EA5" w14:textId="2694FDFB" w:rsidR="00DC4327" w:rsidRPr="00DC4327" w:rsidRDefault="00362AA5" w:rsidP="00DC4327">
      <w:pPr>
        <w:jc w:val="right"/>
        <w:rPr>
          <w:b/>
          <w:i/>
          <w:iCs/>
          <w:sz w:val="56"/>
          <w:szCs w:val="48"/>
        </w:rPr>
      </w:pPr>
      <w:r>
        <w:rPr>
          <w:b/>
          <w:i/>
          <w:iCs/>
          <w:sz w:val="56"/>
          <w:szCs w:val="48"/>
        </w:rPr>
        <w:t>Nichola Taylor</w:t>
      </w:r>
    </w:p>
    <w:p w14:paraId="65FF8F35" w14:textId="53424C6E" w:rsidR="00DC4327" w:rsidRDefault="00DC4327" w:rsidP="00DC4327">
      <w:pPr>
        <w:jc w:val="right"/>
        <w:rPr>
          <w:b/>
          <w:i/>
          <w:iCs/>
          <w:sz w:val="56"/>
          <w:szCs w:val="48"/>
        </w:rPr>
      </w:pPr>
      <w:r w:rsidRPr="003366DD">
        <w:rPr>
          <w:b/>
          <w:iCs/>
          <w:sz w:val="56"/>
          <w:szCs w:val="48"/>
        </w:rPr>
        <w:t xml:space="preserve"> </w:t>
      </w:r>
      <w:r w:rsidR="00F52E29">
        <w:rPr>
          <w:b/>
          <w:i/>
          <w:iCs/>
          <w:sz w:val="56"/>
          <w:szCs w:val="48"/>
        </w:rPr>
        <w:t>2220389</w:t>
      </w:r>
    </w:p>
    <w:p w14:paraId="0C3D0E3A" w14:textId="77777777" w:rsidR="00F52E29" w:rsidRPr="003366DD" w:rsidRDefault="00F52E29" w:rsidP="00DC4327">
      <w:pPr>
        <w:jc w:val="right"/>
        <w:rPr>
          <w:b/>
          <w:sz w:val="56"/>
          <w:szCs w:val="48"/>
        </w:rPr>
      </w:pPr>
    </w:p>
    <w:p w14:paraId="1825DA58" w14:textId="77777777" w:rsidR="00DC4327" w:rsidRPr="00C82C1C" w:rsidRDefault="00DC4327" w:rsidP="00DC4327">
      <w:pPr>
        <w:spacing w:line="480" w:lineRule="auto"/>
        <w:jc w:val="right"/>
        <w:rPr>
          <w:i/>
        </w:rPr>
      </w:pPr>
    </w:p>
    <w:p w14:paraId="7F361FA2" w14:textId="77777777" w:rsidR="00DC4327" w:rsidRDefault="00DC4327" w:rsidP="00DC4327">
      <w:pPr>
        <w:spacing w:line="480" w:lineRule="auto"/>
        <w:jc w:val="right"/>
        <w:rPr>
          <w:i/>
        </w:rPr>
      </w:pPr>
    </w:p>
    <w:p w14:paraId="5A68767F" w14:textId="77777777" w:rsidR="00DC4327" w:rsidRDefault="00DC4327" w:rsidP="00DC4327">
      <w:pPr>
        <w:spacing w:line="480" w:lineRule="auto"/>
        <w:jc w:val="right"/>
        <w:rPr>
          <w:i/>
        </w:rPr>
      </w:pPr>
    </w:p>
    <w:p w14:paraId="7496CEA9" w14:textId="77777777" w:rsidR="00DC4327" w:rsidRPr="00C82C1C" w:rsidRDefault="00DC4327" w:rsidP="00DC4327">
      <w:pPr>
        <w:spacing w:line="480" w:lineRule="auto"/>
        <w:jc w:val="right"/>
        <w:rPr>
          <w:i/>
        </w:rPr>
      </w:pPr>
    </w:p>
    <w:p w14:paraId="375BECE2" w14:textId="0966E561" w:rsidR="00DC4327" w:rsidRPr="00C82C1C" w:rsidRDefault="00DC4327" w:rsidP="00DC4327">
      <w:pPr>
        <w:spacing w:line="480" w:lineRule="auto"/>
        <w:jc w:val="right"/>
        <w:rPr>
          <w:i/>
        </w:rPr>
      </w:pPr>
      <w:r>
        <w:rPr>
          <w:i/>
          <w:sz w:val="52"/>
          <w:szCs w:val="52"/>
        </w:rPr>
        <w:t>Date of Submission</w:t>
      </w:r>
    </w:p>
    <w:p w14:paraId="5C9B72F7" w14:textId="5A189377" w:rsidR="00DC4327" w:rsidRPr="00C82C1C" w:rsidRDefault="00DC4327" w:rsidP="00DC4327">
      <w:pPr>
        <w:spacing w:line="480" w:lineRule="auto"/>
        <w:jc w:val="right"/>
        <w:rPr>
          <w:b/>
          <w:i/>
          <w:sz w:val="48"/>
          <w:szCs w:val="48"/>
        </w:rPr>
      </w:pPr>
      <w:r>
        <w:rPr>
          <w:b/>
          <w:i/>
          <w:sz w:val="48"/>
          <w:szCs w:val="48"/>
        </w:rPr>
        <w:t>EC</w:t>
      </w:r>
      <w:r w:rsidR="000F595F">
        <w:rPr>
          <w:b/>
          <w:i/>
          <w:sz w:val="48"/>
          <w:szCs w:val="48"/>
        </w:rPr>
        <w:t>GE6003Q</w:t>
      </w:r>
    </w:p>
    <w:p w14:paraId="529657E7" w14:textId="77777777" w:rsidR="00DC4327" w:rsidRDefault="00DC4327" w:rsidP="00DC4327">
      <w:pPr>
        <w:spacing w:line="360" w:lineRule="auto"/>
        <w:jc w:val="right"/>
        <w:rPr>
          <w:i/>
          <w:sz w:val="40"/>
          <w:szCs w:val="40"/>
        </w:rPr>
      </w:pPr>
      <w:r>
        <w:rPr>
          <w:i/>
          <w:sz w:val="40"/>
          <w:szCs w:val="40"/>
        </w:rPr>
        <w:t xml:space="preserve">Yr </w:t>
      </w:r>
      <w:proofErr w:type="spellStart"/>
      <w:r>
        <w:rPr>
          <w:i/>
          <w:sz w:val="40"/>
          <w:szCs w:val="40"/>
        </w:rPr>
        <w:t>Athrofa</w:t>
      </w:r>
      <w:proofErr w:type="spellEnd"/>
      <w:r>
        <w:rPr>
          <w:i/>
          <w:sz w:val="40"/>
          <w:szCs w:val="40"/>
        </w:rPr>
        <w:t xml:space="preserve">: Education and Humanities </w:t>
      </w:r>
    </w:p>
    <w:p w14:paraId="6CB72184" w14:textId="77777777" w:rsidR="00DC4327" w:rsidRDefault="00DC4327" w:rsidP="00DC4327">
      <w:pPr>
        <w:ind w:left="720"/>
        <w:rPr>
          <w:b/>
        </w:rPr>
      </w:pPr>
    </w:p>
    <w:p w14:paraId="03F7B5A9" w14:textId="708F5770" w:rsidR="00147DC0" w:rsidRPr="003366DD" w:rsidRDefault="00DC4327" w:rsidP="00DC4327">
      <w:pPr>
        <w:spacing w:line="480" w:lineRule="auto"/>
        <w:outlineLvl w:val="0"/>
        <w:rPr>
          <w:b/>
        </w:rPr>
      </w:pPr>
      <w:bookmarkStart w:id="0" w:name="_Toc193355355"/>
      <w:r w:rsidRPr="003366DD">
        <w:rPr>
          <w:b/>
        </w:rPr>
        <w:t>DECLARATION FORM</w:t>
      </w:r>
      <w:bookmarkEnd w:id="0"/>
    </w:p>
    <w:p w14:paraId="7F58FDBA" w14:textId="77777777" w:rsidR="00DC4327" w:rsidRDefault="00DC4327" w:rsidP="00DC4327">
      <w:r>
        <w:rPr>
          <w:noProof/>
        </w:rPr>
        <w:drawing>
          <wp:inline distT="0" distB="0" distL="0" distR="0" wp14:anchorId="047A3E01" wp14:editId="60A9538D">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40AC135" w14:textId="77777777" w:rsidR="00DC4327" w:rsidRDefault="00DC4327" w:rsidP="00DC4327">
      <w:pPr>
        <w:jc w:val="center"/>
      </w:pPr>
    </w:p>
    <w:p w14:paraId="7BA2D2CF" w14:textId="77777777" w:rsidR="00DC4327" w:rsidRDefault="00DC4327" w:rsidP="00DC4327">
      <w:pPr>
        <w:jc w:val="center"/>
      </w:pPr>
    </w:p>
    <w:p w14:paraId="48D34A39" w14:textId="77777777" w:rsidR="00DC4327" w:rsidRDefault="00DC4327" w:rsidP="00DC4327">
      <w:pPr>
        <w:rPr>
          <w:b/>
          <w:bCs/>
        </w:rPr>
      </w:pPr>
    </w:p>
    <w:p w14:paraId="0FD64EAD" w14:textId="77777777" w:rsidR="00B85D42" w:rsidRPr="00DD149D" w:rsidRDefault="00B85D42" w:rsidP="00B85D42">
      <w:pPr>
        <w:rPr>
          <w:rFonts w:ascii="Arial" w:hAnsi="Arial" w:cs="Arial"/>
        </w:rPr>
      </w:pPr>
      <w:r w:rsidRPr="00DD149D">
        <w:rPr>
          <w:rFonts w:ascii="Arial" w:hAnsi="Arial" w:cs="Arial"/>
        </w:rPr>
        <w:t>Dissertation Declaration Form.</w:t>
      </w:r>
    </w:p>
    <w:p w14:paraId="2B94F760" w14:textId="77777777" w:rsidR="00B85D42" w:rsidRPr="00DD149D" w:rsidRDefault="00B85D42" w:rsidP="00B85D42">
      <w:pPr>
        <w:rPr>
          <w:rFonts w:ascii="Arial" w:hAnsi="Arial" w:cs="Arial"/>
        </w:rPr>
      </w:pPr>
    </w:p>
    <w:p w14:paraId="0CE2DE04" w14:textId="77777777" w:rsidR="00B85D42" w:rsidRPr="00DD149D" w:rsidRDefault="00B85D42" w:rsidP="00B85D42">
      <w:pPr>
        <w:rPr>
          <w:rFonts w:ascii="Arial" w:hAnsi="Arial" w:cs="Arial"/>
        </w:rPr>
      </w:pPr>
      <w:r w:rsidRPr="00DD149D">
        <w:rPr>
          <w:rFonts w:ascii="Arial" w:hAnsi="Arial" w:cs="Arial"/>
        </w:rPr>
        <w:t>1. This work has not previously been accepted in substance for any degree and is not being concurrently submitted in candidature for any degree.</w:t>
      </w:r>
    </w:p>
    <w:p w14:paraId="766C0582" w14:textId="1A679316" w:rsidR="00B85D42" w:rsidRPr="00DD149D" w:rsidRDefault="00B85D42" w:rsidP="00B85D42">
      <w:pPr>
        <w:rPr>
          <w:rFonts w:ascii="Arial" w:hAnsi="Arial" w:cs="Arial"/>
        </w:rPr>
      </w:pPr>
      <w:r w:rsidRPr="00DD149D">
        <w:rPr>
          <w:rFonts w:ascii="Arial" w:hAnsi="Arial" w:cs="Arial"/>
        </w:rPr>
        <w:t>Signed…</w:t>
      </w:r>
      <w:proofErr w:type="spellStart"/>
      <w:r w:rsidR="00907EE6">
        <w:rPr>
          <w:rFonts w:ascii="Arial" w:hAnsi="Arial" w:cs="Arial"/>
        </w:rPr>
        <w:t>N.Taylor</w:t>
      </w:r>
      <w:proofErr w:type="spellEnd"/>
    </w:p>
    <w:p w14:paraId="291C4610" w14:textId="33990740" w:rsidR="00B85D42" w:rsidRPr="00DD149D" w:rsidRDefault="00B85D42" w:rsidP="00B85D42">
      <w:pPr>
        <w:rPr>
          <w:rFonts w:ascii="Arial" w:hAnsi="Arial" w:cs="Arial"/>
        </w:rPr>
      </w:pPr>
      <w:r w:rsidRPr="00DD149D">
        <w:rPr>
          <w:rFonts w:ascii="Arial" w:hAnsi="Arial" w:cs="Arial"/>
        </w:rPr>
        <w:t xml:space="preserve">Date </w:t>
      </w:r>
      <w:r w:rsidR="00907EE6">
        <w:rPr>
          <w:rFonts w:ascii="Arial" w:hAnsi="Arial" w:cs="Arial"/>
        </w:rPr>
        <w:t>14/07/2027</w:t>
      </w:r>
    </w:p>
    <w:p w14:paraId="3CB894C7" w14:textId="77777777" w:rsidR="00B85D42" w:rsidRPr="00DD149D" w:rsidRDefault="00B85D42" w:rsidP="00B85D42">
      <w:pPr>
        <w:rPr>
          <w:rFonts w:ascii="Arial" w:hAnsi="Arial" w:cs="Arial"/>
        </w:rPr>
      </w:pPr>
    </w:p>
    <w:p w14:paraId="10305C47" w14:textId="77777777" w:rsidR="00B85D42" w:rsidRPr="00DD149D" w:rsidRDefault="00B85D42" w:rsidP="00B85D42">
      <w:pPr>
        <w:rPr>
          <w:rFonts w:ascii="Arial" w:hAnsi="Arial" w:cs="Arial"/>
        </w:rPr>
      </w:pPr>
      <w:r w:rsidRPr="00DD149D">
        <w:rPr>
          <w:rFonts w:ascii="Arial" w:hAnsi="Arial" w:cs="Arial"/>
        </w:rPr>
        <w:t>2. This dissertation is being submitted in partial fulfilment of the requirements for the degree of  ……………………………………………………………….................</w:t>
      </w:r>
    </w:p>
    <w:p w14:paraId="4A08C37B" w14:textId="0DED06C2" w:rsidR="00907EE6" w:rsidRDefault="00B85D42" w:rsidP="00B85D42">
      <w:pPr>
        <w:rPr>
          <w:rFonts w:ascii="Arial" w:hAnsi="Arial" w:cs="Arial"/>
        </w:rPr>
      </w:pPr>
      <w:r w:rsidRPr="00DD149D">
        <w:rPr>
          <w:rFonts w:ascii="Arial" w:hAnsi="Arial" w:cs="Arial"/>
        </w:rPr>
        <w:t>Signed  ……</w:t>
      </w:r>
      <w:proofErr w:type="spellStart"/>
      <w:r w:rsidR="00907EE6">
        <w:rPr>
          <w:rFonts w:ascii="Arial" w:hAnsi="Arial" w:cs="Arial"/>
        </w:rPr>
        <w:t>N.Taylor</w:t>
      </w:r>
      <w:proofErr w:type="spellEnd"/>
      <w:r w:rsidRPr="00DD149D">
        <w:rPr>
          <w:rFonts w:ascii="Arial" w:hAnsi="Arial" w:cs="Arial"/>
        </w:rPr>
        <w:t>………</w:t>
      </w:r>
    </w:p>
    <w:p w14:paraId="7B20148A" w14:textId="60F27F62" w:rsidR="00B85D42" w:rsidRPr="00DD149D" w:rsidRDefault="00907EE6" w:rsidP="00B85D42">
      <w:pPr>
        <w:rPr>
          <w:rFonts w:ascii="Arial" w:hAnsi="Arial" w:cs="Arial"/>
        </w:rPr>
      </w:pPr>
      <w:r>
        <w:rPr>
          <w:rFonts w:ascii="Arial" w:hAnsi="Arial" w:cs="Arial"/>
        </w:rPr>
        <w:t>Date</w:t>
      </w:r>
      <w:r w:rsidR="00B85D42" w:rsidRPr="00DD149D">
        <w:rPr>
          <w:rFonts w:ascii="Arial" w:hAnsi="Arial" w:cs="Arial"/>
        </w:rPr>
        <w:t xml:space="preserve">  ………</w:t>
      </w:r>
      <w:r w:rsidR="00184304">
        <w:rPr>
          <w:rFonts w:ascii="Arial" w:hAnsi="Arial" w:cs="Arial"/>
        </w:rPr>
        <w:t>14/07/2026</w:t>
      </w:r>
    </w:p>
    <w:p w14:paraId="18C0F689" w14:textId="77777777" w:rsidR="00B85D42" w:rsidRPr="00DD149D" w:rsidRDefault="00B85D42" w:rsidP="00B85D42">
      <w:pPr>
        <w:rPr>
          <w:rFonts w:ascii="Arial" w:hAnsi="Arial" w:cs="Arial"/>
        </w:rPr>
      </w:pPr>
    </w:p>
    <w:p w14:paraId="3DBE97BF" w14:textId="77777777" w:rsidR="00B85D42" w:rsidRPr="00DD149D" w:rsidRDefault="00B85D42" w:rsidP="00B85D42">
      <w:pPr>
        <w:rPr>
          <w:rFonts w:ascii="Arial" w:hAnsi="Arial" w:cs="Arial"/>
        </w:rPr>
      </w:pPr>
      <w:r w:rsidRPr="00DD149D">
        <w:rPr>
          <w:rFonts w:ascii="Arial" w:hAnsi="Arial" w:cs="Arial"/>
        </w:rPr>
        <w:t>3. This dissertation is the result of my own independent work/investigation, except where otherwise stated.</w:t>
      </w:r>
    </w:p>
    <w:p w14:paraId="53D05A25" w14:textId="77777777" w:rsidR="00B85D42" w:rsidRPr="00DD149D" w:rsidRDefault="00B85D42" w:rsidP="00B85D42">
      <w:pPr>
        <w:rPr>
          <w:rFonts w:ascii="Arial" w:hAnsi="Arial" w:cs="Arial"/>
        </w:rPr>
      </w:pPr>
      <w:r w:rsidRPr="00DD149D">
        <w:rPr>
          <w:rFonts w:ascii="Arial" w:hAnsi="Arial" w:cs="Arial"/>
        </w:rPr>
        <w:t xml:space="preserve">Other sources are acknowledged by footnotes giving explicit references. </w:t>
      </w:r>
    </w:p>
    <w:p w14:paraId="7B1F1C86" w14:textId="77777777" w:rsidR="00B85D42" w:rsidRPr="00DD149D" w:rsidRDefault="00B85D42" w:rsidP="00B85D42">
      <w:pPr>
        <w:rPr>
          <w:rFonts w:ascii="Arial" w:hAnsi="Arial" w:cs="Arial"/>
        </w:rPr>
      </w:pPr>
      <w:r w:rsidRPr="00DD149D">
        <w:rPr>
          <w:rFonts w:ascii="Arial" w:hAnsi="Arial" w:cs="Arial"/>
        </w:rPr>
        <w:t>A reference list is appended.</w:t>
      </w:r>
    </w:p>
    <w:p w14:paraId="73962DC6" w14:textId="6C611DBC" w:rsidR="00B85D42" w:rsidRPr="00DD149D" w:rsidRDefault="00B85D42" w:rsidP="00B85D42">
      <w:pPr>
        <w:rPr>
          <w:rFonts w:ascii="Arial" w:hAnsi="Arial" w:cs="Arial"/>
        </w:rPr>
      </w:pPr>
      <w:r w:rsidRPr="00DD149D">
        <w:rPr>
          <w:rFonts w:ascii="Arial" w:hAnsi="Arial" w:cs="Arial"/>
        </w:rPr>
        <w:t>Signed candidate:  ……</w:t>
      </w:r>
      <w:r w:rsidR="00184304">
        <w:rPr>
          <w:rFonts w:ascii="Arial" w:hAnsi="Arial" w:cs="Arial"/>
        </w:rPr>
        <w:t>N. Taylor</w:t>
      </w:r>
      <w:r w:rsidRPr="00DD149D">
        <w:rPr>
          <w:rFonts w:ascii="Arial" w:hAnsi="Arial" w:cs="Arial"/>
        </w:rPr>
        <w:t>………………………………………….……………….</w:t>
      </w:r>
    </w:p>
    <w:p w14:paraId="6366F0C0" w14:textId="402E3AE3" w:rsidR="00B85D42" w:rsidRPr="00DD149D" w:rsidRDefault="00B85D42" w:rsidP="00B85D42">
      <w:pPr>
        <w:rPr>
          <w:rFonts w:ascii="Arial" w:hAnsi="Arial" w:cs="Arial"/>
        </w:rPr>
      </w:pPr>
      <w:r w:rsidRPr="00DD149D">
        <w:rPr>
          <w:rFonts w:ascii="Arial" w:hAnsi="Arial" w:cs="Arial"/>
        </w:rPr>
        <w:t>Date:  …………………</w:t>
      </w:r>
      <w:r w:rsidR="004F360E">
        <w:rPr>
          <w:rFonts w:ascii="Arial" w:hAnsi="Arial" w:cs="Arial"/>
        </w:rPr>
        <w:t xml:space="preserve"> 14/07/2026</w:t>
      </w:r>
      <w:r w:rsidRPr="00DD149D">
        <w:rPr>
          <w:rFonts w:ascii="Arial" w:hAnsi="Arial" w:cs="Arial"/>
        </w:rPr>
        <w:t>…………………….……………………….</w:t>
      </w:r>
    </w:p>
    <w:p w14:paraId="7F2EDE45" w14:textId="77777777" w:rsidR="00B85D42" w:rsidRPr="00DD149D" w:rsidRDefault="00B85D42" w:rsidP="00B85D42">
      <w:pPr>
        <w:rPr>
          <w:rFonts w:ascii="Arial" w:hAnsi="Arial" w:cs="Arial"/>
        </w:rPr>
      </w:pPr>
    </w:p>
    <w:p w14:paraId="44120C2E" w14:textId="533B034B" w:rsidR="00B85D42" w:rsidRPr="00DD149D" w:rsidRDefault="00B85D42" w:rsidP="00B85D42">
      <w:pPr>
        <w:rPr>
          <w:rFonts w:ascii="Arial" w:hAnsi="Arial" w:cs="Arial"/>
        </w:rPr>
      </w:pPr>
      <w:r w:rsidRPr="00DD149D">
        <w:rPr>
          <w:rFonts w:ascii="Arial" w:hAnsi="Arial" w:cs="Arial"/>
        </w:rPr>
        <w:t xml:space="preserve">4. I hereby give consent for my dissertation, if accepted, to be available for </w:t>
      </w:r>
      <w:r w:rsidR="00F90D92" w:rsidRPr="00DD149D">
        <w:rPr>
          <w:rFonts w:ascii="Arial" w:hAnsi="Arial" w:cs="Arial"/>
        </w:rPr>
        <w:t>photocopying, inter</w:t>
      </w:r>
      <w:r w:rsidRPr="00DD149D">
        <w:rPr>
          <w:rFonts w:ascii="Arial" w:hAnsi="Arial" w:cs="Arial"/>
        </w:rPr>
        <w:t xml:space="preserve">- library loan, and for deposit in the University’s digital repository </w:t>
      </w:r>
    </w:p>
    <w:p w14:paraId="036A1828" w14:textId="14580A08" w:rsidR="00B85D42" w:rsidRPr="00DD149D" w:rsidRDefault="00B85D42" w:rsidP="00B85D42">
      <w:pPr>
        <w:rPr>
          <w:rFonts w:ascii="Arial" w:hAnsi="Arial" w:cs="Arial"/>
        </w:rPr>
      </w:pPr>
      <w:r w:rsidRPr="00DD149D">
        <w:rPr>
          <w:rFonts w:ascii="Arial" w:hAnsi="Arial" w:cs="Arial"/>
        </w:rPr>
        <w:t>Signed (candidate)…………………</w:t>
      </w:r>
      <w:proofErr w:type="spellStart"/>
      <w:r w:rsidR="004F360E">
        <w:rPr>
          <w:rFonts w:ascii="Arial" w:hAnsi="Arial" w:cs="Arial"/>
        </w:rPr>
        <w:t>N.Taylor</w:t>
      </w:r>
      <w:proofErr w:type="spellEnd"/>
      <w:r w:rsidRPr="00DD149D">
        <w:rPr>
          <w:rFonts w:ascii="Arial" w:hAnsi="Arial" w:cs="Arial"/>
        </w:rPr>
        <w:t>………………….………….…………...</w:t>
      </w:r>
    </w:p>
    <w:p w14:paraId="182D6909" w14:textId="3E78ACF7" w:rsidR="00B85D42" w:rsidRPr="00DD149D" w:rsidRDefault="00B85D42" w:rsidP="00B85D42">
      <w:pPr>
        <w:rPr>
          <w:rFonts w:ascii="Arial" w:hAnsi="Arial" w:cs="Arial"/>
        </w:rPr>
      </w:pPr>
      <w:r w:rsidRPr="00DD149D">
        <w:rPr>
          <w:rFonts w:ascii="Arial" w:hAnsi="Arial" w:cs="Arial"/>
        </w:rPr>
        <w:t>Date…………………………………</w:t>
      </w:r>
      <w:r w:rsidR="00AD1042">
        <w:rPr>
          <w:rFonts w:ascii="Arial" w:hAnsi="Arial" w:cs="Arial"/>
        </w:rPr>
        <w:t>14/07/2026</w:t>
      </w:r>
      <w:r w:rsidRPr="00DD149D">
        <w:rPr>
          <w:rFonts w:ascii="Arial" w:hAnsi="Arial" w:cs="Arial"/>
        </w:rPr>
        <w:t>……………….…………….……………..</w:t>
      </w:r>
    </w:p>
    <w:p w14:paraId="21234215" w14:textId="77777777" w:rsidR="00B85D42" w:rsidRPr="00DD149D" w:rsidRDefault="00B85D42" w:rsidP="00B85D42">
      <w:pPr>
        <w:rPr>
          <w:rFonts w:ascii="Arial" w:hAnsi="Arial" w:cs="Arial"/>
        </w:rPr>
      </w:pPr>
      <w:r w:rsidRPr="00DD149D">
        <w:rPr>
          <w:rFonts w:ascii="Arial" w:hAnsi="Arial" w:cs="Arial"/>
        </w:rPr>
        <w:t>Supervisor’s Declaration.</w:t>
      </w:r>
    </w:p>
    <w:p w14:paraId="60AAE1DD" w14:textId="77777777" w:rsidR="00B85D42" w:rsidRPr="00DD149D" w:rsidRDefault="00B85D42" w:rsidP="00B85D42">
      <w:pPr>
        <w:rPr>
          <w:rFonts w:ascii="Arial" w:hAnsi="Arial" w:cs="Arial"/>
        </w:rPr>
      </w:pPr>
      <w:r w:rsidRPr="00DD149D">
        <w:rPr>
          <w:rFonts w:ascii="Arial" w:hAnsi="Arial" w:cs="Arial"/>
        </w:rPr>
        <w:t>I am satisfied that this work is the result of the student’s own efforts.</w:t>
      </w:r>
    </w:p>
    <w:p w14:paraId="16A7CB02" w14:textId="77777777" w:rsidR="00B85D42" w:rsidRPr="00DD149D" w:rsidRDefault="00B85D42" w:rsidP="00B85D42">
      <w:pPr>
        <w:rPr>
          <w:rFonts w:ascii="Arial" w:hAnsi="Arial" w:cs="Arial"/>
        </w:rPr>
      </w:pPr>
      <w:r w:rsidRPr="00DD149D">
        <w:rPr>
          <w:rFonts w:ascii="Arial" w:hAnsi="Arial" w:cs="Arial"/>
        </w:rPr>
        <w:t>Signed:  …………………………………………………………………………..</w:t>
      </w:r>
    </w:p>
    <w:p w14:paraId="3E23B889" w14:textId="77777777" w:rsidR="00B85D42" w:rsidRPr="00DD149D" w:rsidRDefault="00B85D42" w:rsidP="00B85D42">
      <w:pPr>
        <w:rPr>
          <w:rFonts w:ascii="Arial" w:hAnsi="Arial" w:cs="Arial"/>
        </w:rPr>
      </w:pPr>
      <w:r w:rsidRPr="00DD149D">
        <w:rPr>
          <w:rFonts w:ascii="Arial" w:hAnsi="Arial" w:cs="Arial"/>
        </w:rPr>
        <w:t>Date:  ……………………………………………………………………………...</w:t>
      </w:r>
    </w:p>
    <w:p w14:paraId="49D880E8" w14:textId="11D6241E" w:rsidR="002C5069" w:rsidRDefault="002C5069" w:rsidP="00DC4327">
      <w:pPr>
        <w:rPr>
          <w:b/>
          <w:bCs/>
        </w:rPr>
      </w:pPr>
    </w:p>
    <w:p w14:paraId="5F345296" w14:textId="75512D77" w:rsidR="002C5069" w:rsidRDefault="002C5069" w:rsidP="00DC4327">
      <w:pPr>
        <w:rPr>
          <w:b/>
          <w:bCs/>
        </w:rPr>
      </w:pPr>
    </w:p>
    <w:p w14:paraId="464A1A6D" w14:textId="23E4AC87" w:rsidR="002C5069" w:rsidRDefault="002C5069" w:rsidP="00DC4327">
      <w:pPr>
        <w:rPr>
          <w:b/>
          <w:bCs/>
        </w:rPr>
      </w:pPr>
    </w:p>
    <w:p w14:paraId="16BB8439" w14:textId="32CC35A1" w:rsidR="002C5069" w:rsidRDefault="002C5069" w:rsidP="00DC4327">
      <w:pPr>
        <w:rPr>
          <w:b/>
          <w:bCs/>
        </w:rPr>
      </w:pPr>
    </w:p>
    <w:p w14:paraId="5F3240CC" w14:textId="25ECADC0" w:rsidR="002C5069" w:rsidRDefault="002C5069" w:rsidP="00DC4327">
      <w:pPr>
        <w:rPr>
          <w:b/>
          <w:bCs/>
        </w:rPr>
      </w:pPr>
    </w:p>
    <w:p w14:paraId="03D257D9" w14:textId="3780E30B" w:rsidR="002C5069" w:rsidRDefault="002C5069" w:rsidP="00DC4327">
      <w:pPr>
        <w:rPr>
          <w:b/>
          <w:bCs/>
        </w:rPr>
      </w:pPr>
    </w:p>
    <w:p w14:paraId="068F5774" w14:textId="77777777" w:rsidR="00147DC0" w:rsidRDefault="00147DC0" w:rsidP="00DC4327">
      <w:pPr>
        <w:rPr>
          <w:b/>
          <w:bCs/>
        </w:rPr>
      </w:pPr>
    </w:p>
    <w:p w14:paraId="5015E223" w14:textId="77777777" w:rsidR="00147DC0" w:rsidRDefault="00147DC0" w:rsidP="00DC4327">
      <w:pPr>
        <w:rPr>
          <w:b/>
          <w:bCs/>
        </w:rPr>
      </w:pPr>
    </w:p>
    <w:p w14:paraId="48B772F6" w14:textId="77777777" w:rsidR="00147DC0" w:rsidRDefault="00147DC0" w:rsidP="00DC4327">
      <w:pPr>
        <w:rPr>
          <w:b/>
          <w:bCs/>
        </w:rPr>
      </w:pPr>
    </w:p>
    <w:p w14:paraId="751BA1EB" w14:textId="77777777" w:rsidR="00147DC0" w:rsidRDefault="00147DC0" w:rsidP="00DC4327">
      <w:pPr>
        <w:rPr>
          <w:b/>
          <w:bCs/>
        </w:rPr>
      </w:pPr>
    </w:p>
    <w:p w14:paraId="68AA20DA" w14:textId="54F7AFE0" w:rsidR="002C5069" w:rsidRDefault="00147DC0" w:rsidP="00B80782">
      <w:pPr>
        <w:rPr>
          <w:b/>
          <w:bCs/>
        </w:rPr>
      </w:pPr>
      <w:r>
        <w:rPr>
          <w:b/>
          <w:bCs/>
        </w:rPr>
        <w:t>AI DECLARATION</w:t>
      </w:r>
    </w:p>
    <w:p w14:paraId="068D06F8" w14:textId="77777777" w:rsidR="00B80782" w:rsidRPr="00B80782" w:rsidRDefault="00B80782" w:rsidP="00B80782">
      <w:pPr>
        <w:rPr>
          <w:b/>
          <w:bCs/>
        </w:rPr>
      </w:pPr>
    </w:p>
    <w:p w14:paraId="29641184" w14:textId="34A41477" w:rsidR="00147DC0" w:rsidRPr="00F27648" w:rsidRDefault="002C5069" w:rsidP="003D153E">
      <w:pPr>
        <w:pStyle w:val="TOC1"/>
        <w:rPr>
          <w:rFonts w:asciiTheme="minorHAnsi" w:eastAsiaTheme="minorEastAsia" w:hAnsiTheme="minorHAnsi" w:cstheme="minorBidi"/>
          <w:kern w:val="2"/>
          <w:lang w:eastAsia="zh-CN"/>
          <w14:ligatures w14:val="standardContextual"/>
        </w:rPr>
      </w:pPr>
      <w:r>
        <w:fldChar w:fldCharType="begin"/>
      </w:r>
      <w:r>
        <w:instrText xml:space="preserve"> TOC \o "1-3" \h \z \u </w:instrText>
      </w:r>
      <w:r>
        <w:fldChar w:fldCharType="separate"/>
      </w:r>
      <w:hyperlink w:anchor="_Toc193355355" w:history="1">
        <w:r w:rsidR="00147DC0" w:rsidRPr="00F27648">
          <w:rPr>
            <w:rStyle w:val="Hyperlink"/>
            <w:color w:val="auto"/>
          </w:rPr>
          <w:t>DECLARATION FORM &amp; AI DECLARATION</w:t>
        </w:r>
        <w:r w:rsidR="00147DC0" w:rsidRPr="00F27648">
          <w:rPr>
            <w:webHidden/>
          </w:rPr>
          <w:tab/>
        </w:r>
        <w:r w:rsidR="00147DC0" w:rsidRPr="00F27648">
          <w:rPr>
            <w:webHidden/>
          </w:rPr>
          <w:fldChar w:fldCharType="begin"/>
        </w:r>
        <w:r w:rsidR="00147DC0" w:rsidRPr="00F27648">
          <w:rPr>
            <w:webHidden/>
          </w:rPr>
          <w:instrText xml:space="preserve"> PAGEREF _Toc193355355 \h </w:instrText>
        </w:r>
        <w:r w:rsidR="00147DC0" w:rsidRPr="00F27648">
          <w:rPr>
            <w:webHidden/>
          </w:rPr>
        </w:r>
        <w:r w:rsidR="00147DC0" w:rsidRPr="00F27648">
          <w:rPr>
            <w:webHidden/>
          </w:rPr>
          <w:fldChar w:fldCharType="separate"/>
        </w:r>
        <w:r w:rsidR="00B77A08" w:rsidRPr="00F27648">
          <w:rPr>
            <w:webHidden/>
          </w:rPr>
          <w:t>1</w:t>
        </w:r>
        <w:r w:rsidR="00147DC0" w:rsidRPr="00F27648">
          <w:rPr>
            <w:webHidden/>
          </w:rPr>
          <w:fldChar w:fldCharType="end"/>
        </w:r>
      </w:hyperlink>
    </w:p>
    <w:p w14:paraId="7F00AD98" w14:textId="6F7EAC5D" w:rsidR="00147DC0" w:rsidRDefault="00147DC0" w:rsidP="003D153E">
      <w:pPr>
        <w:pStyle w:val="TOC1"/>
      </w:pPr>
      <w:hyperlink w:anchor="_Toc193355356" w:history="1">
        <w:r w:rsidRPr="00F27648">
          <w:rPr>
            <w:rStyle w:val="Hyperlink"/>
            <w:color w:val="auto"/>
          </w:rPr>
          <w:t>CONTENTS</w:t>
        </w:r>
        <w:r w:rsidRPr="00F27648">
          <w:rPr>
            <w:webHidden/>
          </w:rPr>
          <w:tab/>
        </w:r>
        <w:r w:rsidRPr="00F27648">
          <w:rPr>
            <w:webHidden/>
          </w:rPr>
          <w:fldChar w:fldCharType="begin"/>
        </w:r>
        <w:r w:rsidRPr="00F27648">
          <w:rPr>
            <w:webHidden/>
          </w:rPr>
          <w:instrText xml:space="preserve"> PAGEREF _Toc193355356 \h </w:instrText>
        </w:r>
        <w:r w:rsidRPr="00F27648">
          <w:rPr>
            <w:webHidden/>
          </w:rPr>
        </w:r>
        <w:r w:rsidRPr="00F27648">
          <w:rPr>
            <w:webHidden/>
          </w:rPr>
          <w:fldChar w:fldCharType="separate"/>
        </w:r>
        <w:r w:rsidR="00B77A08" w:rsidRPr="00F27648">
          <w:rPr>
            <w:webHidden/>
          </w:rPr>
          <w:t>3</w:t>
        </w:r>
        <w:r w:rsidRPr="00F27648">
          <w:rPr>
            <w:webHidden/>
          </w:rPr>
          <w:fldChar w:fldCharType="end"/>
        </w:r>
      </w:hyperlink>
    </w:p>
    <w:p w14:paraId="59F73127" w14:textId="77777777" w:rsidR="00AD1042" w:rsidRPr="00AD1042" w:rsidRDefault="00AD1042" w:rsidP="00AD1042">
      <w:pPr>
        <w:rPr>
          <w:rFonts w:eastAsiaTheme="minorEastAsia"/>
        </w:rPr>
      </w:pPr>
    </w:p>
    <w:p w14:paraId="5810ACB5" w14:textId="54E6F1AD" w:rsidR="00147DC0" w:rsidRPr="00F27648" w:rsidRDefault="00147DC0" w:rsidP="003D153E">
      <w:pPr>
        <w:pStyle w:val="TOC1"/>
      </w:pPr>
      <w:hyperlink w:anchor="_Toc193355357" w:history="1">
        <w:r w:rsidRPr="00F27648">
          <w:rPr>
            <w:rStyle w:val="Hyperlink"/>
            <w:color w:val="auto"/>
          </w:rPr>
          <w:t>ACKNOWLEDGEMENTS</w:t>
        </w:r>
        <w:r w:rsidRPr="00F27648">
          <w:rPr>
            <w:webHidden/>
          </w:rPr>
          <w:tab/>
        </w:r>
        <w:r w:rsidRPr="00F27648">
          <w:rPr>
            <w:webHidden/>
          </w:rPr>
          <w:fldChar w:fldCharType="begin"/>
        </w:r>
        <w:r w:rsidRPr="00F27648">
          <w:rPr>
            <w:webHidden/>
          </w:rPr>
          <w:instrText xml:space="preserve"> PAGEREF _Toc193355357 \h </w:instrText>
        </w:r>
        <w:r w:rsidRPr="00F27648">
          <w:rPr>
            <w:webHidden/>
          </w:rPr>
        </w:r>
        <w:r w:rsidRPr="00F27648">
          <w:rPr>
            <w:webHidden/>
          </w:rPr>
          <w:fldChar w:fldCharType="separate"/>
        </w:r>
        <w:r w:rsidR="00B77A08" w:rsidRPr="00F27648">
          <w:rPr>
            <w:webHidden/>
          </w:rPr>
          <w:t>3</w:t>
        </w:r>
        <w:r w:rsidRPr="00F27648">
          <w:rPr>
            <w:webHidden/>
          </w:rPr>
          <w:fldChar w:fldCharType="end"/>
        </w:r>
      </w:hyperlink>
    </w:p>
    <w:p w14:paraId="2EA19105" w14:textId="77777777" w:rsidR="00A12017" w:rsidRDefault="00A12017" w:rsidP="00A12017">
      <w:pPr>
        <w:rPr>
          <w:rFonts w:eastAsiaTheme="minorEastAsia"/>
        </w:rPr>
      </w:pPr>
    </w:p>
    <w:p w14:paraId="042255D5" w14:textId="4F516665" w:rsidR="00A12017" w:rsidRDefault="004F2D03" w:rsidP="00A12017">
      <w:pPr>
        <w:rPr>
          <w:rFonts w:eastAsiaTheme="minorEastAsia"/>
        </w:rPr>
      </w:pPr>
      <w:r>
        <w:rPr>
          <w:rFonts w:eastAsiaTheme="minorEastAsia"/>
        </w:rPr>
        <w:t>I would like to</w:t>
      </w:r>
      <w:r w:rsidR="00660019">
        <w:rPr>
          <w:rFonts w:eastAsiaTheme="minorEastAsia"/>
        </w:rPr>
        <w:t xml:space="preserve"> express my sincere gratitude to my supervisor Darren O'Connor for his guidance, encouragement and valued feedback throughout this research project.  His support and expertise </w:t>
      </w:r>
      <w:r w:rsidR="008C70B9">
        <w:rPr>
          <w:rFonts w:eastAsiaTheme="minorEastAsia"/>
        </w:rPr>
        <w:t>have</w:t>
      </w:r>
      <w:r w:rsidR="00660019">
        <w:rPr>
          <w:rFonts w:eastAsiaTheme="minorEastAsia"/>
        </w:rPr>
        <w:t xml:space="preserve"> been invaluable in helping me stay on track and complete this piece of work.</w:t>
      </w:r>
    </w:p>
    <w:p w14:paraId="0F2EDDAC" w14:textId="03597699" w:rsidR="008C70B9" w:rsidRDefault="008C70B9" w:rsidP="00A12017">
      <w:pPr>
        <w:rPr>
          <w:rFonts w:eastAsiaTheme="minorEastAsia"/>
        </w:rPr>
      </w:pPr>
      <w:r>
        <w:rPr>
          <w:rFonts w:eastAsiaTheme="minorEastAsia"/>
        </w:rPr>
        <w:t>I would also like to thank the young people who generously gave their time to par</w:t>
      </w:r>
      <w:r w:rsidR="007147C4">
        <w:rPr>
          <w:rFonts w:eastAsiaTheme="minorEastAsia"/>
        </w:rPr>
        <w:t xml:space="preserve">ticipate in this study.  Their openness and willingness to share their experiences made this research possible.  </w:t>
      </w:r>
      <w:r w:rsidR="00176D20">
        <w:rPr>
          <w:rFonts w:eastAsiaTheme="minorEastAsia"/>
        </w:rPr>
        <w:t>I am equally grateful to my colleagues at Carmarthenshire County Council Youth Service who supported the recruitment of participants and facilitated the research process.</w:t>
      </w:r>
    </w:p>
    <w:p w14:paraId="79870581" w14:textId="29C90059" w:rsidR="00176D20" w:rsidRDefault="00B92BAA" w:rsidP="00A12017">
      <w:pPr>
        <w:rPr>
          <w:rFonts w:eastAsiaTheme="minorEastAsia"/>
        </w:rPr>
      </w:pPr>
      <w:r>
        <w:rPr>
          <w:rFonts w:eastAsiaTheme="minorEastAsia"/>
        </w:rPr>
        <w:t xml:space="preserve">I would like to extend my appreciation to the University for providing me with the opportunity to undertake this degree, and to Carmarthenshire County Council for their </w:t>
      </w:r>
      <w:r w:rsidR="005654A1">
        <w:rPr>
          <w:rFonts w:eastAsiaTheme="minorEastAsia"/>
        </w:rPr>
        <w:t>financial support in funding my studies</w:t>
      </w:r>
      <w:r w:rsidR="003955BE">
        <w:rPr>
          <w:rFonts w:eastAsiaTheme="minorEastAsia"/>
        </w:rPr>
        <w:t>.</w:t>
      </w:r>
    </w:p>
    <w:p w14:paraId="09402867" w14:textId="50FD0189" w:rsidR="003955BE" w:rsidRDefault="00DA6A6B" w:rsidP="00A12017">
      <w:pPr>
        <w:rPr>
          <w:rFonts w:eastAsiaTheme="minorEastAsia"/>
        </w:rPr>
      </w:pPr>
      <w:r>
        <w:rPr>
          <w:rFonts w:eastAsiaTheme="minorEastAsia"/>
        </w:rPr>
        <w:t xml:space="preserve">Finally, I would like to thank my family and friends </w:t>
      </w:r>
      <w:r w:rsidR="004F3196">
        <w:rPr>
          <w:rFonts w:eastAsiaTheme="minorEastAsia"/>
        </w:rPr>
        <w:t>con</w:t>
      </w:r>
      <w:r w:rsidR="001559CB">
        <w:rPr>
          <w:rFonts w:eastAsiaTheme="minorEastAsia"/>
        </w:rPr>
        <w:t>stant</w:t>
      </w:r>
      <w:r w:rsidR="00185CF0">
        <w:rPr>
          <w:rFonts w:eastAsiaTheme="minorEastAsia"/>
        </w:rPr>
        <w:t xml:space="preserve"> love, patience and encouragement throughout this </w:t>
      </w:r>
      <w:r w:rsidR="0097156A">
        <w:rPr>
          <w:rFonts w:eastAsiaTheme="minorEastAsia"/>
        </w:rPr>
        <w:t>degree.  Balancing university, working full time and family life has been challenging at times, and I could not have completed this without them.</w:t>
      </w:r>
    </w:p>
    <w:p w14:paraId="02728A40" w14:textId="64B6863D" w:rsidR="0097156A" w:rsidRDefault="0085676F" w:rsidP="00A12017">
      <w:pPr>
        <w:rPr>
          <w:rFonts w:eastAsiaTheme="minorEastAsia"/>
        </w:rPr>
      </w:pPr>
      <w:r>
        <w:rPr>
          <w:rFonts w:eastAsiaTheme="minorEastAsia"/>
        </w:rPr>
        <w:t>To everyone who has supported me throughout this journey, thank you.  Your encouragement has helped me achieve a goal of which I am incredibly proud.</w:t>
      </w:r>
    </w:p>
    <w:p w14:paraId="3FE20616" w14:textId="77777777" w:rsidR="00176D20" w:rsidRDefault="00176D20" w:rsidP="00A12017">
      <w:pPr>
        <w:rPr>
          <w:rFonts w:eastAsiaTheme="minorEastAsia"/>
        </w:rPr>
      </w:pPr>
    </w:p>
    <w:p w14:paraId="12BE8BC6" w14:textId="338DA557" w:rsidR="00147DC0" w:rsidRPr="00F27648" w:rsidRDefault="00147DC0" w:rsidP="003D153E">
      <w:pPr>
        <w:pStyle w:val="TOC1"/>
      </w:pPr>
      <w:hyperlink w:anchor="_Toc193355358" w:history="1">
        <w:r w:rsidRPr="00F27648">
          <w:rPr>
            <w:rStyle w:val="Hyperlink"/>
            <w:color w:val="auto"/>
          </w:rPr>
          <w:t>ABSTRACT</w:t>
        </w:r>
        <w:r w:rsidRPr="00F27648">
          <w:rPr>
            <w:webHidden/>
          </w:rPr>
          <w:tab/>
        </w:r>
        <w:r w:rsidRPr="00F27648">
          <w:rPr>
            <w:webHidden/>
          </w:rPr>
          <w:fldChar w:fldCharType="begin"/>
        </w:r>
        <w:r w:rsidRPr="00F27648">
          <w:rPr>
            <w:webHidden/>
          </w:rPr>
          <w:instrText xml:space="preserve"> PAGEREF _Toc193355358 \h </w:instrText>
        </w:r>
        <w:r w:rsidRPr="00F27648">
          <w:rPr>
            <w:webHidden/>
          </w:rPr>
        </w:r>
        <w:r w:rsidRPr="00F27648">
          <w:rPr>
            <w:webHidden/>
          </w:rPr>
          <w:fldChar w:fldCharType="separate"/>
        </w:r>
        <w:r w:rsidR="00B77A08" w:rsidRPr="00F27648">
          <w:rPr>
            <w:webHidden/>
          </w:rPr>
          <w:t>4</w:t>
        </w:r>
        <w:r w:rsidRPr="00F27648">
          <w:rPr>
            <w:webHidden/>
          </w:rPr>
          <w:fldChar w:fldCharType="end"/>
        </w:r>
      </w:hyperlink>
    </w:p>
    <w:p w14:paraId="0DC6AA89" w14:textId="198902F1" w:rsidR="00CB41AB" w:rsidRDefault="00CB41AB" w:rsidP="00CB41AB">
      <w:r>
        <w:t xml:space="preserve"> </w:t>
      </w:r>
    </w:p>
    <w:p w14:paraId="42511ED0" w14:textId="201080B3" w:rsidR="002F1784" w:rsidRPr="002F1784" w:rsidRDefault="002F1784" w:rsidP="002F1784">
      <w:pPr>
        <w:rPr>
          <w:rFonts w:eastAsiaTheme="minorEastAsia"/>
        </w:rPr>
      </w:pPr>
      <w:r w:rsidRPr="002F1784">
        <w:rPr>
          <w:rFonts w:eastAsiaTheme="minorEastAsia"/>
        </w:rPr>
        <w:t>This dissertation explored how the absence of formal schooling affects the social and emotional wellbeing of young people aged 16–1</w:t>
      </w:r>
      <w:r w:rsidR="004509FC">
        <w:rPr>
          <w:rFonts w:eastAsiaTheme="minorEastAsia"/>
        </w:rPr>
        <w:t>9</w:t>
      </w:r>
      <w:r w:rsidRPr="002F1784">
        <w:rPr>
          <w:rFonts w:eastAsiaTheme="minorEastAsia"/>
        </w:rPr>
        <w:t>. Increasing numbers of young people experience prolonged school absence due to factors such as anxiety, bullying, and behavioural difficulties, making it important to understand the impact of being outside mainstream education from the perspectives of those directly affected. The study aimed to explore young people’s experiences of non-attendance and identify the support they felt was most beneficial.</w:t>
      </w:r>
    </w:p>
    <w:p w14:paraId="3D17D898" w14:textId="77777777" w:rsidR="002F1784" w:rsidRPr="002F1784" w:rsidRDefault="002F1784" w:rsidP="002F1784">
      <w:pPr>
        <w:rPr>
          <w:rFonts w:eastAsiaTheme="minorEastAsia"/>
        </w:rPr>
      </w:pPr>
      <w:r w:rsidRPr="002F1784">
        <w:rPr>
          <w:rFonts w:eastAsiaTheme="minorEastAsia"/>
        </w:rPr>
        <w:t>A qualitative research design was adopted using semi-structured interviews with nine young people who had experienced prolonged absence from formal schooling. An additional wellbeing questionnaire was designed by the researcher to support the exploration of participants’ social and emotional wellbeing.</w:t>
      </w:r>
    </w:p>
    <w:p w14:paraId="56DD208D" w14:textId="77777777" w:rsidR="002F1784" w:rsidRPr="002F1784" w:rsidRDefault="002F1784" w:rsidP="002F1784">
      <w:pPr>
        <w:rPr>
          <w:rFonts w:eastAsiaTheme="minorEastAsia"/>
        </w:rPr>
      </w:pPr>
      <w:r w:rsidRPr="002F1784">
        <w:rPr>
          <w:rFonts w:eastAsiaTheme="minorEastAsia"/>
        </w:rPr>
        <w:t>The findings revealed that experiences varied considerably. Many participants reported improved emotional wellbeing after leaving school due to reduced anxiety and stress, while others described boredom, loss of routine, and concerns about their future. Despite not attending school, most participants maintained friendships and valued the support provided by youth workers, family members, and alternative educational opportunities. The findings highlighted the importance of personalised, relationship-based support rather than a one-size-fits-all approach.</w:t>
      </w:r>
    </w:p>
    <w:p w14:paraId="7C36992F" w14:textId="77777777" w:rsidR="002F1784" w:rsidRPr="002F1784" w:rsidRDefault="002F1784" w:rsidP="002F1784">
      <w:pPr>
        <w:rPr>
          <w:rFonts w:eastAsiaTheme="minorEastAsia"/>
        </w:rPr>
      </w:pPr>
      <w:r w:rsidRPr="002F1784">
        <w:rPr>
          <w:rFonts w:eastAsiaTheme="minorEastAsia"/>
        </w:rPr>
        <w:t>The study concludes that the absence of formal schooling does not affect all young people in the same way. Youth work plays a significant role in promoting social and emotional wellbeing by providing trusted relationships, emotional support, and opportunities for personal development. The research recommends greater collaboration between education providers and youth services to ensure young people who are unable to attend school receive appropriate support to achieve positive outcomes.</w:t>
      </w:r>
    </w:p>
    <w:p w14:paraId="599D688F" w14:textId="77777777" w:rsidR="00E4201C" w:rsidRPr="00E4201C" w:rsidRDefault="00E4201C" w:rsidP="00E4201C">
      <w:pPr>
        <w:rPr>
          <w:rFonts w:eastAsiaTheme="minorEastAsia"/>
        </w:rPr>
      </w:pPr>
    </w:p>
    <w:p w14:paraId="3304F39C" w14:textId="73250C3F" w:rsidR="00147DC0" w:rsidRPr="003D153E" w:rsidRDefault="00147DC0" w:rsidP="003D153E">
      <w:pPr>
        <w:pStyle w:val="TOC1"/>
      </w:pPr>
      <w:hyperlink w:anchor="_Toc193355359" w:history="1">
        <w:r w:rsidRPr="003D153E">
          <w:rPr>
            <w:rStyle w:val="Hyperlink"/>
            <w:color w:val="auto"/>
          </w:rPr>
          <w:t>ACRONYM</w:t>
        </w:r>
        <w:r w:rsidRPr="003D153E">
          <w:rPr>
            <w:webHidden/>
          </w:rPr>
          <w:tab/>
        </w:r>
        <w:r w:rsidRPr="003D153E">
          <w:rPr>
            <w:webHidden/>
          </w:rPr>
          <w:fldChar w:fldCharType="begin"/>
        </w:r>
        <w:r w:rsidRPr="003D153E">
          <w:rPr>
            <w:webHidden/>
          </w:rPr>
          <w:instrText xml:space="preserve"> PAGEREF _Toc193355359 \h </w:instrText>
        </w:r>
        <w:r w:rsidRPr="003D153E">
          <w:rPr>
            <w:webHidden/>
          </w:rPr>
        </w:r>
        <w:r w:rsidRPr="003D153E">
          <w:rPr>
            <w:webHidden/>
          </w:rPr>
          <w:fldChar w:fldCharType="separate"/>
        </w:r>
        <w:r w:rsidR="00B77A08" w:rsidRPr="003D153E">
          <w:rPr>
            <w:webHidden/>
          </w:rPr>
          <w:t>5</w:t>
        </w:r>
        <w:r w:rsidRPr="003D153E">
          <w:rPr>
            <w:webHidden/>
          </w:rPr>
          <w:fldChar w:fldCharType="end"/>
        </w:r>
      </w:hyperlink>
    </w:p>
    <w:p w14:paraId="342D1982" w14:textId="77777777" w:rsidR="004509FC" w:rsidRPr="004509FC" w:rsidRDefault="004509FC" w:rsidP="004509FC">
      <w:pPr>
        <w:rPr>
          <w:rFonts w:eastAsiaTheme="minorEastAsia"/>
        </w:rPr>
      </w:pPr>
    </w:p>
    <w:p w14:paraId="314166BD" w14:textId="75CB240B" w:rsidR="00147DC0" w:rsidRPr="003D153E" w:rsidRDefault="00147DC0">
      <w:pPr>
        <w:pStyle w:val="TOC2"/>
        <w:tabs>
          <w:tab w:val="left" w:pos="960"/>
          <w:tab w:val="right" w:leader="dot" w:pos="9016"/>
        </w:tabs>
      </w:pPr>
      <w:hyperlink w:anchor="_Toc193355368" w:history="1">
        <w:r w:rsidRPr="003D153E">
          <w:rPr>
            <w:rStyle w:val="Hyperlink"/>
            <w:b/>
            <w:noProof/>
            <w:color w:val="auto"/>
          </w:rPr>
          <w:t>8.1.</w:t>
        </w:r>
        <w:r w:rsidRPr="003D153E">
          <w:rPr>
            <w:rFonts w:asciiTheme="minorHAnsi" w:eastAsiaTheme="minorEastAsia" w:hAnsiTheme="minorHAnsi" w:cstheme="minorBidi"/>
            <w:noProof/>
            <w:kern w:val="2"/>
            <w:lang w:eastAsia="zh-CN"/>
            <w14:ligatures w14:val="standardContextual"/>
          </w:rPr>
          <w:tab/>
        </w:r>
        <w:r w:rsidRPr="003D153E">
          <w:rPr>
            <w:rStyle w:val="Hyperlink"/>
            <w:b/>
            <w:noProof/>
            <w:color w:val="auto"/>
          </w:rPr>
          <w:t>Appendices 1 Ethics Form</w:t>
        </w:r>
        <w:r w:rsidRPr="003D153E">
          <w:rPr>
            <w:noProof/>
            <w:webHidden/>
          </w:rPr>
          <w:tab/>
        </w:r>
        <w:r w:rsidRPr="003D153E">
          <w:rPr>
            <w:noProof/>
            <w:webHidden/>
          </w:rPr>
          <w:fldChar w:fldCharType="begin"/>
        </w:r>
        <w:r w:rsidRPr="003D153E">
          <w:rPr>
            <w:noProof/>
            <w:webHidden/>
          </w:rPr>
          <w:instrText xml:space="preserve"> PAGEREF _Toc193355368 \h </w:instrText>
        </w:r>
        <w:r w:rsidRPr="003D153E">
          <w:rPr>
            <w:noProof/>
            <w:webHidden/>
          </w:rPr>
        </w:r>
        <w:r w:rsidRPr="003D153E">
          <w:rPr>
            <w:noProof/>
            <w:webHidden/>
          </w:rPr>
          <w:fldChar w:fldCharType="separate"/>
        </w:r>
        <w:r w:rsidR="00B77A08" w:rsidRPr="003D153E">
          <w:rPr>
            <w:noProof/>
            <w:webHidden/>
          </w:rPr>
          <w:t>27</w:t>
        </w:r>
        <w:r w:rsidRPr="003D153E">
          <w:rPr>
            <w:noProof/>
            <w:webHidden/>
          </w:rPr>
          <w:fldChar w:fldCharType="end"/>
        </w:r>
      </w:hyperlink>
    </w:p>
    <w:p w14:paraId="29A09E80" w14:textId="77777777" w:rsidR="004509FC" w:rsidRPr="003D153E" w:rsidRDefault="004509FC" w:rsidP="004509FC">
      <w:pPr>
        <w:rPr>
          <w:rFonts w:eastAsiaTheme="minorEastAsia"/>
        </w:rPr>
      </w:pPr>
    </w:p>
    <w:p w14:paraId="598155E0" w14:textId="2C00207A" w:rsidR="004509FC" w:rsidRPr="003D153E" w:rsidRDefault="00E630E2" w:rsidP="004509FC">
      <w:pPr>
        <w:rPr>
          <w:rFonts w:eastAsiaTheme="minorEastAsia"/>
        </w:rPr>
      </w:pPr>
      <w:hyperlink r:id="rId8" w:history="1">
        <w:r w:rsidRPr="003D153E">
          <w:rPr>
            <w:rStyle w:val="Hyperlink"/>
            <w:rFonts w:eastAsiaTheme="minorEastAsia"/>
            <w:color w:val="auto"/>
          </w:rPr>
          <w:t>https://carmarthenshire-my.sharepoint.com/personal/nmtaylor_carmarthenshire_gov_uk/Documents/Desktop/Year%206/PG2_Application_for_Ethical_Approval_10-2022%20(2)%20(2).docx</w:t>
        </w:r>
      </w:hyperlink>
    </w:p>
    <w:p w14:paraId="350F261F" w14:textId="6E014991" w:rsidR="00147DC0" w:rsidRPr="003D153E" w:rsidRDefault="00147DC0">
      <w:pPr>
        <w:pStyle w:val="TOC2"/>
        <w:tabs>
          <w:tab w:val="left" w:pos="960"/>
          <w:tab w:val="right" w:leader="dot" w:pos="9016"/>
        </w:tabs>
      </w:pPr>
      <w:hyperlink w:anchor="_Toc193355369" w:history="1">
        <w:r w:rsidRPr="003D153E">
          <w:rPr>
            <w:rStyle w:val="Hyperlink"/>
            <w:b/>
            <w:noProof/>
            <w:color w:val="auto"/>
          </w:rPr>
          <w:t>8.2.</w:t>
        </w:r>
        <w:r w:rsidRPr="003D153E">
          <w:rPr>
            <w:rFonts w:asciiTheme="minorHAnsi" w:eastAsiaTheme="minorEastAsia" w:hAnsiTheme="minorHAnsi" w:cstheme="minorBidi"/>
            <w:noProof/>
            <w:kern w:val="2"/>
            <w:lang w:eastAsia="zh-CN"/>
            <w14:ligatures w14:val="standardContextual"/>
          </w:rPr>
          <w:tab/>
        </w:r>
        <w:r w:rsidRPr="003D153E">
          <w:rPr>
            <w:rStyle w:val="Hyperlink"/>
            <w:b/>
            <w:noProof/>
            <w:color w:val="auto"/>
          </w:rPr>
          <w:t>Appendices 2 xxx</w:t>
        </w:r>
        <w:r w:rsidRPr="003D153E">
          <w:rPr>
            <w:noProof/>
            <w:webHidden/>
          </w:rPr>
          <w:tab/>
        </w:r>
        <w:r w:rsidRPr="003D153E">
          <w:rPr>
            <w:noProof/>
            <w:webHidden/>
          </w:rPr>
          <w:fldChar w:fldCharType="begin"/>
        </w:r>
        <w:r w:rsidRPr="003D153E">
          <w:rPr>
            <w:noProof/>
            <w:webHidden/>
          </w:rPr>
          <w:instrText xml:space="preserve"> PAGEREF _Toc193355369 \h </w:instrText>
        </w:r>
        <w:r w:rsidRPr="003D153E">
          <w:rPr>
            <w:noProof/>
            <w:webHidden/>
          </w:rPr>
        </w:r>
        <w:r w:rsidRPr="003D153E">
          <w:rPr>
            <w:noProof/>
            <w:webHidden/>
          </w:rPr>
          <w:fldChar w:fldCharType="separate"/>
        </w:r>
        <w:r w:rsidR="00B77A08" w:rsidRPr="003D153E">
          <w:rPr>
            <w:noProof/>
            <w:webHidden/>
          </w:rPr>
          <w:t>29</w:t>
        </w:r>
        <w:r w:rsidRPr="003D153E">
          <w:rPr>
            <w:noProof/>
            <w:webHidden/>
          </w:rPr>
          <w:fldChar w:fldCharType="end"/>
        </w:r>
      </w:hyperlink>
    </w:p>
    <w:p w14:paraId="325AC185" w14:textId="77777777" w:rsidR="0058412A" w:rsidRPr="003D153E" w:rsidRDefault="0058412A" w:rsidP="0058412A">
      <w:pPr>
        <w:rPr>
          <w:rFonts w:eastAsiaTheme="minorEastAsia"/>
        </w:rPr>
      </w:pPr>
    </w:p>
    <w:p w14:paraId="5BA3AA20" w14:textId="3BE551FC" w:rsidR="0058412A" w:rsidRPr="003D153E" w:rsidRDefault="0058412A" w:rsidP="0058412A">
      <w:pPr>
        <w:rPr>
          <w:rFonts w:eastAsiaTheme="minorEastAsia"/>
          <w:b/>
          <w:bCs/>
        </w:rPr>
      </w:pPr>
      <w:r w:rsidRPr="003D153E">
        <w:rPr>
          <w:rFonts w:eastAsiaTheme="minorEastAsia"/>
          <w:b/>
          <w:bCs/>
        </w:rPr>
        <w:t>Research Questions</w:t>
      </w:r>
    </w:p>
    <w:p w14:paraId="3F5C0F88" w14:textId="77777777" w:rsidR="0058412A" w:rsidRPr="00B22711" w:rsidRDefault="0058412A" w:rsidP="0058412A">
      <w:pPr>
        <w:rPr>
          <w:rFonts w:eastAsiaTheme="minorEastAsia"/>
          <w:b/>
          <w:bCs/>
        </w:rPr>
      </w:pPr>
    </w:p>
    <w:p w14:paraId="492EFC1F" w14:textId="53DCCA5C" w:rsidR="0058412A" w:rsidRDefault="0058412A" w:rsidP="0058412A">
      <w:pPr>
        <w:rPr>
          <w:rFonts w:eastAsiaTheme="minorEastAsia"/>
        </w:rPr>
      </w:pPr>
      <w:r>
        <w:rPr>
          <w:rFonts w:eastAsiaTheme="minorEastAsia"/>
        </w:rPr>
        <w:t>1. Gender</w:t>
      </w:r>
    </w:p>
    <w:p w14:paraId="7686F79D" w14:textId="042AEF91" w:rsidR="0058412A" w:rsidRDefault="0058412A" w:rsidP="0058412A">
      <w:pPr>
        <w:rPr>
          <w:rFonts w:eastAsiaTheme="minorEastAsia"/>
        </w:rPr>
      </w:pPr>
      <w:r>
        <w:rPr>
          <w:rFonts w:eastAsiaTheme="minorEastAsia"/>
        </w:rPr>
        <w:t>2. Age</w:t>
      </w:r>
    </w:p>
    <w:p w14:paraId="5A81B8D1" w14:textId="3561932E" w:rsidR="0058412A" w:rsidRDefault="0058412A" w:rsidP="0058412A">
      <w:pPr>
        <w:rPr>
          <w:rFonts w:eastAsiaTheme="minorEastAsia"/>
        </w:rPr>
      </w:pPr>
      <w:r>
        <w:rPr>
          <w:rFonts w:eastAsiaTheme="minorEastAsia"/>
        </w:rPr>
        <w:t>3. How long have you been out of school education?</w:t>
      </w:r>
    </w:p>
    <w:p w14:paraId="7E637260" w14:textId="7E374F16" w:rsidR="0058412A" w:rsidRDefault="008B65CC" w:rsidP="0058412A">
      <w:pPr>
        <w:rPr>
          <w:rFonts w:eastAsiaTheme="minorEastAsia"/>
        </w:rPr>
      </w:pPr>
      <w:r>
        <w:rPr>
          <w:rFonts w:eastAsiaTheme="minorEastAsia"/>
        </w:rPr>
        <w:t>4. What were the reasons for not attending school?</w:t>
      </w:r>
    </w:p>
    <w:p w14:paraId="3AA3575D" w14:textId="66944634" w:rsidR="008B65CC" w:rsidRDefault="008B65CC" w:rsidP="0058412A">
      <w:pPr>
        <w:rPr>
          <w:rFonts w:eastAsiaTheme="minorEastAsia"/>
        </w:rPr>
      </w:pPr>
      <w:r>
        <w:rPr>
          <w:rFonts w:eastAsiaTheme="minorEastAsia"/>
        </w:rPr>
        <w:t>5. How would you describe your overall well-being whilst not attending school.</w:t>
      </w:r>
    </w:p>
    <w:p w14:paraId="40D9A1EC" w14:textId="61D11685" w:rsidR="008B65CC" w:rsidRDefault="008B65CC" w:rsidP="0058412A">
      <w:pPr>
        <w:rPr>
          <w:rFonts w:eastAsiaTheme="minorEastAsia"/>
        </w:rPr>
      </w:pPr>
      <w:r>
        <w:rPr>
          <w:rFonts w:eastAsiaTheme="minorEastAsia"/>
        </w:rPr>
        <w:t>6. Have you experienced any worries, stress or anxiety relating to not being in school?</w:t>
      </w:r>
    </w:p>
    <w:p w14:paraId="6B91B5FB" w14:textId="744DA2C7" w:rsidR="008B65CC" w:rsidRDefault="008B65CC" w:rsidP="0058412A">
      <w:pPr>
        <w:rPr>
          <w:rFonts w:eastAsiaTheme="minorEastAsia"/>
        </w:rPr>
      </w:pPr>
      <w:r>
        <w:rPr>
          <w:rFonts w:eastAsiaTheme="minorEastAsia"/>
        </w:rPr>
        <w:t>7. What opportunities do you have to spend time with other young people?</w:t>
      </w:r>
    </w:p>
    <w:p w14:paraId="55AD2732" w14:textId="3BD9690A" w:rsidR="008B65CC" w:rsidRDefault="008B65CC" w:rsidP="0058412A">
      <w:pPr>
        <w:rPr>
          <w:rFonts w:eastAsiaTheme="minorEastAsia"/>
        </w:rPr>
      </w:pPr>
      <w:r>
        <w:rPr>
          <w:rFonts w:eastAsiaTheme="minorEastAsia"/>
        </w:rPr>
        <w:t>8. Do you feel isolated?</w:t>
      </w:r>
    </w:p>
    <w:p w14:paraId="68E60C91" w14:textId="73B55E6A" w:rsidR="008B65CC" w:rsidRDefault="008B65CC" w:rsidP="0058412A">
      <w:pPr>
        <w:rPr>
          <w:rFonts w:eastAsiaTheme="minorEastAsia"/>
        </w:rPr>
      </w:pPr>
      <w:r>
        <w:rPr>
          <w:rFonts w:eastAsiaTheme="minorEastAsia"/>
        </w:rPr>
        <w:t xml:space="preserve">9. How </w:t>
      </w:r>
      <w:r w:rsidR="00802903">
        <w:rPr>
          <w:rFonts w:eastAsiaTheme="minorEastAsia"/>
        </w:rPr>
        <w:t>does your family / guardians support your learning?</w:t>
      </w:r>
    </w:p>
    <w:p w14:paraId="1E0AD65E" w14:textId="2F5D808D" w:rsidR="00802903" w:rsidRDefault="00802903" w:rsidP="0058412A">
      <w:pPr>
        <w:rPr>
          <w:rFonts w:eastAsiaTheme="minorEastAsia"/>
        </w:rPr>
      </w:pPr>
      <w:r>
        <w:rPr>
          <w:rFonts w:eastAsiaTheme="minorEastAsia"/>
        </w:rPr>
        <w:t>10</w:t>
      </w:r>
      <w:r w:rsidR="0033739D">
        <w:rPr>
          <w:rFonts w:eastAsiaTheme="minorEastAsia"/>
        </w:rPr>
        <w:t>. How do you feel about your future</w:t>
      </w:r>
      <w:r w:rsidR="00E50B81">
        <w:rPr>
          <w:rFonts w:eastAsiaTheme="minorEastAsia"/>
        </w:rPr>
        <w:t xml:space="preserve"> education, training or employment opportunities?</w:t>
      </w:r>
    </w:p>
    <w:p w14:paraId="35AA937E" w14:textId="122CECA7" w:rsidR="00E50B81" w:rsidRDefault="00E50B81" w:rsidP="0058412A">
      <w:pPr>
        <w:rPr>
          <w:rFonts w:eastAsiaTheme="minorEastAsia"/>
        </w:rPr>
      </w:pPr>
      <w:r>
        <w:rPr>
          <w:rFonts w:eastAsiaTheme="minorEastAsia"/>
        </w:rPr>
        <w:t>11. What support would help you feel more confident about your future?</w:t>
      </w:r>
    </w:p>
    <w:p w14:paraId="06681685" w14:textId="77777777" w:rsidR="006D502A" w:rsidRDefault="006D502A" w:rsidP="0058412A">
      <w:pPr>
        <w:rPr>
          <w:rFonts w:eastAsiaTheme="minorEastAsia"/>
        </w:rPr>
      </w:pPr>
    </w:p>
    <w:p w14:paraId="153F7ED0" w14:textId="79D4800A" w:rsidR="006D502A" w:rsidRPr="00B22711" w:rsidRDefault="006D502A" w:rsidP="0058412A">
      <w:pPr>
        <w:rPr>
          <w:rFonts w:eastAsiaTheme="minorEastAsia"/>
          <w:b/>
          <w:bCs/>
        </w:rPr>
      </w:pPr>
      <w:r w:rsidRPr="00B22711">
        <w:rPr>
          <w:rFonts w:eastAsiaTheme="minorEastAsia"/>
          <w:b/>
          <w:bCs/>
        </w:rPr>
        <w:t xml:space="preserve">Wellbeing questionnaire </w:t>
      </w:r>
    </w:p>
    <w:p w14:paraId="1D2DE4FD" w14:textId="3D4C3BFE" w:rsidR="00B22711" w:rsidRDefault="00B22711" w:rsidP="0058412A">
      <w:pPr>
        <w:rPr>
          <w:rFonts w:eastAsiaTheme="minorEastAsia"/>
        </w:rPr>
      </w:pPr>
      <w:r>
        <w:rPr>
          <w:rFonts w:eastAsiaTheme="minorEastAsia"/>
        </w:rPr>
        <w:t>5-point Likert scale</w:t>
      </w:r>
    </w:p>
    <w:p w14:paraId="76BB95F7" w14:textId="2507060B" w:rsidR="00B22711" w:rsidRDefault="00B22711" w:rsidP="0058412A">
      <w:pPr>
        <w:rPr>
          <w:rFonts w:eastAsiaTheme="minorEastAsia"/>
        </w:rPr>
      </w:pPr>
      <w:r>
        <w:rPr>
          <w:rFonts w:eastAsiaTheme="minorEastAsia"/>
        </w:rPr>
        <w:t>1-stongly Disagree</w:t>
      </w:r>
    </w:p>
    <w:p w14:paraId="4EB904E4" w14:textId="0D639E4C" w:rsidR="00B22711" w:rsidRDefault="00B22711" w:rsidP="0058412A">
      <w:pPr>
        <w:rPr>
          <w:rFonts w:eastAsiaTheme="minorEastAsia"/>
        </w:rPr>
      </w:pPr>
      <w:r>
        <w:rPr>
          <w:rFonts w:eastAsiaTheme="minorEastAsia"/>
        </w:rPr>
        <w:t>2-Disagree</w:t>
      </w:r>
    </w:p>
    <w:p w14:paraId="780EBB8A" w14:textId="44F8C10B" w:rsidR="00B22711" w:rsidRDefault="00B22711" w:rsidP="0058412A">
      <w:pPr>
        <w:rPr>
          <w:rFonts w:eastAsiaTheme="minorEastAsia"/>
        </w:rPr>
      </w:pPr>
      <w:r>
        <w:rPr>
          <w:rFonts w:eastAsiaTheme="minorEastAsia"/>
        </w:rPr>
        <w:t>3-Neither Agree nor Disagree</w:t>
      </w:r>
    </w:p>
    <w:p w14:paraId="629ED4D8" w14:textId="126A62A2" w:rsidR="00B22711" w:rsidRDefault="00B22711" w:rsidP="0058412A">
      <w:pPr>
        <w:rPr>
          <w:rFonts w:eastAsiaTheme="minorEastAsia"/>
        </w:rPr>
      </w:pPr>
      <w:r>
        <w:rPr>
          <w:rFonts w:eastAsiaTheme="minorEastAsia"/>
        </w:rPr>
        <w:t>4-Agree</w:t>
      </w:r>
    </w:p>
    <w:p w14:paraId="13206535" w14:textId="674096D2" w:rsidR="00B22711" w:rsidRDefault="00B22711" w:rsidP="0058412A">
      <w:pPr>
        <w:rPr>
          <w:rFonts w:eastAsiaTheme="minorEastAsia"/>
        </w:rPr>
      </w:pPr>
      <w:r>
        <w:rPr>
          <w:rFonts w:eastAsiaTheme="minorEastAsia"/>
        </w:rPr>
        <w:t>5-Strongly Agree</w:t>
      </w:r>
    </w:p>
    <w:p w14:paraId="3E2675F9" w14:textId="77777777" w:rsidR="00B22711" w:rsidRDefault="00B22711" w:rsidP="0058412A">
      <w:pPr>
        <w:rPr>
          <w:rFonts w:eastAsiaTheme="minorEastAsia"/>
        </w:rPr>
      </w:pPr>
    </w:p>
    <w:p w14:paraId="68AD84F6" w14:textId="3BD8C323" w:rsidR="00B22711" w:rsidRDefault="00B22711" w:rsidP="0058412A">
      <w:pPr>
        <w:rPr>
          <w:rFonts w:eastAsiaTheme="minorEastAsia"/>
        </w:rPr>
      </w:pPr>
      <w:r>
        <w:rPr>
          <w:rFonts w:eastAsiaTheme="minorEastAsia"/>
        </w:rPr>
        <w:t>Statement</w:t>
      </w:r>
    </w:p>
    <w:p w14:paraId="208CE1DC" w14:textId="0D58694F" w:rsidR="00B22711" w:rsidRDefault="00B22711" w:rsidP="0058412A">
      <w:pPr>
        <w:rPr>
          <w:rFonts w:eastAsiaTheme="minorEastAsia"/>
        </w:rPr>
      </w:pPr>
      <w:r>
        <w:rPr>
          <w:rFonts w:eastAsiaTheme="minorEastAsia"/>
        </w:rPr>
        <w:t xml:space="preserve">I feel happy most days  </w:t>
      </w:r>
    </w:p>
    <w:p w14:paraId="2E40E4D5" w14:textId="6AA75321" w:rsidR="00B22711" w:rsidRDefault="00B22711" w:rsidP="0058412A">
      <w:pPr>
        <w:rPr>
          <w:rFonts w:eastAsiaTheme="minorEastAsia"/>
        </w:rPr>
      </w:pPr>
      <w:r>
        <w:rPr>
          <w:rFonts w:eastAsiaTheme="minorEastAsia"/>
        </w:rPr>
        <w:t>I feel confident in myself</w:t>
      </w:r>
    </w:p>
    <w:p w14:paraId="4D2C3E79" w14:textId="72FABC5F" w:rsidR="00B22711" w:rsidRDefault="00B22711" w:rsidP="0058412A">
      <w:pPr>
        <w:rPr>
          <w:rFonts w:eastAsiaTheme="minorEastAsia"/>
        </w:rPr>
      </w:pPr>
      <w:r>
        <w:rPr>
          <w:rFonts w:eastAsiaTheme="minorEastAsia"/>
        </w:rPr>
        <w:t>I have someone I can talk to when I need support</w:t>
      </w:r>
    </w:p>
    <w:p w14:paraId="26486A1C" w14:textId="0D2398DF" w:rsidR="00B22711" w:rsidRDefault="00B22711" w:rsidP="0058412A">
      <w:pPr>
        <w:rPr>
          <w:rFonts w:eastAsiaTheme="minorEastAsia"/>
        </w:rPr>
      </w:pPr>
      <w:r>
        <w:rPr>
          <w:rFonts w:eastAsiaTheme="minorEastAsia"/>
        </w:rPr>
        <w:t>I feel connected to other people my age</w:t>
      </w:r>
    </w:p>
    <w:p w14:paraId="7162E36B" w14:textId="6BBC5CEC" w:rsidR="00B22711" w:rsidRDefault="00B22711" w:rsidP="0058412A">
      <w:pPr>
        <w:rPr>
          <w:rFonts w:eastAsiaTheme="minorEastAsia"/>
        </w:rPr>
      </w:pPr>
      <w:r>
        <w:rPr>
          <w:rFonts w:eastAsiaTheme="minorEastAsia"/>
        </w:rPr>
        <w:t>I often feel lonely</w:t>
      </w:r>
    </w:p>
    <w:p w14:paraId="736C7900" w14:textId="11F64E5B" w:rsidR="00B22711" w:rsidRDefault="00B22711" w:rsidP="0058412A">
      <w:pPr>
        <w:rPr>
          <w:rFonts w:eastAsiaTheme="minorEastAsia"/>
        </w:rPr>
      </w:pPr>
      <w:r>
        <w:rPr>
          <w:rFonts w:eastAsiaTheme="minorEastAsia"/>
        </w:rPr>
        <w:t>I feel hopeful about my future</w:t>
      </w:r>
    </w:p>
    <w:p w14:paraId="046967AA" w14:textId="61376372" w:rsidR="00B22711" w:rsidRDefault="00B22711" w:rsidP="0058412A">
      <w:pPr>
        <w:rPr>
          <w:rFonts w:eastAsiaTheme="minorEastAsia"/>
        </w:rPr>
      </w:pPr>
      <w:r>
        <w:rPr>
          <w:rFonts w:eastAsiaTheme="minorEastAsia"/>
        </w:rPr>
        <w:t>I feel worried or anx</w:t>
      </w:r>
      <w:r w:rsidR="006B2352">
        <w:rPr>
          <w:rFonts w:eastAsiaTheme="minorEastAsia"/>
        </w:rPr>
        <w:t>ious most of the time</w:t>
      </w:r>
    </w:p>
    <w:p w14:paraId="7E292495" w14:textId="5D83CBED" w:rsidR="006B2352" w:rsidRDefault="006B2352" w:rsidP="0058412A">
      <w:pPr>
        <w:rPr>
          <w:rFonts w:eastAsiaTheme="minorEastAsia"/>
        </w:rPr>
      </w:pPr>
      <w:r>
        <w:rPr>
          <w:rFonts w:eastAsiaTheme="minorEastAsia"/>
        </w:rPr>
        <w:t>I enjoy taking part in activities that interest me</w:t>
      </w:r>
    </w:p>
    <w:p w14:paraId="5AAA352C" w14:textId="7EE14753" w:rsidR="006B2352" w:rsidRDefault="006F33AD" w:rsidP="0058412A">
      <w:pPr>
        <w:rPr>
          <w:rFonts w:eastAsiaTheme="minorEastAsia"/>
        </w:rPr>
      </w:pPr>
      <w:r>
        <w:rPr>
          <w:rFonts w:eastAsiaTheme="minorEastAsia"/>
        </w:rPr>
        <w:t>I feel accepted by the people around me</w:t>
      </w:r>
    </w:p>
    <w:p w14:paraId="22A8AACB" w14:textId="00871234" w:rsidR="006F33AD" w:rsidRDefault="006F33AD" w:rsidP="0058412A">
      <w:pPr>
        <w:rPr>
          <w:rFonts w:eastAsiaTheme="minorEastAsia"/>
        </w:rPr>
      </w:pPr>
      <w:r>
        <w:rPr>
          <w:rFonts w:eastAsiaTheme="minorEastAsia"/>
        </w:rPr>
        <w:t>I cope well when things can be difficult/</w:t>
      </w:r>
    </w:p>
    <w:p w14:paraId="0EB9F741" w14:textId="2B803332" w:rsidR="006F33AD" w:rsidRDefault="006F33AD" w:rsidP="0058412A">
      <w:pPr>
        <w:rPr>
          <w:rFonts w:eastAsiaTheme="minorEastAsia"/>
        </w:rPr>
      </w:pPr>
    </w:p>
    <w:p w14:paraId="4BAE5623" w14:textId="3B5EDC43" w:rsidR="006F33AD" w:rsidRDefault="006F33AD" w:rsidP="0058412A">
      <w:pPr>
        <w:rPr>
          <w:rFonts w:eastAsiaTheme="minorEastAsia"/>
        </w:rPr>
      </w:pPr>
      <w:r>
        <w:rPr>
          <w:rFonts w:eastAsiaTheme="minorEastAsia"/>
        </w:rPr>
        <w:t>Questions</w:t>
      </w:r>
    </w:p>
    <w:p w14:paraId="1F43677E" w14:textId="15E526DD" w:rsidR="006F33AD" w:rsidRDefault="006F33AD" w:rsidP="0058412A">
      <w:pPr>
        <w:rPr>
          <w:rFonts w:eastAsiaTheme="minorEastAsia"/>
        </w:rPr>
      </w:pPr>
      <w:r>
        <w:rPr>
          <w:rFonts w:eastAsiaTheme="minorEastAsia"/>
        </w:rPr>
        <w:t>What helps you feel happy or supported?</w:t>
      </w:r>
    </w:p>
    <w:p w14:paraId="7FE7AC58" w14:textId="77777777" w:rsidR="006F33AD" w:rsidRDefault="006F33AD" w:rsidP="0058412A">
      <w:pPr>
        <w:rPr>
          <w:rFonts w:eastAsiaTheme="minorEastAsia"/>
        </w:rPr>
      </w:pPr>
    </w:p>
    <w:p w14:paraId="21B88463" w14:textId="44D9EDA7" w:rsidR="006F33AD" w:rsidRDefault="006F33AD" w:rsidP="0058412A">
      <w:pPr>
        <w:rPr>
          <w:rFonts w:eastAsiaTheme="minorEastAsia"/>
        </w:rPr>
      </w:pPr>
      <w:r>
        <w:rPr>
          <w:rFonts w:eastAsiaTheme="minorEastAsia"/>
        </w:rPr>
        <w:t>Is there anything that would improve your wellbeing?</w:t>
      </w:r>
    </w:p>
    <w:p w14:paraId="5AB2DEDE" w14:textId="77777777" w:rsidR="006F33AD" w:rsidRDefault="006F33AD" w:rsidP="0058412A">
      <w:pPr>
        <w:rPr>
          <w:rFonts w:eastAsiaTheme="minorEastAsia"/>
        </w:rPr>
      </w:pPr>
    </w:p>
    <w:p w14:paraId="5E80B1D9" w14:textId="387547A2" w:rsidR="00EB0EC4" w:rsidRDefault="002C5069" w:rsidP="005143D9">
      <w:pPr>
        <w:rPr>
          <w:b/>
        </w:rPr>
      </w:pPr>
      <w:r>
        <w:rPr>
          <w:b/>
        </w:rPr>
        <w:fldChar w:fldCharType="end"/>
      </w:r>
      <w:r w:rsidR="00EB0EC4">
        <w:rPr>
          <w:b/>
        </w:rPr>
        <w:br w:type="page"/>
      </w:r>
      <w:bookmarkStart w:id="1" w:name="_Toc193355359"/>
      <w:r w:rsidR="00EB0EC4" w:rsidRPr="0083215B">
        <w:rPr>
          <w:b/>
        </w:rPr>
        <w:t>ACRONYM</w:t>
      </w:r>
      <w:bookmarkEnd w:id="1"/>
      <w:r w:rsidR="00EB0EC4" w:rsidRPr="0083215B">
        <w:rPr>
          <w:b/>
        </w:rPr>
        <w:t xml:space="preserve"> </w:t>
      </w:r>
    </w:p>
    <w:p w14:paraId="4EE2B3B8" w14:textId="03593589" w:rsidR="004B3239" w:rsidRDefault="00A727BD" w:rsidP="00EB0EC4">
      <w:pPr>
        <w:spacing w:line="480" w:lineRule="auto"/>
        <w:outlineLvl w:val="0"/>
        <w:rPr>
          <w:bCs/>
        </w:rPr>
      </w:pPr>
      <w:r>
        <w:rPr>
          <w:bCs/>
        </w:rPr>
        <w:t>SEN – Special Educational Needs</w:t>
      </w:r>
    </w:p>
    <w:p w14:paraId="6E6FF6C2" w14:textId="3C1B8A92" w:rsidR="00EC6F83" w:rsidRPr="00A727BD" w:rsidRDefault="00EC6F83" w:rsidP="00EB0EC4">
      <w:pPr>
        <w:spacing w:line="480" w:lineRule="auto"/>
        <w:outlineLvl w:val="0"/>
        <w:rPr>
          <w:bCs/>
        </w:rPr>
      </w:pPr>
      <w:r>
        <w:rPr>
          <w:bCs/>
        </w:rPr>
        <w:t>ALN – Additional Learning Needs</w:t>
      </w:r>
    </w:p>
    <w:p w14:paraId="334609EA" w14:textId="72C893BE" w:rsidR="004468CB" w:rsidRDefault="00EB0EC4" w:rsidP="009D6C26">
      <w:pPr>
        <w:spacing w:line="480" w:lineRule="auto"/>
        <w:outlineLvl w:val="0"/>
        <w:rPr>
          <w:b/>
        </w:rPr>
      </w:pPr>
      <w:r>
        <w:rPr>
          <w:b/>
        </w:rPr>
        <w:br w:type="page"/>
      </w:r>
      <w:r w:rsidR="004468CB">
        <w:rPr>
          <w:b/>
        </w:rPr>
        <w:t>INTRODUCTION</w:t>
      </w:r>
    </w:p>
    <w:p w14:paraId="78B257CD" w14:textId="045F565C" w:rsidR="001C58D7" w:rsidRPr="000844A0" w:rsidRDefault="001C58D7" w:rsidP="00B543FF">
      <w:pPr>
        <w:spacing w:line="480" w:lineRule="auto"/>
      </w:pPr>
      <w:r w:rsidRPr="000844A0">
        <w:t>Youth work practice is grounded in the promotion of young people’s social, emotional and personal development, particularly for those experiencing disadvantage, exclusion or barriers to participation</w:t>
      </w:r>
      <w:r w:rsidR="00521D05">
        <w:t xml:space="preserve"> (</w:t>
      </w:r>
      <w:proofErr w:type="spellStart"/>
      <w:r w:rsidR="00B77D2F">
        <w:t>Youthlink</w:t>
      </w:r>
      <w:proofErr w:type="spellEnd"/>
      <w:r w:rsidR="00B77D2F">
        <w:t xml:space="preserve"> Scotland, 2023).</w:t>
      </w:r>
      <w:r w:rsidRPr="000844A0">
        <w:t xml:space="preserve"> Increasingly, youth practitioners are encountering young people who are educated outside mainstream school settings or who are missing from education entirely. Many of these young people present with challenges relating to anxiety, social isolation, emotional regulation, confidence and uncertainty about future progression</w:t>
      </w:r>
      <w:r w:rsidR="002C0997">
        <w:t xml:space="preserve"> </w:t>
      </w:r>
      <w:r w:rsidR="00353431">
        <w:t>(Department for Education, 2024)</w:t>
      </w:r>
      <w:r w:rsidRPr="000844A0">
        <w:t>.</w:t>
      </w:r>
      <w:r w:rsidR="00E44663">
        <w:t xml:space="preserve">  At the same time, some young people report that leaving mainstream education has improved their </w:t>
      </w:r>
      <w:r w:rsidR="0034687C">
        <w:t>emotional wellbeing, reduced stress and enabled them to learn in ways</w:t>
      </w:r>
      <w:r w:rsidR="00CE737A">
        <w:t xml:space="preserve"> that better suit their individual needs (Children’s commissioner for England, 2022</w:t>
      </w:r>
      <w:r w:rsidR="0088773F">
        <w:t>)</w:t>
      </w:r>
      <w:r w:rsidRPr="000844A0">
        <w:t xml:space="preserve">. This study explores </w:t>
      </w:r>
      <w:r w:rsidRPr="000844A0">
        <w:rPr>
          <w:i/>
          <w:iCs/>
        </w:rPr>
        <w:t>how the absence of formal schooling impacts the social and emotional wellbeing of young people</w:t>
      </w:r>
      <w:r w:rsidRPr="000844A0">
        <w:t xml:space="preserve">, with a particular focus on the lived experiences of those educated outside mainstream education. Through a youth work perspective, </w:t>
      </w:r>
      <w:r w:rsidR="0088773F">
        <w:t xml:space="preserve">these </w:t>
      </w:r>
      <w:r w:rsidR="00A92252">
        <w:t>experiences highlight the importance of person-centred approaches that recognise young people’s individual learning needs, promote their well-being and empower them to engage in education and personal development in ways that are meaningful to them (</w:t>
      </w:r>
      <w:r w:rsidR="00147385">
        <w:t>Ord, 2016).  T</w:t>
      </w:r>
      <w:r w:rsidRPr="000844A0">
        <w:t>he research aims to understand how relationships, participation, autonomy and social opportunities influence young people’s wellbeing when they are outside formal educational environments.</w:t>
      </w:r>
    </w:p>
    <w:p w14:paraId="6CDF5E16" w14:textId="22B22EB2"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 xml:space="preserve">The topic has become increasingly relevant within both youth work and wider educational practice. Rates of emotionally based school avoidance, school refusal and persistent absence have risen significantly in recent years, particularly following the COVID-19 pandemic (Department for Education, 2024). Alongside this, there has been a notable increase in the number of families choosing elective home education and alternative educational pathways (Department for Education, 2023). Youth workers are often among the professionals supporting these young people, particularly where disengagement from school is linked to poor mental health, bullying, unmet </w:t>
      </w:r>
      <w:r w:rsidR="0084068C" w:rsidRPr="000844A0">
        <w:rPr>
          <w:rFonts w:ascii="Times New Roman" w:hAnsi="Times New Roman" w:cs="Times New Roman"/>
        </w:rPr>
        <w:t>SEN needs</w:t>
      </w:r>
      <w:r w:rsidRPr="000844A0">
        <w:rPr>
          <w:rFonts w:ascii="Times New Roman" w:hAnsi="Times New Roman" w:cs="Times New Roman"/>
        </w:rPr>
        <w:t xml:space="preserve"> or experiences of exclusion. As a result, youth services are increasingly required to respond to complex emotional and social needs that may previously have been addressed within school environments.</w:t>
      </w:r>
    </w:p>
    <w:p w14:paraId="502973B1" w14:textId="031C1F47"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Within current professional practice, there has been a significant increase in referrals involving young people with little or no formal educational engagement who experience difficulties engaging with services, forming peer relationships or planning for post-school progression. These experiences have highlighted concerns surrounding young people’s social confidence, emotional wellbeing and sense of belonging. From a youth work perspective, this is particularly important because informal education and relational practice are central to supporting young people’s identity</w:t>
      </w:r>
      <w:r w:rsidR="002E3245" w:rsidRPr="000844A0">
        <w:rPr>
          <w:rFonts w:ascii="Times New Roman" w:hAnsi="Times New Roman" w:cs="Times New Roman"/>
        </w:rPr>
        <w:t>,</w:t>
      </w:r>
      <w:r w:rsidRPr="000844A0">
        <w:rPr>
          <w:rFonts w:ascii="Times New Roman" w:hAnsi="Times New Roman" w:cs="Times New Roman"/>
        </w:rPr>
        <w:t xml:space="preserve"> development resilience and participation in society (Jeffs and Smith, 2010). Where young people are absent from formal schooling, there may be reduced opportunities for social interaction, structured support and participation in wider community life. However, mainstream education environments may also contribute to distress for some young people, particularly those experiencing bullying, anxiety or unmet additional needs. This creates an important area for exploration within youth work research and practice.</w:t>
      </w:r>
      <w:r w:rsidR="00891F38">
        <w:rPr>
          <w:rFonts w:ascii="Times New Roman" w:hAnsi="Times New Roman" w:cs="Times New Roman"/>
        </w:rPr>
        <w:t xml:space="preserve"> (Kearney, 2008)</w:t>
      </w:r>
    </w:p>
    <w:p w14:paraId="61483753" w14:textId="77777777"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Existing literature presents mixed findings regarding the impact of being outside mainstream education. Research suggests that some young people benefit from greater autonomy, flexible learning environments and stronger family relationships when educated outside formal school settings (Thomas and Pattison, 2007). For some, leaving school can reduce anxiety and improve emotional wellbeing by removing pressures associated with attendance, academic expectations or negative peer experiences. Conversely, other studies suggest that absence from school may contribute to loneliness, social isolation, reduced peer interaction and difficulties with future transitions into employment or further education (Children’s Commissioner, 2022). Educational settings also play a significant role in young people’s socialisation and identity formation, meaning prolonged absence from these environments may affect opportunities to develop social skills, confidence and social capital (Bourdieu, 1986).</w:t>
      </w:r>
    </w:p>
    <w:p w14:paraId="2A7F45D1" w14:textId="18FD4D03"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 xml:space="preserve">Despite growing discussion around alternative education and school non-attendance, there remains limited research focusing specifically on young people’s own perspectives of how the absence of formal schooling affects their social and emotional wellbeing. </w:t>
      </w:r>
      <w:r w:rsidR="009B5DDA">
        <w:rPr>
          <w:rFonts w:ascii="Times New Roman" w:hAnsi="Times New Roman" w:cs="Times New Roman"/>
        </w:rPr>
        <w:t>While existing literature has examined educational attain</w:t>
      </w:r>
      <w:r w:rsidR="00753B21">
        <w:rPr>
          <w:rFonts w:ascii="Times New Roman" w:hAnsi="Times New Roman" w:cs="Times New Roman"/>
        </w:rPr>
        <w:t>ment, safeguarding and parental motivations for home education, less attention has been paid to how young people themselves</w:t>
      </w:r>
      <w:r w:rsidR="00BA2B48">
        <w:rPr>
          <w:rFonts w:ascii="Times New Roman" w:hAnsi="Times New Roman" w:cs="Times New Roman"/>
        </w:rPr>
        <w:t xml:space="preserve"> experience being educated outside mainstream school settings and the implications</w:t>
      </w:r>
      <w:r w:rsidR="00282FBE">
        <w:rPr>
          <w:rFonts w:ascii="Times New Roman" w:hAnsi="Times New Roman" w:cs="Times New Roman"/>
        </w:rPr>
        <w:t xml:space="preserve"> for their social and emotional development</w:t>
      </w:r>
      <w:r w:rsidR="00385D46">
        <w:rPr>
          <w:rFonts w:ascii="Times New Roman" w:hAnsi="Times New Roman" w:cs="Times New Roman"/>
        </w:rPr>
        <w:t xml:space="preserve"> </w:t>
      </w:r>
      <w:r w:rsidR="00D6492F">
        <w:rPr>
          <w:rFonts w:ascii="Times New Roman" w:hAnsi="Times New Roman" w:cs="Times New Roman"/>
        </w:rPr>
        <w:t>(Kunzman and Gaither, 2020).</w:t>
      </w:r>
    </w:p>
    <w:p w14:paraId="6FA63485" w14:textId="77777777"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The primary aim of this research is to investigate how the absence of formal schooling affects the social and emotional wellbeing of young people. The study seeks to develop a deeper understanding of the lived experiences of young people who are educated outside mainstream education or who are missing from education entirely. Specific objectives include exploring how being outside formal schooling influences emotional wellbeing, social development, peer relationships and self-esteem, while also examining how factors such as family involvement, autonomy and access to social opportunities shape these experiences. The research will also consider how youth work approaches and informal education practices may support young people who are disengaged from mainstream schooling.</w:t>
      </w:r>
    </w:p>
    <w:p w14:paraId="2159917F" w14:textId="7164391C" w:rsidR="00FE6E5F" w:rsidRDefault="001C58D7" w:rsidP="00B543FF">
      <w:pPr>
        <w:pStyle w:val="NormalWeb"/>
        <w:spacing w:before="0" w:beforeAutospacing="0" w:after="180" w:afterAutospacing="0" w:line="480" w:lineRule="auto"/>
        <w:rPr>
          <w:rFonts w:ascii="Times New Roman" w:hAnsi="Times New Roman" w:cs="Times New Roman"/>
        </w:rPr>
      </w:pPr>
      <w:r w:rsidRPr="000844A0">
        <w:rPr>
          <w:rFonts w:ascii="Times New Roman" w:hAnsi="Times New Roman" w:cs="Times New Roman"/>
        </w:rPr>
        <w:t>This study is informed by professional experience within youth work practice, where increasing numbers of referrals involve young people with limited engagement in education and associated emotional or social difficulties. These experiences have highlighted recurring themes of anxiety, low confidence, reduced social interaction and uncertainty regarding future aspirations. However, professional experience also presents potential challenges in relation to researcher bias</w:t>
      </w:r>
      <w:r w:rsidR="00180C90">
        <w:rPr>
          <w:rFonts w:ascii="Times New Roman" w:hAnsi="Times New Roman" w:cs="Times New Roman"/>
        </w:rPr>
        <w:t xml:space="preserve">.  Pre-existing assumptions regarding the impact of non-school attendance may influence the </w:t>
      </w:r>
      <w:r w:rsidR="000B4FA4">
        <w:rPr>
          <w:rFonts w:ascii="Times New Roman" w:hAnsi="Times New Roman" w:cs="Times New Roman"/>
        </w:rPr>
        <w:t>interpretation of participants' experiences.  To minimise this, the study adopts a reflex</w:t>
      </w:r>
      <w:r w:rsidR="000F4678">
        <w:rPr>
          <w:rFonts w:ascii="Times New Roman" w:hAnsi="Times New Roman" w:cs="Times New Roman"/>
        </w:rPr>
        <w:t>ive approach throughout the research process, ensuring that participants voices remain central and that both positive and negative experiences are explored openly (Braun and Clarke, 2022)</w:t>
      </w:r>
    </w:p>
    <w:p w14:paraId="023176CC" w14:textId="118535E2"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 xml:space="preserve">A qualitative methodology will be used to enable rich exploration of young </w:t>
      </w:r>
      <w:r w:rsidR="00C23A49" w:rsidRPr="000844A0">
        <w:rPr>
          <w:rFonts w:ascii="Times New Roman" w:hAnsi="Times New Roman" w:cs="Times New Roman"/>
        </w:rPr>
        <w:t>peoples</w:t>
      </w:r>
      <w:r w:rsidRPr="000844A0">
        <w:rPr>
          <w:rFonts w:ascii="Times New Roman" w:hAnsi="Times New Roman" w:cs="Times New Roman"/>
        </w:rPr>
        <w:t xml:space="preserve"> lived experiences. Semi-structured interviews are considered appropriate because they align with youth work values of participation, voice and relationship-building while allowing flexibility for participants to discuss experiences important to them (Ritchie and Lewis, 2014). The research will take place over several</w:t>
      </w:r>
      <w:r w:rsidR="006415C4" w:rsidRPr="000844A0">
        <w:rPr>
          <w:rFonts w:ascii="Times New Roman" w:hAnsi="Times New Roman" w:cs="Times New Roman"/>
        </w:rPr>
        <w:t xml:space="preserve"> weeks</w:t>
      </w:r>
      <w:r w:rsidRPr="000844A0">
        <w:rPr>
          <w:rFonts w:ascii="Times New Roman" w:hAnsi="Times New Roman" w:cs="Times New Roman"/>
        </w:rPr>
        <w:t xml:space="preserve">, beginning with a literature review, followed by participant recruitment, interviews, thematic analysis and interpretation of findings. Ethical considerations will </w:t>
      </w:r>
      <w:r w:rsidR="00280C2F" w:rsidRPr="000844A0">
        <w:rPr>
          <w:rFonts w:ascii="Times New Roman" w:hAnsi="Times New Roman" w:cs="Times New Roman"/>
        </w:rPr>
        <w:t>remain central throughout the study</w:t>
      </w:r>
      <w:r w:rsidRPr="000844A0">
        <w:rPr>
          <w:rFonts w:ascii="Times New Roman" w:hAnsi="Times New Roman" w:cs="Times New Roman"/>
        </w:rPr>
        <w:t xml:space="preserve"> due to the sensitive nature of </w:t>
      </w:r>
      <w:r w:rsidR="005254E9" w:rsidRPr="000844A0">
        <w:rPr>
          <w:rFonts w:ascii="Times New Roman" w:hAnsi="Times New Roman" w:cs="Times New Roman"/>
        </w:rPr>
        <w:t xml:space="preserve">exploring young </w:t>
      </w:r>
      <w:r w:rsidR="002F3781" w:rsidRPr="000844A0">
        <w:rPr>
          <w:rFonts w:ascii="Times New Roman" w:hAnsi="Times New Roman" w:cs="Times New Roman"/>
        </w:rPr>
        <w:t>people’s</w:t>
      </w:r>
      <w:r w:rsidR="005254E9" w:rsidRPr="000844A0">
        <w:rPr>
          <w:rFonts w:ascii="Times New Roman" w:hAnsi="Times New Roman" w:cs="Times New Roman"/>
        </w:rPr>
        <w:t xml:space="preserve"> </w:t>
      </w:r>
      <w:r w:rsidRPr="000844A0">
        <w:rPr>
          <w:rFonts w:ascii="Times New Roman" w:hAnsi="Times New Roman" w:cs="Times New Roman"/>
        </w:rPr>
        <w:t>emotional wellbeing and educational experiences.</w:t>
      </w:r>
    </w:p>
    <w:p w14:paraId="3EA71520" w14:textId="502F3497" w:rsidR="001C58D7" w:rsidRPr="00A93124" w:rsidRDefault="001C58D7" w:rsidP="00B543FF">
      <w:pPr>
        <w:pStyle w:val="NormalWeb"/>
        <w:spacing w:before="0" w:beforeAutospacing="0" w:after="180" w:afterAutospacing="0" w:line="480" w:lineRule="auto"/>
        <w:rPr>
          <w:rFonts w:ascii="Times New Roman" w:hAnsi="Times New Roman" w:cs="Times New Roman"/>
        </w:rPr>
      </w:pPr>
      <w:r w:rsidRPr="000844A0">
        <w:rPr>
          <w:rFonts w:ascii="Times New Roman" w:hAnsi="Times New Roman" w:cs="Times New Roman"/>
        </w:rPr>
        <w:t xml:space="preserve">There are several limitations associated with the study. The sample size is likely to be relatively small, limiting generalisability. Experiences may also differ significantly depending on individual circumstances, length of time outside education and levels of support available. Additionally, the study relies on self-reported </w:t>
      </w:r>
      <w:proofErr w:type="spellStart"/>
      <w:r w:rsidRPr="000844A0">
        <w:rPr>
          <w:rFonts w:ascii="Times New Roman" w:hAnsi="Times New Roman" w:cs="Times New Roman"/>
        </w:rPr>
        <w:t>experie</w:t>
      </w:r>
      <w:r w:rsidR="00230F7C">
        <w:rPr>
          <w:rFonts w:ascii="Times New Roman" w:hAnsi="Times New Roman" w:cs="Times New Roman"/>
        </w:rPr>
        <w:t>finniF</w:t>
      </w:r>
      <w:r w:rsidRPr="000844A0">
        <w:rPr>
          <w:rFonts w:ascii="Times New Roman" w:hAnsi="Times New Roman" w:cs="Times New Roman"/>
        </w:rPr>
        <w:t>nces</w:t>
      </w:r>
      <w:proofErr w:type="spellEnd"/>
      <w:r w:rsidRPr="000844A0">
        <w:rPr>
          <w:rFonts w:ascii="Times New Roman" w:hAnsi="Times New Roman" w:cs="Times New Roman"/>
        </w:rPr>
        <w:t xml:space="preserve">, which may be influenced by </w:t>
      </w:r>
      <w:r w:rsidR="000A0411">
        <w:rPr>
          <w:rFonts w:ascii="Times New Roman" w:hAnsi="Times New Roman" w:cs="Times New Roman"/>
        </w:rPr>
        <w:t>participants inter</w:t>
      </w:r>
      <w:r w:rsidR="00EF6A55">
        <w:rPr>
          <w:rFonts w:ascii="Times New Roman" w:hAnsi="Times New Roman" w:cs="Times New Roman"/>
        </w:rPr>
        <w:t>pretation of events, potentially affecting the accuracy or completeness of the data (Braun and Clarke, 2022)</w:t>
      </w:r>
      <w:r w:rsidR="00A93124">
        <w:rPr>
          <w:rFonts w:ascii="Times New Roman" w:hAnsi="Times New Roman" w:cs="Times New Roman"/>
        </w:rPr>
        <w:t xml:space="preserve">. </w:t>
      </w:r>
      <w:r w:rsidRPr="000844A0">
        <w:rPr>
          <w:rFonts w:ascii="Times New Roman" w:hAnsi="Times New Roman" w:cs="Times New Roman"/>
        </w:rPr>
        <w:t>Despite these limitations, the research aims to contribute valuable insight into an under-researched area relevant to both youth work and education. By foregrounding young people’s voices, the study hopes to inform future youth work practice, support services and policy development for young people outside mainstream education.</w:t>
      </w:r>
    </w:p>
    <w:p w14:paraId="7EC21C83" w14:textId="77777777" w:rsidR="00EB0EC4" w:rsidRDefault="00EB0EC4" w:rsidP="009D6C26">
      <w:pPr>
        <w:spacing w:line="480" w:lineRule="auto"/>
        <w:outlineLvl w:val="0"/>
        <w:rPr>
          <w:b/>
        </w:rPr>
      </w:pPr>
      <w:r>
        <w:rPr>
          <w:b/>
        </w:rPr>
        <w:br w:type="page"/>
      </w:r>
      <w:bookmarkStart w:id="2" w:name="_Toc193355361"/>
      <w:r>
        <w:rPr>
          <w:b/>
        </w:rPr>
        <w:t>LITERATURE REVIEW</w:t>
      </w:r>
      <w:bookmarkEnd w:id="2"/>
      <w:r>
        <w:rPr>
          <w:b/>
        </w:rPr>
        <w:t xml:space="preserve"> </w:t>
      </w:r>
    </w:p>
    <w:p w14:paraId="22C2F17A" w14:textId="77777777" w:rsidR="00BE0C61" w:rsidRPr="00E86156" w:rsidRDefault="00BE0C61"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 xml:space="preserve">Understanding </w:t>
      </w:r>
      <w:r w:rsidRPr="00E86156">
        <w:rPr>
          <w:rFonts w:ascii="Times New Roman" w:hAnsi="Times New Roman" w:cs="Times New Roman"/>
          <w:i/>
          <w:iCs/>
          <w:sz w:val="24"/>
          <w:szCs w:val="24"/>
        </w:rPr>
        <w:t>how the absence of formal schooling affects social and emotional wellbeing</w:t>
      </w:r>
      <w:r w:rsidRPr="00E86156">
        <w:rPr>
          <w:rFonts w:ascii="Times New Roman" w:hAnsi="Times New Roman" w:cs="Times New Roman"/>
          <w:sz w:val="24"/>
          <w:szCs w:val="24"/>
        </w:rPr>
        <w:t xml:space="preserve"> requires engagement with competing bodies of literature. Deficit-oriented research positions school absence as inherently damaging, associating it with isolation, poor mental health, and long-term social disadvantage. However, emerging home education research complicates this narrative, suggesting that wellbeing outcomes depend less on school attendance itself and more on access to supportive relationships, belonging, and meaningful participation. This review critically examines both positions, drawing on exclusion research, mental health literature, and home education studies, alongside relevant Welsh Government policy, to identify what is currently understood and where gaps remain.</w:t>
      </w:r>
    </w:p>
    <w:p w14:paraId="64594811" w14:textId="4A60370B" w:rsidR="00BC14A3" w:rsidRPr="00E86156" w:rsidRDefault="00BC14A3"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Bronfenbrenner’s (1979) ecological systems theory provides a useful framework for understanding why schools are considered central to young people’s development. By positioning schools within the microsystem</w:t>
      </w:r>
      <w:r w:rsidR="00C55A96" w:rsidRPr="00E86156">
        <w:rPr>
          <w:rFonts w:ascii="Times New Roman" w:hAnsi="Times New Roman" w:cs="Times New Roman"/>
          <w:sz w:val="24"/>
          <w:szCs w:val="24"/>
        </w:rPr>
        <w:t>.</w:t>
      </w:r>
      <w:r w:rsidRPr="00E86156">
        <w:rPr>
          <w:rFonts w:ascii="Times New Roman" w:hAnsi="Times New Roman" w:cs="Times New Roman"/>
          <w:sz w:val="24"/>
          <w:szCs w:val="24"/>
        </w:rPr>
        <w:t xml:space="preserve"> </w:t>
      </w:r>
      <w:r w:rsidR="00C55A96" w:rsidRPr="00E86156">
        <w:rPr>
          <w:rFonts w:ascii="Times New Roman" w:hAnsi="Times New Roman" w:cs="Times New Roman"/>
          <w:sz w:val="24"/>
          <w:szCs w:val="24"/>
        </w:rPr>
        <w:t>T</w:t>
      </w:r>
      <w:r w:rsidRPr="00E86156">
        <w:rPr>
          <w:rFonts w:ascii="Times New Roman" w:hAnsi="Times New Roman" w:cs="Times New Roman"/>
          <w:sz w:val="24"/>
          <w:szCs w:val="24"/>
        </w:rPr>
        <w:t>he immediate environment most directly shaping a child’s development</w:t>
      </w:r>
      <w:r w:rsidR="00C55A96" w:rsidRPr="00E86156">
        <w:rPr>
          <w:rFonts w:ascii="Times New Roman" w:hAnsi="Times New Roman" w:cs="Times New Roman"/>
          <w:sz w:val="24"/>
          <w:szCs w:val="24"/>
        </w:rPr>
        <w:t xml:space="preserve">, </w:t>
      </w:r>
      <w:r w:rsidRPr="00E86156">
        <w:rPr>
          <w:rFonts w:ascii="Times New Roman" w:hAnsi="Times New Roman" w:cs="Times New Roman"/>
          <w:sz w:val="24"/>
          <w:szCs w:val="24"/>
        </w:rPr>
        <w:t>the theory suggests that schools are primary sites for identity formation, peer relationships, and emotional regulation. This theoretical framing underpins much of the exclusion and attendance literature, which tends to treat school absence as synonymous with developmental risk.</w:t>
      </w:r>
    </w:p>
    <w:p w14:paraId="67D461B5" w14:textId="6B14CFC6" w:rsidR="005152AA" w:rsidRPr="00E86156" w:rsidRDefault="005152AA"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Ford et al. (2017) offer compelling evidence of the link between exclusion and mental health, finding through secondary analysis of national survey data that excluded young people were disproportionately likely to meet clinical thresholds for psychiatric disorders including anxiety, depression, and conduct difficulties. This is significant because it suggests many young people are not simply struggling academically following exclusion but are experiencing genuine mental health need</w:t>
      </w:r>
      <w:r w:rsidR="00CC3DAF" w:rsidRPr="00E86156">
        <w:rPr>
          <w:rFonts w:ascii="Times New Roman" w:hAnsi="Times New Roman" w:cs="Times New Roman"/>
          <w:sz w:val="24"/>
          <w:szCs w:val="24"/>
        </w:rPr>
        <w:t>s</w:t>
      </w:r>
      <w:r w:rsidRPr="00E86156">
        <w:rPr>
          <w:rFonts w:ascii="Times New Roman" w:hAnsi="Times New Roman" w:cs="Times New Roman"/>
          <w:sz w:val="24"/>
          <w:szCs w:val="24"/>
        </w:rPr>
        <w:t xml:space="preserve">. Finning et al. (2019) similarly </w:t>
      </w:r>
      <w:r w:rsidR="00F05B97">
        <w:rPr>
          <w:rFonts w:ascii="Times New Roman" w:hAnsi="Times New Roman" w:cs="Times New Roman"/>
          <w:sz w:val="24"/>
          <w:szCs w:val="24"/>
        </w:rPr>
        <w:t xml:space="preserve">highlighted a cyclical relationship between anxiety and poor </w:t>
      </w:r>
      <w:r w:rsidR="00284950">
        <w:rPr>
          <w:rFonts w:ascii="Times New Roman" w:hAnsi="Times New Roman" w:cs="Times New Roman"/>
          <w:sz w:val="24"/>
          <w:szCs w:val="24"/>
        </w:rPr>
        <w:t>attendance,</w:t>
      </w:r>
      <w:r w:rsidR="00F05B97">
        <w:rPr>
          <w:rFonts w:ascii="Times New Roman" w:hAnsi="Times New Roman" w:cs="Times New Roman"/>
          <w:sz w:val="24"/>
          <w:szCs w:val="24"/>
        </w:rPr>
        <w:t xml:space="preserve"> in which</w:t>
      </w:r>
      <w:r w:rsidR="00284950">
        <w:rPr>
          <w:rFonts w:ascii="Times New Roman" w:hAnsi="Times New Roman" w:cs="Times New Roman"/>
          <w:sz w:val="24"/>
          <w:szCs w:val="24"/>
        </w:rPr>
        <w:t xml:space="preserve"> each reinforces and intensifies the other over time. </w:t>
      </w:r>
      <w:r w:rsidRPr="00E86156">
        <w:rPr>
          <w:rFonts w:ascii="Times New Roman" w:hAnsi="Times New Roman" w:cs="Times New Roman"/>
          <w:sz w:val="24"/>
          <w:szCs w:val="24"/>
        </w:rPr>
        <w:t>Together, these studies suggest that absence from school is rarely a straightforward or neutral experience for young people.</w:t>
      </w:r>
    </w:p>
    <w:p w14:paraId="49F9FC2E" w14:textId="0078C919" w:rsidR="004B363B" w:rsidRPr="00E86156" w:rsidRDefault="004B363B"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Welsh Government policy reflects these findings. Guidance on school exclusion describes permanent exclusion as a “last resort” and explicitly links it to poorer mental health, reduced educational outcomes, and long-term social disadvantage (Welsh Government, 2019). Exclusion data further reveals that young people with additional ALN</w:t>
      </w:r>
      <w:r w:rsidR="005B7D6B" w:rsidRPr="00E86156">
        <w:rPr>
          <w:rFonts w:ascii="Times New Roman" w:hAnsi="Times New Roman" w:cs="Times New Roman"/>
          <w:sz w:val="24"/>
          <w:szCs w:val="24"/>
        </w:rPr>
        <w:t xml:space="preserve"> or </w:t>
      </w:r>
      <w:r w:rsidRPr="00E86156">
        <w:rPr>
          <w:rFonts w:ascii="Times New Roman" w:hAnsi="Times New Roman" w:cs="Times New Roman"/>
          <w:sz w:val="24"/>
          <w:szCs w:val="24"/>
        </w:rPr>
        <w:t>SEN are disproportionately excluded, suggesting that those with pre-existing emotional or developmental difficulties face the greatest risk of losing the support structures that school provides (Welsh Government, 2022). This policy context is significant because it indicates institutional recognition that removal from formal education carries serious wellbeing consequences, particularly for already-vulnerable groups.</w:t>
      </w:r>
    </w:p>
    <w:p w14:paraId="422BA79C" w14:textId="6F53EB22" w:rsidR="004077C2" w:rsidRPr="00E86156" w:rsidRDefault="004077C2"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 xml:space="preserve">However, the causal relationship between school absence and poor wellbeing is more complex than a straightforward deficit model suggests. </w:t>
      </w:r>
      <w:proofErr w:type="spellStart"/>
      <w:r w:rsidRPr="00E86156">
        <w:rPr>
          <w:rFonts w:ascii="Times New Roman" w:hAnsi="Times New Roman" w:cs="Times New Roman"/>
          <w:sz w:val="24"/>
          <w:szCs w:val="24"/>
        </w:rPr>
        <w:t>Cornaglia</w:t>
      </w:r>
      <w:proofErr w:type="spellEnd"/>
      <w:r w:rsidRPr="00E86156">
        <w:rPr>
          <w:rFonts w:ascii="Times New Roman" w:hAnsi="Times New Roman" w:cs="Times New Roman"/>
          <w:sz w:val="24"/>
          <w:szCs w:val="24"/>
        </w:rPr>
        <w:t>, Crivellaro and McNally (2015) argue persuasively that mental health difficulties actively shape educational decisions and participation, rather than merely resulting from them. Their analysis suggests that emotional distress contributes to disengagement, lower attendance, and early withdrawal from educational pathways. This positions the relationship as reciprocal</w:t>
      </w:r>
      <w:r w:rsidR="007E743C" w:rsidRPr="00E86156">
        <w:rPr>
          <w:rFonts w:ascii="Times New Roman" w:hAnsi="Times New Roman" w:cs="Times New Roman"/>
          <w:sz w:val="24"/>
          <w:szCs w:val="24"/>
        </w:rPr>
        <w:t xml:space="preserve">, </w:t>
      </w:r>
      <w:r w:rsidRPr="00E86156">
        <w:rPr>
          <w:rFonts w:ascii="Times New Roman" w:hAnsi="Times New Roman" w:cs="Times New Roman"/>
          <w:sz w:val="24"/>
          <w:szCs w:val="24"/>
        </w:rPr>
        <w:t>poor wellbeing can lead to absence, while absence may further deteriorate wellbeing. These cyclical dynamic challenges the assumption that school attendance alone protects young people and raises questions about whether enforced attendance</w:t>
      </w:r>
      <w:r w:rsidR="0087621E" w:rsidRPr="00E86156">
        <w:rPr>
          <w:rFonts w:ascii="Times New Roman" w:hAnsi="Times New Roman" w:cs="Times New Roman"/>
          <w:sz w:val="24"/>
          <w:szCs w:val="24"/>
        </w:rPr>
        <w:t>,</w:t>
      </w:r>
      <w:r w:rsidRPr="00E86156">
        <w:rPr>
          <w:rFonts w:ascii="Times New Roman" w:hAnsi="Times New Roman" w:cs="Times New Roman"/>
          <w:sz w:val="24"/>
          <w:szCs w:val="24"/>
        </w:rPr>
        <w:t xml:space="preserve"> without addressing underlying emotional needs</w:t>
      </w:r>
      <w:r w:rsidR="00B041B9" w:rsidRPr="00E86156">
        <w:rPr>
          <w:rFonts w:ascii="Times New Roman" w:hAnsi="Times New Roman" w:cs="Times New Roman"/>
          <w:sz w:val="24"/>
          <w:szCs w:val="24"/>
        </w:rPr>
        <w:t xml:space="preserve"> </w:t>
      </w:r>
      <w:r w:rsidRPr="00E86156">
        <w:rPr>
          <w:rFonts w:ascii="Times New Roman" w:hAnsi="Times New Roman" w:cs="Times New Roman"/>
          <w:sz w:val="24"/>
          <w:szCs w:val="24"/>
        </w:rPr>
        <w:t xml:space="preserve">meaningfully improves outcomes. A trauma-informed perspective reinforces this point, arguing that behavioural difficulties and disengagement often reflect unmet emotional needs rather than deliberate defiance (Bath, 2008). Consequently, </w:t>
      </w:r>
      <w:r w:rsidR="00947683" w:rsidRPr="00E86156">
        <w:rPr>
          <w:rFonts w:ascii="Times New Roman" w:hAnsi="Times New Roman" w:cs="Times New Roman"/>
          <w:sz w:val="24"/>
          <w:szCs w:val="24"/>
        </w:rPr>
        <w:t>severe</w:t>
      </w:r>
      <w:r w:rsidRPr="00E86156">
        <w:rPr>
          <w:rFonts w:ascii="Times New Roman" w:hAnsi="Times New Roman" w:cs="Times New Roman"/>
          <w:sz w:val="24"/>
          <w:szCs w:val="24"/>
        </w:rPr>
        <w:t xml:space="preserve"> exclusion practices risk increasing harm rather than resolving it.</w:t>
      </w:r>
    </w:p>
    <w:p w14:paraId="25D2101B" w14:textId="77777777" w:rsidR="0012507B" w:rsidRPr="0012507B" w:rsidRDefault="0012507B" w:rsidP="00954220">
      <w:pPr>
        <w:pStyle w:val="PlainText"/>
        <w:spacing w:line="480" w:lineRule="auto"/>
        <w:rPr>
          <w:rFonts w:ascii="Times New Roman" w:hAnsi="Times New Roman" w:cs="Times New Roman"/>
          <w:sz w:val="24"/>
          <w:szCs w:val="24"/>
        </w:rPr>
      </w:pPr>
      <w:r w:rsidRPr="0012507B">
        <w:rPr>
          <w:rFonts w:ascii="Times New Roman" w:hAnsi="Times New Roman" w:cs="Times New Roman"/>
          <w:sz w:val="24"/>
          <w:szCs w:val="24"/>
        </w:rPr>
        <w:t>Despite these concerns, the dominant literature implicitly assumes that schools are the primary, if not exclusive, sites of social development and belonging. School belonging theory proposes that peer acceptance, connectedness, and participation within school positively influence emotional wellbeing (Goodenow, 1993). Yet this assumption is directly challenged by research into elective home education. De Carvalho (2020), in a thematic analysis of the social lives of home educated adolescents in the UK, found that participants maintained active and varied social lives through youth groups, community activities, sports, and online networks. Participants explicitly rejected stereotypes of isolation, describing rich social identities developed outside school settings. These findings are significant because they demonstrate that belonging and social development are not exclusively school-dependent phenomena.</w:t>
      </w:r>
    </w:p>
    <w:p w14:paraId="025DD2D4" w14:textId="77777777" w:rsidR="0070064F" w:rsidRPr="00E86156" w:rsidRDefault="00356FBC" w:rsidP="00954220">
      <w:pPr>
        <w:pStyle w:val="PlainText"/>
        <w:spacing w:line="480" w:lineRule="auto"/>
        <w:rPr>
          <w:rFonts w:ascii="Times New Roman" w:hAnsi="Times New Roman" w:cs="Times New Roman"/>
          <w:kern w:val="0"/>
          <w:sz w:val="24"/>
          <w:szCs w:val="24"/>
          <w:lang w:eastAsia="en-GB"/>
          <w14:ligatures w14:val="none"/>
        </w:rPr>
      </w:pPr>
      <w:r w:rsidRPr="00356FBC">
        <w:rPr>
          <w:rFonts w:ascii="Times New Roman" w:hAnsi="Times New Roman" w:cs="Times New Roman"/>
          <w:sz w:val="24"/>
          <w:szCs w:val="24"/>
        </w:rPr>
        <w:t>This aligns theoretically with Bronfenbrenner’s (1979) broader ecological model, which recognises that development occurs across multiple systems simultaneously, including family, community, and peer networks beyond institutional settings. De Carvalho’s (2020) findings suggest that for some young people, these alternative systems may be sufficient to support healthy social and emotional development. However, a critical limitation of this research is the likely self-selecting nature of the sample. Participants were electively home educated, typically with motivated parental involvement and intentional alternative provision. This may not be representative of young people absent from school due to exclusion, anxiety, or socioeconomic adversity, where comparable support structures are often absent.</w:t>
      </w:r>
      <w:r w:rsidR="0070064F" w:rsidRPr="00E86156">
        <w:rPr>
          <w:rFonts w:ascii="Times New Roman" w:hAnsi="Times New Roman" w:cs="Times New Roman"/>
          <w:kern w:val="0"/>
          <w:sz w:val="24"/>
          <w:szCs w:val="24"/>
          <w:lang w:eastAsia="en-GB"/>
          <w14:ligatures w14:val="none"/>
        </w:rPr>
        <w:t xml:space="preserve"> </w:t>
      </w:r>
    </w:p>
    <w:p w14:paraId="2B4B10DC" w14:textId="14BF8A04" w:rsidR="009E598F" w:rsidRPr="00E86156" w:rsidRDefault="0070064F"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Moir (2021) extends this analysis by exploring how home educated young people transition to work and adulthood outside traditional educational pathways. Drawing on Bourdieu’s (1986) concepts of social and cultural capital, Moir found that participants developed autonomy, confidence, and professional networks through community participation, volunteering, and work-related experience. Schools traditionally confer institutional capital through qualifications and recognised achievement; Moir’s findings suggest that alternative forms of capital can develop through non-school environments. This challenges the assumption that formal schooling is the sole or superior route to adult social competence. Nevertheless, similar methodological caution applies</w:t>
      </w:r>
      <w:r w:rsidR="00017F2D" w:rsidRPr="00E86156">
        <w:rPr>
          <w:rFonts w:ascii="Times New Roman" w:hAnsi="Times New Roman" w:cs="Times New Roman"/>
          <w:sz w:val="24"/>
          <w:szCs w:val="24"/>
        </w:rPr>
        <w:t>.</w:t>
      </w:r>
      <w:r w:rsidRPr="00E86156">
        <w:rPr>
          <w:rFonts w:ascii="Times New Roman" w:hAnsi="Times New Roman" w:cs="Times New Roman"/>
          <w:sz w:val="24"/>
          <w:szCs w:val="24"/>
        </w:rPr>
        <w:t xml:space="preserve"> Moir’s participants appear to have benefited from stable, supportive home environments and proactive parental advocacy, circumstances that cannot be assumed for all young people outside formal education</w:t>
      </w:r>
      <w:r w:rsidR="004F4224" w:rsidRPr="00E86156">
        <w:rPr>
          <w:rFonts w:ascii="Times New Roman" w:hAnsi="Times New Roman" w:cs="Times New Roman"/>
          <w:sz w:val="24"/>
          <w:szCs w:val="24"/>
        </w:rPr>
        <w:t>.</w:t>
      </w:r>
    </w:p>
    <w:p w14:paraId="53462374" w14:textId="77777777" w:rsidR="00364FC0" w:rsidRPr="00E86156" w:rsidRDefault="00364FC0" w:rsidP="00954220">
      <w:pPr>
        <w:pStyle w:val="PlainText"/>
        <w:spacing w:line="480" w:lineRule="auto"/>
        <w:rPr>
          <w:rFonts w:ascii="Times New Roman" w:hAnsi="Times New Roman" w:cs="Times New Roman"/>
          <w:sz w:val="24"/>
          <w:szCs w:val="24"/>
        </w:rPr>
      </w:pPr>
      <w:r w:rsidRPr="00364FC0">
        <w:rPr>
          <w:rFonts w:ascii="Times New Roman" w:hAnsi="Times New Roman" w:cs="Times New Roman"/>
          <w:sz w:val="24"/>
          <w:szCs w:val="24"/>
        </w:rPr>
        <w:t>Taken together, de Carvalho (2020) and Moir (2021) make an important contribution by demonstrating that school absence does not automatically produce poor social or emotional outcomes. What appears to matter is not attendance per se, but access to supportive relationships, opportunities for belonging, and environments that nurture emotional security. Attachment theory supports this interpretation, suggesting that stable relationships with trusted adults underpin emotional regulation and resilience regardless of setting (Bowlby, 1969). Schools can provide such relationships through teachers and pastoral staff, but families, mentors, and community networks may serve equivalent functions for some young people.</w:t>
      </w:r>
    </w:p>
    <w:p w14:paraId="72841F64" w14:textId="580D4B0A" w:rsidR="00DC3674" w:rsidRPr="00E86156" w:rsidRDefault="00BF5E01"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This distinction between elective home education with strong parental support and involuntary absence driven by exclusion or adversity</w:t>
      </w:r>
      <w:r w:rsidR="00917275" w:rsidRPr="00E86156">
        <w:rPr>
          <w:rFonts w:ascii="Times New Roman" w:hAnsi="Times New Roman" w:cs="Times New Roman"/>
          <w:sz w:val="24"/>
          <w:szCs w:val="24"/>
        </w:rPr>
        <w:t xml:space="preserve"> </w:t>
      </w:r>
      <w:r w:rsidRPr="00E86156">
        <w:rPr>
          <w:rFonts w:ascii="Times New Roman" w:hAnsi="Times New Roman" w:cs="Times New Roman"/>
          <w:sz w:val="24"/>
          <w:szCs w:val="24"/>
        </w:rPr>
        <w:t xml:space="preserve">is critical and often obscured in the literature. Welsh Government exclusion reviews document increasing behavioural challenges in schools alongside diminishing resources for supporting vulnerable pupils (Welsh Government, 2019). Young people </w:t>
      </w:r>
      <w:r w:rsidR="00DC3674" w:rsidRPr="00E86156">
        <w:rPr>
          <w:rFonts w:ascii="Times New Roman" w:hAnsi="Times New Roman" w:cs="Times New Roman"/>
          <w:sz w:val="24"/>
          <w:szCs w:val="24"/>
        </w:rPr>
        <w:t>whose absence stems from exclusion, trauma or poverty, the picture looks considerably different.  Unlike the electively home educated</w:t>
      </w:r>
      <w:r w:rsidR="00393C25" w:rsidRPr="00E86156">
        <w:rPr>
          <w:rFonts w:ascii="Times New Roman" w:hAnsi="Times New Roman" w:cs="Times New Roman"/>
          <w:sz w:val="24"/>
          <w:szCs w:val="24"/>
        </w:rPr>
        <w:t xml:space="preserve"> young people described by de Carvalho (2020) and Moir (2021), those removed from school due to ALN/SEN or social disadvantage are unlikely to have access to structured, well supported alternatives.  In many cases, school may represent the most stable and consistent environment in their lives</w:t>
      </w:r>
      <w:r w:rsidR="00611E22" w:rsidRPr="00E86156">
        <w:rPr>
          <w:rFonts w:ascii="Times New Roman" w:hAnsi="Times New Roman" w:cs="Times New Roman"/>
          <w:sz w:val="24"/>
          <w:szCs w:val="24"/>
        </w:rPr>
        <w:t xml:space="preserve">, providing adult relationships and routine that </w:t>
      </w:r>
      <w:r w:rsidR="009D6C26" w:rsidRPr="00E86156">
        <w:rPr>
          <w:rFonts w:ascii="Times New Roman" w:hAnsi="Times New Roman" w:cs="Times New Roman"/>
          <w:sz w:val="24"/>
          <w:szCs w:val="24"/>
        </w:rPr>
        <w:t>cannot</w:t>
      </w:r>
      <w:r w:rsidR="00611E22" w:rsidRPr="00E86156">
        <w:rPr>
          <w:rFonts w:ascii="Times New Roman" w:hAnsi="Times New Roman" w:cs="Times New Roman"/>
          <w:sz w:val="24"/>
          <w:szCs w:val="24"/>
        </w:rPr>
        <w:t xml:space="preserve"> be assumed to exist anywhere else.  </w:t>
      </w:r>
      <w:r w:rsidR="009C3323" w:rsidRPr="00E86156">
        <w:rPr>
          <w:rFonts w:ascii="Times New Roman" w:hAnsi="Times New Roman" w:cs="Times New Roman"/>
          <w:sz w:val="24"/>
          <w:szCs w:val="24"/>
        </w:rPr>
        <w:t xml:space="preserve">Removal from this, </w:t>
      </w:r>
      <w:r w:rsidR="00614827" w:rsidRPr="00E86156">
        <w:rPr>
          <w:rFonts w:ascii="Times New Roman" w:hAnsi="Times New Roman" w:cs="Times New Roman"/>
          <w:sz w:val="24"/>
          <w:szCs w:val="24"/>
        </w:rPr>
        <w:t>therefore,</w:t>
      </w:r>
      <w:r w:rsidR="009C3323" w:rsidRPr="00E86156">
        <w:rPr>
          <w:rFonts w:ascii="Times New Roman" w:hAnsi="Times New Roman" w:cs="Times New Roman"/>
          <w:sz w:val="24"/>
          <w:szCs w:val="24"/>
        </w:rPr>
        <w:t xml:space="preserve"> carries a very different meaning than the chosen departure form schooling described in home education literature.</w:t>
      </w:r>
    </w:p>
    <w:p w14:paraId="51431BD3" w14:textId="6642BEB4" w:rsidR="00B20D5D" w:rsidRPr="00E86156" w:rsidRDefault="00B20D5D" w:rsidP="00954220">
      <w:pPr>
        <w:pStyle w:val="PlainText"/>
        <w:spacing w:line="480" w:lineRule="auto"/>
        <w:rPr>
          <w:rFonts w:ascii="Times New Roman" w:hAnsi="Times New Roman" w:cs="Times New Roman"/>
          <w:sz w:val="24"/>
          <w:szCs w:val="24"/>
        </w:rPr>
      </w:pPr>
      <w:r w:rsidRPr="00B20D5D">
        <w:rPr>
          <w:rFonts w:ascii="Times New Roman" w:hAnsi="Times New Roman" w:cs="Times New Roman"/>
          <w:sz w:val="24"/>
          <w:szCs w:val="24"/>
        </w:rPr>
        <w:t xml:space="preserve">Welsh Government policy has begun to reflect a more </w:t>
      </w:r>
      <w:r w:rsidR="008307E6" w:rsidRPr="00E86156">
        <w:rPr>
          <w:rFonts w:ascii="Times New Roman" w:hAnsi="Times New Roman" w:cs="Times New Roman"/>
          <w:sz w:val="24"/>
          <w:szCs w:val="24"/>
        </w:rPr>
        <w:t xml:space="preserve">detailed </w:t>
      </w:r>
      <w:r w:rsidRPr="00B20D5D">
        <w:rPr>
          <w:rFonts w:ascii="Times New Roman" w:hAnsi="Times New Roman" w:cs="Times New Roman"/>
          <w:sz w:val="24"/>
          <w:szCs w:val="24"/>
        </w:rPr>
        <w:t xml:space="preserve">understanding of inclusion and wellbeing. Frameworks such as Belonging, Engaging and Participating and Rights, Respect, Equality emphasise relational practice, participation, and preventative approaches rather than solely </w:t>
      </w:r>
      <w:r w:rsidR="00E002D4" w:rsidRPr="00E86156">
        <w:rPr>
          <w:rFonts w:ascii="Times New Roman" w:hAnsi="Times New Roman" w:cs="Times New Roman"/>
          <w:sz w:val="24"/>
          <w:szCs w:val="24"/>
        </w:rPr>
        <w:t>punitive</w:t>
      </w:r>
      <w:r w:rsidRPr="00B20D5D">
        <w:rPr>
          <w:rFonts w:ascii="Times New Roman" w:hAnsi="Times New Roman" w:cs="Times New Roman"/>
          <w:sz w:val="24"/>
          <w:szCs w:val="24"/>
        </w:rPr>
        <w:t xml:space="preserve"> responses to absence and behaviour (Welsh Government, 2017; Welsh Government, 2019). This shift aligns with literature emphasising emotional security and inclusive environments as protective factors and </w:t>
      </w:r>
      <w:r w:rsidR="00231D09">
        <w:rPr>
          <w:rFonts w:ascii="Times New Roman" w:hAnsi="Times New Roman" w:cs="Times New Roman"/>
          <w:sz w:val="24"/>
          <w:szCs w:val="24"/>
        </w:rPr>
        <w:t>reflects a growing recog</w:t>
      </w:r>
      <w:r w:rsidR="00ED7C3B">
        <w:rPr>
          <w:rFonts w:ascii="Times New Roman" w:hAnsi="Times New Roman" w:cs="Times New Roman"/>
          <w:sz w:val="24"/>
          <w:szCs w:val="24"/>
        </w:rPr>
        <w:t>nition that young people’s wellbeing is closely tied to the quality of their relational experiences with and beyond educational settings</w:t>
      </w:r>
      <w:r w:rsidR="00796F3F">
        <w:rPr>
          <w:rFonts w:ascii="Times New Roman" w:hAnsi="Times New Roman" w:cs="Times New Roman"/>
          <w:sz w:val="24"/>
          <w:szCs w:val="24"/>
        </w:rPr>
        <w:t xml:space="preserve"> </w:t>
      </w:r>
      <w:r w:rsidR="00A07228">
        <w:rPr>
          <w:rFonts w:ascii="Times New Roman" w:hAnsi="Times New Roman" w:cs="Times New Roman"/>
          <w:sz w:val="24"/>
          <w:szCs w:val="24"/>
        </w:rPr>
        <w:t>(Masten, 2014)</w:t>
      </w:r>
      <w:r w:rsidRPr="00B20D5D">
        <w:rPr>
          <w:rFonts w:ascii="Times New Roman" w:hAnsi="Times New Roman" w:cs="Times New Roman"/>
          <w:sz w:val="24"/>
          <w:szCs w:val="24"/>
        </w:rPr>
        <w:t>.</w:t>
      </w:r>
    </w:p>
    <w:p w14:paraId="6495C473" w14:textId="1F72A2F7" w:rsidR="005F7FA1" w:rsidRDefault="005F7FA1" w:rsidP="00954220">
      <w:pPr>
        <w:pStyle w:val="PlainText"/>
        <w:spacing w:line="480" w:lineRule="auto"/>
        <w:rPr>
          <w:rFonts w:ascii="Times New Roman" w:hAnsi="Times New Roman" w:cs="Times New Roman"/>
          <w:sz w:val="24"/>
          <w:szCs w:val="24"/>
        </w:rPr>
      </w:pPr>
      <w:r w:rsidRPr="005F7FA1">
        <w:rPr>
          <w:rFonts w:ascii="Times New Roman" w:hAnsi="Times New Roman" w:cs="Times New Roman"/>
          <w:sz w:val="24"/>
          <w:szCs w:val="24"/>
        </w:rPr>
        <w:t>Taken as a whole, the literature suggests that school absence carries real risks for social and emotional wellbeing, but that these risks are not inevitable or uniform. The evidence points toward supportive relationships, a sense of belonging, and access to opportunity as the factors that matter most, regardless of whether these are found within or outside a school setting. What remains less clear is how young people themselves particularly those whose absence is not chosen experience and make sense of these circumstances. Much of the existing research focuses on measurable outcomes or the perspectives of electively home educated young people with strong parental support, leaving the voices of those excluded due to ALN/SEN, trauma, or poverty largely unheard. A deficit framing alone cannot adequately capture this complexity. Further research that centres the lived experiences of young people across a range of circumstances would help to address this gap and deepen understanding of what absence from formal schooling means for those living it.</w:t>
      </w:r>
    </w:p>
    <w:p w14:paraId="1A2A3E1B" w14:textId="3E949858" w:rsidR="004438C8" w:rsidRP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Youth work theory offers a further lens through which to understand how supportive relationships might substitute</w:t>
      </w:r>
      <w:r w:rsidR="008B2686">
        <w:rPr>
          <w:rFonts w:ascii="Times New Roman" w:hAnsi="Times New Roman" w:cs="Times New Roman"/>
          <w:sz w:val="24"/>
          <w:szCs w:val="24"/>
        </w:rPr>
        <w:t xml:space="preserve"> for</w:t>
      </w:r>
      <w:r w:rsidRPr="004438C8">
        <w:rPr>
          <w:rFonts w:ascii="Times New Roman" w:hAnsi="Times New Roman" w:cs="Times New Roman"/>
          <w:sz w:val="24"/>
          <w:szCs w:val="24"/>
        </w:rPr>
        <w:t xml:space="preserve"> the developmental functions typically attributed to schools. Jeffs and Smith (2005) argue that the defining strength of youth work lies in its voluntary and relational nature </w:t>
      </w:r>
      <w:r w:rsidR="00FE2FC0">
        <w:rPr>
          <w:rFonts w:ascii="Times New Roman" w:hAnsi="Times New Roman" w:cs="Times New Roman"/>
          <w:sz w:val="24"/>
          <w:szCs w:val="24"/>
        </w:rPr>
        <w:t>young</w:t>
      </w:r>
      <w:r w:rsidRPr="004438C8">
        <w:rPr>
          <w:rFonts w:ascii="Times New Roman" w:hAnsi="Times New Roman" w:cs="Times New Roman"/>
          <w:sz w:val="24"/>
          <w:szCs w:val="24"/>
        </w:rPr>
        <w:t xml:space="preserve"> people choose to engage, and relationships with youth workers are built on trust rather than institutional authority. This distinction matters when considering young people who have disengaged from formal schooling, since compulsory attendance and hierarchical staff-pupil relationships may themselves be sources of distress for some, particularly those with prior experiences of exclusion or trauma. Where school relationships are structured around compliance, youth work relationships are structured around consent, potentially making them more accessible to young people who have come to associate formal institutions with failure or rejection.</w:t>
      </w:r>
    </w:p>
    <w:p w14:paraId="69B9FE95" w14:textId="40B6575C" w:rsidR="004438C8" w:rsidRP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 xml:space="preserve">Davies (2005) similarly emphasises the developmental, rather than corrective purpose of youth work, positioning it as concerned with young people’s holistic growth rather than the achievement of externally set outcomes. This framing resonates with de Carvalho’s (2020) and Moir’s (2021) findings regarding home educated young people, suggesting that non-formal spaces, whether family-led or youth work-based, can offer alternative routes to confidence, identity, and social competence. </w:t>
      </w:r>
      <w:proofErr w:type="spellStart"/>
      <w:r w:rsidRPr="004438C8">
        <w:rPr>
          <w:rFonts w:ascii="Times New Roman" w:hAnsi="Times New Roman" w:cs="Times New Roman"/>
          <w:sz w:val="24"/>
          <w:szCs w:val="24"/>
        </w:rPr>
        <w:t>Batsleer</w:t>
      </w:r>
      <w:proofErr w:type="spellEnd"/>
      <w:r w:rsidRPr="004438C8">
        <w:rPr>
          <w:rFonts w:ascii="Times New Roman" w:hAnsi="Times New Roman" w:cs="Times New Roman"/>
          <w:sz w:val="24"/>
          <w:szCs w:val="24"/>
        </w:rPr>
        <w:t xml:space="preserve"> (2008) extends this further, arguing that informal educational encounters often occur in the “in-between” moments of conversation and shared activity rather than through structured curricula, allowing relationships to develop organically and at a pace suited to the young person.</w:t>
      </w:r>
    </w:p>
    <w:p w14:paraId="08A55B32" w14:textId="0C0E613F" w:rsidR="004438C8" w:rsidRP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 xml:space="preserve">This literature is particularly relevant to young people whose absence from school is not chosen. If, as Bath (2008) and </w:t>
      </w:r>
      <w:proofErr w:type="spellStart"/>
      <w:r w:rsidRPr="004438C8">
        <w:rPr>
          <w:rFonts w:ascii="Times New Roman" w:hAnsi="Times New Roman" w:cs="Times New Roman"/>
          <w:sz w:val="24"/>
          <w:szCs w:val="24"/>
        </w:rPr>
        <w:t>Cornaglia</w:t>
      </w:r>
      <w:proofErr w:type="spellEnd"/>
      <w:r w:rsidRPr="004438C8">
        <w:rPr>
          <w:rFonts w:ascii="Times New Roman" w:hAnsi="Times New Roman" w:cs="Times New Roman"/>
          <w:sz w:val="24"/>
          <w:szCs w:val="24"/>
        </w:rPr>
        <w:t>, Crivellaro and McNally (2015) suggest, disengagement often reflects unmet emotional need rather than defiance, the environments offering voluntary, low-pressure relational contact may be better placed to meet that need than environments requiring compliance. Ord (2016) supports this, contending that youth work’s informal curriculum, built around dialogue, activity, and negotiated relationships, can rebuild trust and engagement in young people who have disengaged from formalised settings. However, the evidence base here remains largely theoretical or small-scale, and there is limited empirical research specifically examining youth work’s role with young people absent from school due to exclusion, anxiety, or additional learning needs, as opposed to universal youth service users.</w:t>
      </w:r>
    </w:p>
    <w:p w14:paraId="34711D7E" w14:textId="7305A46F" w:rsid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While home education research (de Carvalho, 2020; Moir, 2021) demonstrates that alternative relational environments can support wellbeing, and youth work theory (Jeffs and Smith, 2005; Davies, 2005) provides a rationale for why voluntary, trust-based relationships might be effective, few studies bring these strands together to examine youth work specifically as a protective factor for young people absent from mainstream education involuntarily. This represents a clear space for further inquiry, and one this dissertation seeks to address by centring the perspectives of young people themselves in relation to informal, trust-based support.</w:t>
      </w:r>
    </w:p>
    <w:p w14:paraId="25AB81BE" w14:textId="3F2D6F61" w:rsidR="00715996" w:rsidRPr="004438C8" w:rsidRDefault="00715996" w:rsidP="004438C8">
      <w:pPr>
        <w:pStyle w:val="PlainText"/>
        <w:spacing w:line="480" w:lineRule="auto"/>
        <w:rPr>
          <w:rFonts w:ascii="Times New Roman" w:hAnsi="Times New Roman" w:cs="Times New Roman"/>
          <w:sz w:val="24"/>
          <w:szCs w:val="24"/>
        </w:rPr>
      </w:pPr>
      <w:r>
        <w:rPr>
          <w:rFonts w:ascii="Times New Roman" w:hAnsi="Times New Roman" w:cs="Times New Roman"/>
          <w:sz w:val="24"/>
          <w:szCs w:val="24"/>
        </w:rPr>
        <w:t>Having established</w:t>
      </w:r>
      <w:r w:rsidR="00B711B0">
        <w:rPr>
          <w:rFonts w:ascii="Times New Roman" w:hAnsi="Times New Roman" w:cs="Times New Roman"/>
          <w:sz w:val="24"/>
          <w:szCs w:val="24"/>
        </w:rPr>
        <w:t xml:space="preserve"> that supportive, trust-based relationships may serve as a key protective factor for young people absent from formal education</w:t>
      </w:r>
      <w:r w:rsidR="00CA0174">
        <w:rPr>
          <w:rFonts w:ascii="Times New Roman" w:hAnsi="Times New Roman" w:cs="Times New Roman"/>
          <w:sz w:val="24"/>
          <w:szCs w:val="24"/>
        </w:rPr>
        <w:t>, but that empirical research directly exploring this from young people’s own perspective remains limited, this study seeks to address that gap through qual</w:t>
      </w:r>
      <w:r w:rsidR="00760C3E">
        <w:rPr>
          <w:rFonts w:ascii="Times New Roman" w:hAnsi="Times New Roman" w:cs="Times New Roman"/>
          <w:sz w:val="24"/>
          <w:szCs w:val="24"/>
        </w:rPr>
        <w:t>itative inquiry.  The following chapter outlines the method</w:t>
      </w:r>
      <w:r w:rsidR="008E2798">
        <w:rPr>
          <w:rFonts w:ascii="Times New Roman" w:hAnsi="Times New Roman" w:cs="Times New Roman"/>
          <w:sz w:val="24"/>
          <w:szCs w:val="24"/>
        </w:rPr>
        <w:t>ological approach taken to explore these experiences directly with young people themselves.</w:t>
      </w:r>
    </w:p>
    <w:p w14:paraId="126ED399" w14:textId="77777777" w:rsidR="00614827" w:rsidRDefault="00614827" w:rsidP="00B20D5D">
      <w:pPr>
        <w:pStyle w:val="PlainText"/>
      </w:pPr>
    </w:p>
    <w:p w14:paraId="7C86E257" w14:textId="7F15464A" w:rsidR="00EB0EC4" w:rsidRDefault="00EB0EC4" w:rsidP="009D6C26">
      <w:pPr>
        <w:spacing w:line="480" w:lineRule="auto"/>
        <w:outlineLvl w:val="0"/>
        <w:rPr>
          <w:b/>
        </w:rPr>
      </w:pPr>
      <w:bookmarkStart w:id="3" w:name="_Toc193355362"/>
      <w:r>
        <w:rPr>
          <w:b/>
        </w:rPr>
        <w:t>METHODOLOGY/METHODS</w:t>
      </w:r>
      <w:bookmarkEnd w:id="3"/>
      <w:r>
        <w:rPr>
          <w:b/>
        </w:rPr>
        <w:t xml:space="preserve"> </w:t>
      </w:r>
    </w:p>
    <w:p w14:paraId="25EB8A93" w14:textId="6C65C0B1" w:rsidR="00E60736" w:rsidRPr="00E60736" w:rsidRDefault="00E60736" w:rsidP="00B543FF">
      <w:pPr>
        <w:spacing w:line="480" w:lineRule="auto"/>
        <w:rPr>
          <w:bCs/>
        </w:rPr>
      </w:pPr>
      <w:r w:rsidRPr="00E60736">
        <w:rPr>
          <w:bCs/>
        </w:rPr>
        <w:t xml:space="preserve">This study adopts a qualitative-led, youth-centred research design to explore the impact of </w:t>
      </w:r>
      <w:r w:rsidRPr="00620054">
        <w:rPr>
          <w:bCs/>
          <w:i/>
          <w:iCs/>
        </w:rPr>
        <w:t>not engaging in formal education on the social and emotional wellbeing of young people</w:t>
      </w:r>
      <w:r w:rsidRPr="00E60736">
        <w:rPr>
          <w:bCs/>
        </w:rPr>
        <w:t xml:space="preserve"> aged 16–19. </w:t>
      </w:r>
      <w:r w:rsidR="00B327FB">
        <w:rPr>
          <w:bCs/>
        </w:rPr>
        <w:t xml:space="preserve">The </w:t>
      </w:r>
      <w:r w:rsidR="00327BB3">
        <w:rPr>
          <w:bCs/>
        </w:rPr>
        <w:t>young people in this study have all left mainstream compul</w:t>
      </w:r>
      <w:r w:rsidR="000F4E4D">
        <w:rPr>
          <w:bCs/>
        </w:rPr>
        <w:t xml:space="preserve">sory education </w:t>
      </w:r>
      <w:r w:rsidR="00CD1F0A">
        <w:rPr>
          <w:bCs/>
        </w:rPr>
        <w:t>because of</w:t>
      </w:r>
      <w:r w:rsidR="000F4E4D">
        <w:rPr>
          <w:bCs/>
        </w:rPr>
        <w:t xml:space="preserve"> mental health or behaviour difficulties, but have not been formally </w:t>
      </w:r>
      <w:r w:rsidR="00FD553A">
        <w:rPr>
          <w:bCs/>
        </w:rPr>
        <w:t xml:space="preserve">home educated, meaning they exist </w:t>
      </w:r>
      <w:r w:rsidR="00DF4D7B">
        <w:rPr>
          <w:bCs/>
        </w:rPr>
        <w:t xml:space="preserve">outside both, compulsory schooling system and recognised alternative education provision. </w:t>
      </w:r>
      <w:r w:rsidRPr="00E60736">
        <w:rPr>
          <w:bCs/>
        </w:rPr>
        <w:t>The methodology is grounded within youth work values of participation, empowerment</w:t>
      </w:r>
      <w:r w:rsidR="00331886">
        <w:rPr>
          <w:bCs/>
        </w:rPr>
        <w:t xml:space="preserve"> </w:t>
      </w:r>
      <w:r w:rsidRPr="00E60736">
        <w:rPr>
          <w:bCs/>
        </w:rPr>
        <w:t xml:space="preserve">and the promotion of young people’s voices (National Youth Agency (NYA), 2019). A qualitative approach is considered most appropriate because the research seeks to understand lived experiences, perceptions, emotions, and relationships rather than measure outcomes statistically (Creswell and </w:t>
      </w:r>
      <w:proofErr w:type="spellStart"/>
      <w:r w:rsidRPr="00E60736">
        <w:rPr>
          <w:bCs/>
        </w:rPr>
        <w:t>Poth</w:t>
      </w:r>
      <w:proofErr w:type="spellEnd"/>
      <w:r w:rsidRPr="00E60736">
        <w:rPr>
          <w:bCs/>
        </w:rPr>
        <w:t>, 2018).</w:t>
      </w:r>
    </w:p>
    <w:p w14:paraId="582FEB57" w14:textId="77777777" w:rsidR="00E60736" w:rsidRPr="00E60736" w:rsidRDefault="00E60736" w:rsidP="00B543FF">
      <w:pPr>
        <w:spacing w:line="480" w:lineRule="auto"/>
        <w:rPr>
          <w:bCs/>
        </w:rPr>
      </w:pPr>
      <w:r w:rsidRPr="00E60736">
        <w:rPr>
          <w:bCs/>
        </w:rPr>
        <w:t>The research is informed by an interpretivist paradigm, which recognises that reality is socially constructed and shaped through individual experience (Bryman, 2016). This perspective is particularly relevant when exploring wellbeing and experiences of educational exclusion, as young people’s meanings, identities, and social interactions are central to understanding their experiences. The study therefore prioritises participants’ own narratives and interpretations of their educational journeys and emotional wellbeing.</w:t>
      </w:r>
    </w:p>
    <w:p w14:paraId="41643C73" w14:textId="77777777" w:rsidR="00E60736" w:rsidRPr="00E60736" w:rsidRDefault="00E60736" w:rsidP="00B543FF">
      <w:pPr>
        <w:spacing w:line="480" w:lineRule="auto"/>
        <w:rPr>
          <w:b/>
        </w:rPr>
      </w:pPr>
      <w:r w:rsidRPr="00E60736">
        <w:rPr>
          <w:b/>
        </w:rPr>
        <w:t>Research Design</w:t>
      </w:r>
    </w:p>
    <w:p w14:paraId="3D6FEB6F" w14:textId="49E07543" w:rsidR="00E60736" w:rsidRPr="00E60736" w:rsidRDefault="00E60736" w:rsidP="00B543FF">
      <w:pPr>
        <w:spacing w:line="480" w:lineRule="auto"/>
        <w:rPr>
          <w:bCs/>
        </w:rPr>
      </w:pPr>
      <w:r w:rsidRPr="00E60736">
        <w:rPr>
          <w:bCs/>
        </w:rPr>
        <w:t xml:space="preserve">A qualitative-led design </w:t>
      </w:r>
      <w:r w:rsidR="00C73617">
        <w:rPr>
          <w:bCs/>
        </w:rPr>
        <w:t>has been</w:t>
      </w:r>
      <w:r w:rsidRPr="00E60736">
        <w:rPr>
          <w:bCs/>
        </w:rPr>
        <w:t xml:space="preserve"> selected because it enables the exploration of complex and sensitive issues in a flexible and person-centred manner. Youth-centred research emphasises collaboration, participation, and the reduction of power imbalances between researcher and participant (Hart, 1992). This approach aligns closely with youth work principles, where relationships, trust, and informal education are fundamental aspects of practice.</w:t>
      </w:r>
    </w:p>
    <w:p w14:paraId="09A7CB22" w14:textId="181DB2FA" w:rsidR="00E60736" w:rsidRPr="00E60736" w:rsidRDefault="00E60736" w:rsidP="00B543FF">
      <w:pPr>
        <w:spacing w:line="480" w:lineRule="auto"/>
        <w:rPr>
          <w:bCs/>
        </w:rPr>
      </w:pPr>
      <w:r w:rsidRPr="00E60736">
        <w:rPr>
          <w:bCs/>
        </w:rPr>
        <w:t xml:space="preserve">The study </w:t>
      </w:r>
      <w:r w:rsidR="00660B5A">
        <w:rPr>
          <w:bCs/>
        </w:rPr>
        <w:t>will</w:t>
      </w:r>
      <w:r w:rsidRPr="00E60736">
        <w:rPr>
          <w:bCs/>
        </w:rPr>
        <w:t xml:space="preserve"> utilise semi-structured interviews as the primary method of data collection. Semi-structured interviewing provides a balance between structure and flexibility, allowing key topics to be explored while also enabling participants to guide discussion towards issues that are personally significant to them (Kvale and Brinkmann, 2009). This method is particularly suitable for research involving young people because it supports conversational engagement and facilitates rapport building.</w:t>
      </w:r>
    </w:p>
    <w:p w14:paraId="0528879C" w14:textId="77777777" w:rsidR="00E60736" w:rsidRPr="00E60736" w:rsidRDefault="00E60736" w:rsidP="00B543FF">
      <w:pPr>
        <w:spacing w:line="480" w:lineRule="auto"/>
        <w:rPr>
          <w:bCs/>
        </w:rPr>
      </w:pPr>
      <w:r w:rsidRPr="00E60736">
        <w:rPr>
          <w:bCs/>
        </w:rPr>
        <w:t>An interview guide will be developed using accessible and age-appropriate language. Questions will be open-ended and designed to encourage reflection on participants’ experiences of not attending formal education. Areas explored will include emotional wellbeing, self-esteem, confidence, social relationships, identity, belonging, support systems, and aspirations for future progression. Open-ended questioning allows participants to express their experiences in their own words and reduces the risk of restricting responses through predetermined categories (Patton, 2015).</w:t>
      </w:r>
    </w:p>
    <w:p w14:paraId="7EE71E3F" w14:textId="77777777" w:rsidR="00E60736" w:rsidRPr="00E60736" w:rsidRDefault="00E60736" w:rsidP="00B543FF">
      <w:pPr>
        <w:spacing w:line="480" w:lineRule="auto"/>
        <w:rPr>
          <w:b/>
        </w:rPr>
      </w:pPr>
      <w:r w:rsidRPr="00E60736">
        <w:rPr>
          <w:b/>
        </w:rPr>
        <w:t>Participatory Approaches</w:t>
      </w:r>
    </w:p>
    <w:p w14:paraId="03804808" w14:textId="77777777" w:rsidR="00E60736" w:rsidRPr="00E60736" w:rsidRDefault="00E60736" w:rsidP="00B543FF">
      <w:pPr>
        <w:spacing w:line="480" w:lineRule="auto"/>
        <w:rPr>
          <w:bCs/>
        </w:rPr>
      </w:pPr>
      <w:r w:rsidRPr="00E60736">
        <w:rPr>
          <w:bCs/>
        </w:rPr>
        <w:t>In keeping with youth work practice, participatory techniques may also be incorporated within interviews to support engagement and expression. Participatory methods are widely recognised as valuable when conducting research with young people because they encourage inclusion and empowerment while reducing anxiety associated with formal interviewing (Punch, 2002).</w:t>
      </w:r>
    </w:p>
    <w:p w14:paraId="0B73CE7E" w14:textId="77777777" w:rsidR="00063F42" w:rsidRDefault="00E60736" w:rsidP="00B543FF">
      <w:pPr>
        <w:spacing w:line="480" w:lineRule="auto"/>
        <w:rPr>
          <w:bCs/>
        </w:rPr>
      </w:pPr>
      <w:r w:rsidRPr="00E60736">
        <w:rPr>
          <w:bCs/>
        </w:rPr>
        <w:t xml:space="preserve">Methods such as emotion cards, visual prompts, and personal timelines may be used to help participants communicate experiences that may otherwise be difficult to articulate verbally. Clark and Moss (2001) argue that creative and participatory approaches can provide more meaningful insight into lived experience, particularly when discussing emotional wellbeing. Similarly, Hart’s (1992) </w:t>
      </w:r>
      <w:r w:rsidR="00E20D00">
        <w:rPr>
          <w:bCs/>
        </w:rPr>
        <w:t xml:space="preserve">Ladder of Participation offers a useful framework for evaluating the degree of genuine involvement young people have in research process, ranging from </w:t>
      </w:r>
      <w:r w:rsidR="00957264">
        <w:rPr>
          <w:bCs/>
        </w:rPr>
        <w:t>non-participation (manipulation, decoration, tokenism) through to increased authentic forms of participation, culminating in child-</w:t>
      </w:r>
    </w:p>
    <w:p w14:paraId="7B345DB3" w14:textId="1C69287E" w:rsidR="0032331D" w:rsidRDefault="001510BD" w:rsidP="00B543FF">
      <w:pPr>
        <w:spacing w:line="480" w:lineRule="auto"/>
        <w:rPr>
          <w:bCs/>
        </w:rPr>
      </w:pPr>
      <w:r>
        <w:rPr>
          <w:bCs/>
        </w:rPr>
        <w:t>initiated, shared decisions with adults.  Applying this framework critically to the current study</w:t>
      </w:r>
      <w:r w:rsidR="004A5F20">
        <w:rPr>
          <w:bCs/>
        </w:rPr>
        <w:t xml:space="preserve">, the research design sits most closely </w:t>
      </w:r>
      <w:proofErr w:type="spellStart"/>
      <w:r w:rsidR="004A5F20">
        <w:rPr>
          <w:bCs/>
        </w:rPr>
        <w:t>ay</w:t>
      </w:r>
      <w:proofErr w:type="spellEnd"/>
      <w:r w:rsidR="004A5F20">
        <w:rPr>
          <w:bCs/>
        </w:rPr>
        <w:t xml:space="preserve"> the “assigned but informed” rung, whereby the researcher determined the topics, questions, and overall structure of the study in advance, but participants were fully informed of the research’s purposes, understood their role within it, and consented voluntarily to take part.  While this falls short of the higher rungs of the ladder, where young people would co-design the research questions or direct the focus of inquiry themselves, it nonetheless represents a meaningful attempt to avoid tokenistic </w:t>
      </w:r>
      <w:r w:rsidR="00B95DD6">
        <w:rPr>
          <w:bCs/>
        </w:rPr>
        <w:t>engagement by ensuring transparency</w:t>
      </w:r>
      <w:r w:rsidR="0032331D">
        <w:rPr>
          <w:bCs/>
        </w:rPr>
        <w:t xml:space="preserve"> and genuine understanding on the part of participants, rather than treating them merely as passive source of data. </w:t>
      </w:r>
    </w:p>
    <w:p w14:paraId="2DCA84A7" w14:textId="77777777" w:rsidR="00E60736" w:rsidRPr="00E60736" w:rsidRDefault="00E60736" w:rsidP="00B543FF">
      <w:pPr>
        <w:spacing w:line="480" w:lineRule="auto"/>
        <w:rPr>
          <w:bCs/>
        </w:rPr>
      </w:pPr>
      <w:r w:rsidRPr="00E60736">
        <w:rPr>
          <w:bCs/>
        </w:rPr>
        <w:t>These approaches also reflect strengths-based youth work practice by valuing young people as experts in their own lives. By allowing participants to choose how they communicate aspects of their experiences, the research seeks to create a more inclusive and supportive environment.</w:t>
      </w:r>
    </w:p>
    <w:p w14:paraId="4D4FC239" w14:textId="77777777" w:rsidR="00E60736" w:rsidRPr="00E60736" w:rsidRDefault="00E60736" w:rsidP="00B543FF">
      <w:pPr>
        <w:spacing w:line="480" w:lineRule="auto"/>
        <w:rPr>
          <w:b/>
        </w:rPr>
      </w:pPr>
      <w:r w:rsidRPr="00E60736">
        <w:rPr>
          <w:b/>
        </w:rPr>
        <w:t>Wellbeing Questionnaire</w:t>
      </w:r>
    </w:p>
    <w:p w14:paraId="39851361" w14:textId="41471CB2" w:rsidR="0002627A" w:rsidRDefault="00E60736" w:rsidP="00B543FF">
      <w:pPr>
        <w:spacing w:line="480" w:lineRule="auto"/>
        <w:rPr>
          <w:bCs/>
        </w:rPr>
      </w:pPr>
      <w:r w:rsidRPr="00E60736">
        <w:rPr>
          <w:bCs/>
        </w:rPr>
        <w:t xml:space="preserve">Participants will additionally be invited to complete a brief optional wellbeing questionnaire to provide contextual information regarding </w:t>
      </w:r>
      <w:r w:rsidR="006D6554">
        <w:rPr>
          <w:bCs/>
        </w:rPr>
        <w:t xml:space="preserve">social and emotional wellbeing. </w:t>
      </w:r>
      <w:r w:rsidR="0002627A">
        <w:rPr>
          <w:bCs/>
        </w:rPr>
        <w:t>A research-designed questionnaire was developed specifically for this study to complement the semi-structured interviews. The questionnaire was designed to explore key aspects of social and emotional wellbeing that were directly relevant to the research aims, including ha</w:t>
      </w:r>
      <w:r w:rsidR="00C45D68">
        <w:rPr>
          <w:bCs/>
        </w:rPr>
        <w:t xml:space="preserve">ppiness, self-confidence, social connectedness, emotional support, loneliness, anxiety, resilience, participation in activities and hope for the future.  These areas were selected </w:t>
      </w:r>
      <w:r w:rsidR="00813492">
        <w:rPr>
          <w:bCs/>
        </w:rPr>
        <w:t>following a review of literature on young people’s wellbeing and school absence and reflected themes emerging from previous research</w:t>
      </w:r>
      <w:r w:rsidR="00B3417A">
        <w:rPr>
          <w:bCs/>
        </w:rPr>
        <w:t xml:space="preserve">.  A simple five-point Likert scale was used to enable participants </w:t>
      </w:r>
      <w:r w:rsidR="00791BCB">
        <w:rPr>
          <w:bCs/>
        </w:rPr>
        <w:t xml:space="preserve">to respond quickly and easily, while the inclusion of two open-ended questions provided </w:t>
      </w:r>
      <w:r w:rsidR="00916DE5">
        <w:rPr>
          <w:bCs/>
        </w:rPr>
        <w:t>an opportunity for participants to expand on factors that supported or challenged their wellbeing</w:t>
      </w:r>
      <w:r w:rsidR="00EC1F65">
        <w:rPr>
          <w:bCs/>
        </w:rPr>
        <w:t>.</w:t>
      </w:r>
      <w:r w:rsidR="00C45D68">
        <w:rPr>
          <w:bCs/>
        </w:rPr>
        <w:t xml:space="preserve"> </w:t>
      </w:r>
      <w:r w:rsidR="00EC1F65">
        <w:rPr>
          <w:bCs/>
        </w:rPr>
        <w:t>(Wellbeing questionnaire can be found in appendix 2)</w:t>
      </w:r>
      <w:r w:rsidR="000051E0">
        <w:rPr>
          <w:bCs/>
        </w:rPr>
        <w:t>.</w:t>
      </w:r>
    </w:p>
    <w:p w14:paraId="07DAF075" w14:textId="59700538" w:rsidR="00E60736" w:rsidRPr="00E60736" w:rsidRDefault="006D6554" w:rsidP="00B543FF">
      <w:pPr>
        <w:spacing w:line="480" w:lineRule="auto"/>
        <w:rPr>
          <w:bCs/>
        </w:rPr>
      </w:pPr>
      <w:r>
        <w:rPr>
          <w:bCs/>
        </w:rPr>
        <w:t>Th</w:t>
      </w:r>
      <w:r w:rsidR="00E60736" w:rsidRPr="00E60736">
        <w:rPr>
          <w:bCs/>
        </w:rPr>
        <w:t>e questionnaire is not intended to function as a diagnostic tool but rather to complement the qualitative findings and support methodological triangulation. Triangulation can strengthen credibility by enabling different forms of data to contribute to a fuller understanding of the research topic (Denzin, 1978).</w:t>
      </w:r>
    </w:p>
    <w:p w14:paraId="7547739F" w14:textId="77777777" w:rsidR="00E60736" w:rsidRPr="00E60736" w:rsidRDefault="00E60736" w:rsidP="00B543FF">
      <w:pPr>
        <w:spacing w:line="480" w:lineRule="auto"/>
        <w:rPr>
          <w:bCs/>
        </w:rPr>
      </w:pPr>
      <w:r w:rsidRPr="00E60736">
        <w:rPr>
          <w:bCs/>
        </w:rPr>
        <w:t>The inclusion of a short wellbeing measure may also assist in identifying broader patterns across participants while maintaining the primary qualitative focus of the study. However, the emphasis will remain on participants’ subjective experiences and narratives rather than numerical outcomes.</w:t>
      </w:r>
    </w:p>
    <w:p w14:paraId="512B80AA" w14:textId="77777777" w:rsidR="00E60736" w:rsidRPr="00E60736" w:rsidRDefault="00E60736" w:rsidP="00B543FF">
      <w:pPr>
        <w:spacing w:line="480" w:lineRule="auto"/>
        <w:rPr>
          <w:b/>
          <w:bCs/>
        </w:rPr>
      </w:pPr>
      <w:r w:rsidRPr="00E60736">
        <w:rPr>
          <w:b/>
          <w:bCs/>
        </w:rPr>
        <w:t>Sampling and Participants</w:t>
      </w:r>
    </w:p>
    <w:p w14:paraId="0CF3D4CD" w14:textId="77777777" w:rsidR="00E60736" w:rsidRPr="00E60736" w:rsidRDefault="00E60736" w:rsidP="00B543FF">
      <w:pPr>
        <w:spacing w:line="480" w:lineRule="auto"/>
      </w:pPr>
      <w:r w:rsidRPr="00E60736">
        <w:t>Participants will be recruited through purposive sampling. Purposive sampling is commonly used in qualitative research because it enables the selection of participants who possess direct experience relevant to the research aims (Bryman, 2016). The study will include two participant cohorts:</w:t>
      </w:r>
    </w:p>
    <w:p w14:paraId="01376430" w14:textId="77777777" w:rsidR="00E60736" w:rsidRPr="00E60736" w:rsidRDefault="00E60736" w:rsidP="00B543FF">
      <w:pPr>
        <w:numPr>
          <w:ilvl w:val="0"/>
          <w:numId w:val="3"/>
        </w:numPr>
        <w:spacing w:line="480" w:lineRule="auto"/>
      </w:pPr>
      <w:r w:rsidRPr="00E60736">
        <w:t>Young people aged 16–19 who are currently not engaged in formal education.</w:t>
      </w:r>
    </w:p>
    <w:p w14:paraId="450B4341" w14:textId="77777777" w:rsidR="00E60736" w:rsidRPr="00E60736" w:rsidRDefault="00E60736" w:rsidP="00B543FF">
      <w:pPr>
        <w:numPr>
          <w:ilvl w:val="0"/>
          <w:numId w:val="3"/>
        </w:numPr>
        <w:spacing w:line="480" w:lineRule="auto"/>
      </w:pPr>
      <w:r w:rsidRPr="00E60736">
        <w:t>Young people aged 16–19 who have not engaged in formal education within the past two years.</w:t>
      </w:r>
    </w:p>
    <w:p w14:paraId="5C1FE8D5" w14:textId="77777777" w:rsidR="00E60736" w:rsidRPr="00E60736" w:rsidRDefault="00E60736" w:rsidP="00B543FF">
      <w:pPr>
        <w:spacing w:line="480" w:lineRule="auto"/>
      </w:pPr>
      <w:r w:rsidRPr="00E60736">
        <w:t>The inclusion of these two cohorts aims to capture both current experiences and retrospective reflections on educational disengagement. This may provide insight into how experiences of non-attendance influence wellbeing over time, including transitions into employment, training, or other forms of progression.</w:t>
      </w:r>
    </w:p>
    <w:p w14:paraId="4F341EFA" w14:textId="4E7AB39F" w:rsidR="00E60736" w:rsidRPr="00E60736" w:rsidRDefault="00E60736" w:rsidP="00B543FF">
      <w:pPr>
        <w:spacing w:line="480" w:lineRule="auto"/>
      </w:pPr>
      <w:r w:rsidRPr="00E60736">
        <w:t xml:space="preserve">Participants </w:t>
      </w:r>
      <w:r w:rsidR="00B93712">
        <w:t>will</w:t>
      </w:r>
      <w:r w:rsidRPr="00E60736">
        <w:t xml:space="preserve"> be recruited through </w:t>
      </w:r>
      <w:r w:rsidR="00877F26">
        <w:t>Carmarthens</w:t>
      </w:r>
      <w:r w:rsidR="005B4485">
        <w:t>hire</w:t>
      </w:r>
      <w:r w:rsidR="00877F26">
        <w:t xml:space="preserve"> County Council</w:t>
      </w:r>
      <w:r w:rsidR="005B4485">
        <w:t xml:space="preserve"> Youth Service</w:t>
      </w:r>
      <w:r w:rsidR="00AC17E4">
        <w:t xml:space="preserve">, as it provides access to young people </w:t>
      </w:r>
      <w:r w:rsidR="00D412F5">
        <w:t xml:space="preserve">with experience of education outside </w:t>
      </w:r>
      <w:r w:rsidR="00214C4D">
        <w:t xml:space="preserve">mainstream school settings.  Recruitment information with be shared by youth workers who have existing relationships with potential participants, allowing young people to consider participation in an informed and voluntary manner.  </w:t>
      </w:r>
      <w:r w:rsidR="00B71C9E">
        <w:t xml:space="preserve">Consistent with youth work principles of voluntary engagement and empowerment, young people will be given significant time to </w:t>
      </w:r>
      <w:r w:rsidR="00E9250A">
        <w:t>consider their involvement and will be able to withdraw from the study at any stage without con</w:t>
      </w:r>
      <w:r w:rsidR="001753BB">
        <w:t xml:space="preserve">sequences. (National Youth Agency, 2024). </w:t>
      </w:r>
      <w:r w:rsidRPr="00E60736">
        <w:t xml:space="preserve"> Recruitment materials will be written in accessible language to ensure clarity and inclusivity.</w:t>
      </w:r>
    </w:p>
    <w:p w14:paraId="1D95305E" w14:textId="6C0EB964" w:rsidR="00E60736" w:rsidRDefault="00E60736" w:rsidP="00B543FF">
      <w:pPr>
        <w:spacing w:line="480" w:lineRule="auto"/>
      </w:pPr>
      <w:r w:rsidRPr="00E60736">
        <w:t xml:space="preserve">Although the primary analysis will examine themes across all participants collectively, some comparisons may be drawn between the two cohorts to explore differences in experiences or support needs. </w:t>
      </w:r>
    </w:p>
    <w:p w14:paraId="69F8C07F" w14:textId="77777777" w:rsidR="00B65C1E" w:rsidRPr="00E60736" w:rsidRDefault="00B65C1E" w:rsidP="00B543FF">
      <w:pPr>
        <w:spacing w:line="480" w:lineRule="auto"/>
      </w:pPr>
    </w:p>
    <w:p w14:paraId="7F6D4DED" w14:textId="5826D419" w:rsidR="00E60736" w:rsidRPr="009D6C26" w:rsidRDefault="00E60736" w:rsidP="009D6C26">
      <w:pPr>
        <w:spacing w:line="480" w:lineRule="auto"/>
        <w:rPr>
          <w:b/>
          <w:bCs/>
        </w:rPr>
      </w:pPr>
      <w:r w:rsidRPr="009D6C26">
        <w:rPr>
          <w:b/>
          <w:bCs/>
        </w:rPr>
        <w:t>Data Collection</w:t>
      </w:r>
    </w:p>
    <w:p w14:paraId="1F537DC0" w14:textId="77777777" w:rsidR="00E60736" w:rsidRPr="00E60736" w:rsidRDefault="00E60736" w:rsidP="00B543FF">
      <w:pPr>
        <w:spacing w:line="480" w:lineRule="auto"/>
      </w:pPr>
      <w:r w:rsidRPr="00E60736">
        <w:t>Interviews will take place in safe, familiar, and safeguarding-approved environments, such as youth centres, community settings, or secure online platforms. Providing familiar and accessible spaces can reduce power imbalances and support participant comfort (Liamputtong, 2007). Interviews are expected to last between 30 and 60 minutes and will be audio-recorded with participant consent.</w:t>
      </w:r>
    </w:p>
    <w:p w14:paraId="13009601" w14:textId="73D841F9" w:rsidR="004508CE" w:rsidRDefault="00E60736" w:rsidP="00B543FF">
      <w:pPr>
        <w:spacing w:line="480" w:lineRule="auto"/>
      </w:pPr>
      <w:r w:rsidRPr="00E60736">
        <w:t xml:space="preserve">Youth work communication skills, including empathy, active listening, and non-judgemental practice, will underpin the interview process. The relational nature of youth work is </w:t>
      </w:r>
      <w:r w:rsidR="00D034EE">
        <w:t xml:space="preserve">widely recognised as central to effective practice, particularly when engaging young people </w:t>
      </w:r>
      <w:r w:rsidR="003A7690">
        <w:t>experiencing exclusion, isolation and emotional distress, where trust-based relationships provide the foundation for meaningful support and change (Ord</w:t>
      </w:r>
      <w:r w:rsidR="00527251">
        <w:t>, 2016).</w:t>
      </w:r>
    </w:p>
    <w:p w14:paraId="2500228C" w14:textId="77777777" w:rsidR="00E60736" w:rsidRPr="00E60736" w:rsidRDefault="00E60736" w:rsidP="00B543FF">
      <w:pPr>
        <w:spacing w:line="480" w:lineRule="auto"/>
      </w:pPr>
      <w:r w:rsidRPr="00E60736">
        <w:t>Participants will be reminded that they do not need to answer any question they find uncomfortable and may withdraw from the research at any time without consequence. This reflects ethical principles of voluntary participation and informed consent (British Educational Research Association (BERA), 2024).</w:t>
      </w:r>
    </w:p>
    <w:p w14:paraId="113A2137" w14:textId="77777777" w:rsidR="00E60736" w:rsidRPr="00E60736" w:rsidRDefault="00E60736" w:rsidP="00B543FF">
      <w:pPr>
        <w:spacing w:line="480" w:lineRule="auto"/>
        <w:rPr>
          <w:b/>
          <w:bCs/>
        </w:rPr>
      </w:pPr>
      <w:r w:rsidRPr="00E60736">
        <w:rPr>
          <w:b/>
          <w:bCs/>
        </w:rPr>
        <w:t>Data Analysis</w:t>
      </w:r>
    </w:p>
    <w:p w14:paraId="7E18F1F9" w14:textId="77777777" w:rsidR="00E60736" w:rsidRPr="00E60736" w:rsidRDefault="00E60736" w:rsidP="00B543FF">
      <w:pPr>
        <w:spacing w:line="480" w:lineRule="auto"/>
      </w:pPr>
      <w:r w:rsidRPr="00E60736">
        <w:t>Interview recordings will be transcribed verbatim and analysed using reflexive thematic analysis, following Braun and Clarke’s (2021) six-phase framework. Reflexive thematic analysis is considered appropriate because it allows for the identification and interpretation of recurring patterns, meanings, and themes within qualitative data while acknowledging the active role of the researcher in knowledge production.</w:t>
      </w:r>
    </w:p>
    <w:p w14:paraId="1E07EA1A" w14:textId="3DD3C2A2" w:rsidR="00E60736" w:rsidRPr="00E60736" w:rsidRDefault="00E60736" w:rsidP="00B543FF">
      <w:pPr>
        <w:spacing w:line="480" w:lineRule="auto"/>
      </w:pPr>
      <w:r w:rsidRPr="00E60736">
        <w:t>The stages of analysis will include familiarisation with the data, generating themes, reviewing themes, defining themes, and producing the final analysis. Themes are expected to relate to emotional wellbeing, identity, social relationships, belonging, challenges, resilience, and protective factors.</w:t>
      </w:r>
    </w:p>
    <w:p w14:paraId="30AC98AD" w14:textId="77777777" w:rsidR="00E60736" w:rsidRDefault="00E60736" w:rsidP="00B543FF">
      <w:pPr>
        <w:spacing w:line="480" w:lineRule="auto"/>
      </w:pPr>
      <w:r w:rsidRPr="00E60736">
        <w:t>A reflexive journal will also be maintained throughout the research process. Reflexivity is considered essential within qualitative research because researchers inevitably influence the interpretation of data through their own professional experiences, assumptions, and values (Finlay, 2002). As the researcher has a youth work background, reflective practice will support awareness of potential bias and help maintain ethical and analytical transparency.</w:t>
      </w:r>
    </w:p>
    <w:p w14:paraId="18C7D461" w14:textId="77777777" w:rsidR="005C72EE" w:rsidRPr="00E60736" w:rsidRDefault="005C72EE" w:rsidP="00B543FF">
      <w:pPr>
        <w:spacing w:line="480" w:lineRule="auto"/>
      </w:pPr>
    </w:p>
    <w:p w14:paraId="6869E549" w14:textId="77777777" w:rsidR="00E60736" w:rsidRPr="00E60736" w:rsidRDefault="00E60736" w:rsidP="00B543FF">
      <w:pPr>
        <w:spacing w:line="480" w:lineRule="auto"/>
        <w:rPr>
          <w:b/>
          <w:bCs/>
        </w:rPr>
      </w:pPr>
      <w:r w:rsidRPr="00E60736">
        <w:rPr>
          <w:b/>
          <w:bCs/>
        </w:rPr>
        <w:t>Ethical Considerations</w:t>
      </w:r>
    </w:p>
    <w:p w14:paraId="418E0373" w14:textId="77777777" w:rsidR="00E60736" w:rsidRPr="00E60736" w:rsidRDefault="00E60736" w:rsidP="00B543FF">
      <w:pPr>
        <w:spacing w:line="480" w:lineRule="auto"/>
      </w:pPr>
      <w:r w:rsidRPr="00E60736">
        <w:t>Ethical practice is central to this study due to the involvement of young people and the sensitive nature of discussing wellbeing and educational experiences. Ethical approval will be obtained from the relevant institutional ethics committee before data collection begins.</w:t>
      </w:r>
    </w:p>
    <w:p w14:paraId="00273C21" w14:textId="77777777" w:rsidR="00E60736" w:rsidRPr="00E60736" w:rsidRDefault="00E60736" w:rsidP="00B543FF">
      <w:pPr>
        <w:spacing w:line="480" w:lineRule="auto"/>
      </w:pPr>
      <w:r w:rsidRPr="00E60736">
        <w:t>Informed consent will be obtained from all participants. For participants aged 16–17, parental or guardian consent will also be sought alongside the young person’s own consent. Participants will receive age-appropriate information sheets outlining the purpose of the research, confidentiality, data usage, and their right to withdraw.</w:t>
      </w:r>
    </w:p>
    <w:p w14:paraId="7C3A804C" w14:textId="41551D67" w:rsidR="00E60736" w:rsidRPr="00E60736" w:rsidRDefault="00E60736" w:rsidP="00B543FF">
      <w:pPr>
        <w:spacing w:line="480" w:lineRule="auto"/>
      </w:pPr>
      <w:r w:rsidRPr="00E60736">
        <w:t>Confidentiality and anonymity will be maintained throughout the study. Pseudonyms will be used within transcripts and final reporting, and any identifying information will be removed. All data will be stored securely in accordance with data protection.</w:t>
      </w:r>
    </w:p>
    <w:p w14:paraId="6B58DA4C" w14:textId="7BD08519" w:rsidR="00E60736" w:rsidRPr="00E60736" w:rsidRDefault="00E60736" w:rsidP="00B543FF">
      <w:pPr>
        <w:spacing w:line="480" w:lineRule="auto"/>
      </w:pPr>
      <w:r w:rsidRPr="00E60736">
        <w:t>Safeguarding and emotional wellbeing will remain a priority throughout the research process. Given the potential for discussions to</w:t>
      </w:r>
      <w:r w:rsidR="00B067DD">
        <w:t xml:space="preserve"> trigger</w:t>
      </w:r>
      <w:r w:rsidRPr="00E60736">
        <w:t xml:space="preserve"> distress or disclose safeguarding concerns, a clear distress protocol will be implemented. Participants will be signposted to relevant support services where appropriate. While confidentiality will be respected, participants will also be informed that safeguarding disclosures indicating risk of harm may need to be shared in line with safeguarding responsibilities</w:t>
      </w:r>
      <w:r w:rsidR="0040560A">
        <w:t>, in accordance</w:t>
      </w:r>
      <w:r w:rsidR="00ED1B2C">
        <w:t xml:space="preserve"> with the UWTSD Research Ethics and Integrity Code of Practice.</w:t>
      </w:r>
    </w:p>
    <w:p w14:paraId="4ABB730B" w14:textId="77777777" w:rsidR="00E60736" w:rsidRPr="00E60736" w:rsidRDefault="00E60736" w:rsidP="00B543FF">
      <w:pPr>
        <w:spacing w:line="480" w:lineRule="auto"/>
      </w:pPr>
      <w:r w:rsidRPr="00E60736">
        <w:t>Overall, the methodology aims to create a respectful, participatory, and ethically informed research process that aligns with core youth work values while generating meaningful insight into the wellbeing experiences of young people outside formal education.</w:t>
      </w:r>
    </w:p>
    <w:p w14:paraId="1D231B4C" w14:textId="633E066B" w:rsidR="004D5364" w:rsidRDefault="00EB0EC4" w:rsidP="007070B7">
      <w:pPr>
        <w:spacing w:line="480" w:lineRule="auto"/>
        <w:outlineLvl w:val="0"/>
        <w:rPr>
          <w:b/>
        </w:rPr>
      </w:pPr>
      <w:r>
        <w:rPr>
          <w:b/>
        </w:rPr>
        <w:br w:type="page"/>
      </w:r>
      <w:r w:rsidR="007070B7">
        <w:rPr>
          <w:b/>
        </w:rPr>
        <w:t>Presentation of Data</w:t>
      </w:r>
    </w:p>
    <w:p w14:paraId="4866C21B" w14:textId="3190E731" w:rsidR="005612E2" w:rsidRPr="005612E2" w:rsidRDefault="005612E2" w:rsidP="005612E2">
      <w:pPr>
        <w:spacing w:line="480" w:lineRule="auto"/>
        <w:outlineLvl w:val="0"/>
        <w:rPr>
          <w:rFonts w:eastAsiaTheme="minorHAnsi"/>
          <w:i/>
          <w:iCs/>
        </w:rPr>
      </w:pPr>
      <w:r w:rsidRPr="005612E2">
        <w:rPr>
          <w:rFonts w:eastAsiaTheme="minorHAnsi"/>
        </w:rPr>
        <w:t xml:space="preserve">This chapter presents findings from semi-structured interviews conducted with nine young people aged 16–17 who had experienced prolonged absence from mainstream education. Participants comprised six girls and three boys, recruited through </w:t>
      </w:r>
      <w:r w:rsidR="002D3480">
        <w:rPr>
          <w:rFonts w:eastAsiaTheme="minorHAnsi"/>
        </w:rPr>
        <w:t xml:space="preserve">the </w:t>
      </w:r>
      <w:r w:rsidR="006F30FC">
        <w:rPr>
          <w:rFonts w:eastAsiaTheme="minorHAnsi"/>
        </w:rPr>
        <w:t>Carmarthenshire County Council Youth Service</w:t>
      </w:r>
      <w:r w:rsidRPr="005612E2">
        <w:rPr>
          <w:rFonts w:eastAsiaTheme="minorHAnsi"/>
        </w:rPr>
        <w:t xml:space="preserve">. Interviews were audio-recorded, transcribed verbatim and analysed using Braun and Clarke’s (2006) six-phase thematic analysis framework. The chapter is organised thematically and, where relevant, findings are considered alongside existing literature. The research question guiding this study was </w:t>
      </w:r>
      <w:r w:rsidR="002C6678">
        <w:rPr>
          <w:rFonts w:eastAsiaTheme="minorHAnsi"/>
          <w:i/>
          <w:iCs/>
        </w:rPr>
        <w:t>H</w:t>
      </w:r>
      <w:r w:rsidRPr="005612E2">
        <w:rPr>
          <w:rFonts w:eastAsiaTheme="minorHAnsi"/>
          <w:i/>
          <w:iCs/>
        </w:rPr>
        <w:t>ow does the absence of formal schooling affect the social and emotional wellbeing of young people?</w:t>
      </w:r>
    </w:p>
    <w:p w14:paraId="29315742" w14:textId="051BCA1F" w:rsidR="005612E2" w:rsidRPr="00082837" w:rsidRDefault="00082837" w:rsidP="005612E2">
      <w:pPr>
        <w:spacing w:line="480" w:lineRule="auto"/>
        <w:outlineLvl w:val="0"/>
        <w:rPr>
          <w:rFonts w:eastAsiaTheme="minorHAnsi"/>
        </w:rPr>
      </w:pPr>
      <w:r>
        <w:rPr>
          <w:rFonts w:eastAsiaTheme="minorHAnsi"/>
        </w:rPr>
        <w:t>(Questions used can be found in appendices 2)</w:t>
      </w:r>
    </w:p>
    <w:p w14:paraId="2C742C77" w14:textId="77777777" w:rsidR="00AC4463" w:rsidRDefault="005612E2" w:rsidP="005612E2">
      <w:pPr>
        <w:spacing w:line="480" w:lineRule="auto"/>
        <w:outlineLvl w:val="0"/>
        <w:rPr>
          <w:rFonts w:eastAsiaTheme="minorHAnsi"/>
          <w:b/>
          <w:bCs/>
        </w:rPr>
      </w:pPr>
      <w:r w:rsidRPr="005612E2">
        <w:rPr>
          <w:rFonts w:eastAsiaTheme="minorHAnsi"/>
          <w:b/>
          <w:bCs/>
        </w:rPr>
        <w:t>Reasons for Non-Attendance</w:t>
      </w:r>
    </w:p>
    <w:p w14:paraId="634CB321" w14:textId="114AD804" w:rsidR="005612E2" w:rsidRPr="005612E2" w:rsidRDefault="00AC4463" w:rsidP="005612E2">
      <w:pPr>
        <w:spacing w:line="480" w:lineRule="auto"/>
        <w:outlineLvl w:val="0"/>
        <w:rPr>
          <w:rFonts w:eastAsiaTheme="minorHAnsi"/>
          <w:b/>
          <w:bCs/>
        </w:rPr>
      </w:pPr>
      <w:r>
        <w:rPr>
          <w:rFonts w:eastAsiaTheme="minorHAnsi"/>
        </w:rPr>
        <w:t>P</w:t>
      </w:r>
      <w:r w:rsidR="005612E2" w:rsidRPr="005612E2">
        <w:rPr>
          <w:rFonts w:eastAsiaTheme="minorHAnsi"/>
        </w:rPr>
        <w:t xml:space="preserve">articipants reported a range of factors contributing to their disengagement from mainstream education. A clear pattern emerged between female and male participants. All six female participants identified anxiety as a primary factor, with several also describing experiences of bullying and feeling unsafe within the school environment. One participant stated: “The bullying got worse as I got older and </w:t>
      </w:r>
      <w:r w:rsidR="0001114B" w:rsidRPr="005612E2">
        <w:rPr>
          <w:rFonts w:eastAsiaTheme="minorHAnsi"/>
        </w:rPr>
        <w:t>eventually,</w:t>
      </w:r>
      <w:r w:rsidR="005612E2" w:rsidRPr="005612E2">
        <w:rPr>
          <w:rFonts w:eastAsiaTheme="minorHAnsi"/>
        </w:rPr>
        <w:t xml:space="preserve"> I just couldn’t face going in anymore.” The three male participants primarily attributed their absence to behavioural difficulties, exclusion and conflict with school staff. One described feeling that staff anticipated negative behaviour “I was always getting into </w:t>
      </w:r>
      <w:r w:rsidR="00480217" w:rsidRPr="005612E2">
        <w:rPr>
          <w:rFonts w:eastAsiaTheme="minorHAnsi"/>
        </w:rPr>
        <w:t>trouble,</w:t>
      </w:r>
      <w:r w:rsidR="005612E2" w:rsidRPr="005612E2">
        <w:rPr>
          <w:rFonts w:eastAsiaTheme="minorHAnsi"/>
        </w:rPr>
        <w:t xml:space="preserve"> and it felt like the teachers expected me to mess up.” These findings were consistent with wider research linking school non-attendance to anxiety, bullying and exclusion (Finning et al., 2019; Hammond Price and Bond, 2026).</w:t>
      </w:r>
    </w:p>
    <w:p w14:paraId="1080F5E6" w14:textId="77777777" w:rsidR="005612E2" w:rsidRPr="005612E2" w:rsidRDefault="005612E2" w:rsidP="005612E2">
      <w:pPr>
        <w:spacing w:line="480" w:lineRule="auto"/>
        <w:outlineLvl w:val="0"/>
        <w:rPr>
          <w:rFonts w:eastAsiaTheme="minorHAnsi"/>
        </w:rPr>
      </w:pPr>
    </w:p>
    <w:p w14:paraId="3E66242A" w14:textId="77777777" w:rsidR="005612E2" w:rsidRPr="005612E2" w:rsidRDefault="005612E2" w:rsidP="005612E2">
      <w:pPr>
        <w:spacing w:line="480" w:lineRule="auto"/>
        <w:outlineLvl w:val="0"/>
        <w:rPr>
          <w:rFonts w:eastAsiaTheme="minorHAnsi"/>
          <w:b/>
          <w:bCs/>
        </w:rPr>
      </w:pPr>
      <w:r w:rsidRPr="005612E2">
        <w:rPr>
          <w:rFonts w:eastAsiaTheme="minorHAnsi"/>
          <w:b/>
          <w:bCs/>
        </w:rPr>
        <w:t>Overall Wellbeing Whilst Not Attending School</w:t>
      </w:r>
    </w:p>
    <w:p w14:paraId="09A598A4" w14:textId="77777777" w:rsidR="005612E2" w:rsidRPr="005612E2" w:rsidRDefault="005612E2" w:rsidP="005612E2">
      <w:pPr>
        <w:spacing w:line="480" w:lineRule="auto"/>
        <w:outlineLvl w:val="0"/>
        <w:rPr>
          <w:rFonts w:eastAsiaTheme="minorHAnsi"/>
        </w:rPr>
      </w:pPr>
      <w:r w:rsidRPr="005612E2">
        <w:rPr>
          <w:rFonts w:eastAsiaTheme="minorHAnsi"/>
        </w:rPr>
        <w:t>Participants described varied experiences of wellbeing during their absence from mainstream education. Five of the nine reported improved emotional wellbeing, describing feeling less stressed and better able to manage daily life. One participant noted: “I felt calmer at home because I wasn’t worrying about school all the time.” However, four participants described more negative experiences over time. Although absence initially brought relief, these participants reported boredom, disrupted routines and reduced motivation. One stated: “I stayed up all night gaming and slept most of the day. I got stuck in a routine that wasn’t very healthy.” These findings suggested that the impact of non-attendance on wellbeing was shaped by individual circumstances, with some participants benefiting from reduced pressure whilst others struggled without structure or meaningful activity.</w:t>
      </w:r>
    </w:p>
    <w:p w14:paraId="30DD7278" w14:textId="77777777" w:rsidR="005612E2" w:rsidRPr="005612E2" w:rsidRDefault="005612E2" w:rsidP="005612E2">
      <w:pPr>
        <w:spacing w:line="480" w:lineRule="auto"/>
        <w:outlineLvl w:val="0"/>
        <w:rPr>
          <w:rFonts w:eastAsiaTheme="minorHAnsi"/>
          <w:b/>
          <w:bCs/>
        </w:rPr>
      </w:pPr>
    </w:p>
    <w:p w14:paraId="3A7D237C" w14:textId="77777777" w:rsidR="005612E2" w:rsidRPr="005612E2" w:rsidRDefault="005612E2" w:rsidP="005612E2">
      <w:pPr>
        <w:spacing w:line="480" w:lineRule="auto"/>
        <w:outlineLvl w:val="0"/>
        <w:rPr>
          <w:rFonts w:eastAsiaTheme="minorHAnsi"/>
          <w:b/>
          <w:bCs/>
        </w:rPr>
      </w:pPr>
      <w:r w:rsidRPr="005612E2">
        <w:rPr>
          <w:rFonts w:eastAsiaTheme="minorHAnsi"/>
          <w:b/>
          <w:bCs/>
        </w:rPr>
        <w:t>Worries and Anxiety Relating to the Future</w:t>
      </w:r>
    </w:p>
    <w:p w14:paraId="0C3904D0" w14:textId="77777777" w:rsidR="005612E2" w:rsidRPr="005612E2" w:rsidRDefault="005612E2" w:rsidP="005612E2">
      <w:pPr>
        <w:spacing w:line="480" w:lineRule="auto"/>
        <w:outlineLvl w:val="0"/>
        <w:rPr>
          <w:rFonts w:eastAsiaTheme="minorHAnsi"/>
        </w:rPr>
      </w:pPr>
      <w:r w:rsidRPr="005612E2">
        <w:rPr>
          <w:rFonts w:eastAsiaTheme="minorHAnsi"/>
        </w:rPr>
        <w:t>Four participants described experiencing anxiety regarding the long-term implications of their non-attendance. Concerns centred on qualifications, future employment and the ability to access further education. One participant reflected: “I worry that my anxiety will stop me from going to college like it stopped me going to school.” In contrast, five participants reported few concerns, expressing confidence that alternative pathways remained available and that family support would help them navigate future transitions. One stated: “There are different ways to get qualifications, so I think things will work out.” These findings suggested that participants’ perceptions of future opportunity and the strength of available family support influenced the degree of anxiety experienced during non-attendance (Viner, Pearce and Hope, 2026).</w:t>
      </w:r>
    </w:p>
    <w:p w14:paraId="027A5524" w14:textId="77777777" w:rsidR="005612E2" w:rsidRPr="005612E2" w:rsidRDefault="005612E2" w:rsidP="005612E2">
      <w:pPr>
        <w:spacing w:line="480" w:lineRule="auto"/>
        <w:outlineLvl w:val="0"/>
        <w:rPr>
          <w:rFonts w:eastAsiaTheme="minorHAnsi"/>
        </w:rPr>
      </w:pPr>
    </w:p>
    <w:p w14:paraId="2A20F4AF" w14:textId="77777777" w:rsidR="005612E2" w:rsidRPr="005612E2" w:rsidRDefault="005612E2" w:rsidP="005612E2">
      <w:pPr>
        <w:spacing w:line="480" w:lineRule="auto"/>
        <w:outlineLvl w:val="0"/>
        <w:rPr>
          <w:rFonts w:eastAsiaTheme="minorHAnsi"/>
          <w:b/>
          <w:bCs/>
        </w:rPr>
      </w:pPr>
      <w:r w:rsidRPr="005612E2">
        <w:rPr>
          <w:rFonts w:eastAsiaTheme="minorHAnsi"/>
          <w:b/>
          <w:bCs/>
        </w:rPr>
        <w:t>Social Interaction and Feelings of Isolation</w:t>
      </w:r>
    </w:p>
    <w:p w14:paraId="3907877A" w14:textId="546D1100" w:rsidR="005612E2" w:rsidRDefault="005612E2" w:rsidP="005612E2">
      <w:pPr>
        <w:spacing w:line="480" w:lineRule="auto"/>
        <w:outlineLvl w:val="0"/>
        <w:rPr>
          <w:rFonts w:eastAsiaTheme="minorHAnsi"/>
        </w:rPr>
      </w:pPr>
      <w:r w:rsidRPr="005612E2">
        <w:rPr>
          <w:rFonts w:eastAsiaTheme="minorHAnsi"/>
        </w:rPr>
        <w:t xml:space="preserve">Eight of the nine participants reported regular opportunities for social interaction despite not attending school, maintaining friendships through sports, youth groups and community activities. One participant explained: “Most of my friends aren’t from school anyway. I see them through sports and other activities.” One participant reported significant social isolation, spending </w:t>
      </w:r>
      <w:r w:rsidR="00A76B81" w:rsidRPr="005612E2">
        <w:rPr>
          <w:rFonts w:eastAsiaTheme="minorHAnsi"/>
        </w:rPr>
        <w:t>most of</w:t>
      </w:r>
      <w:r w:rsidRPr="005612E2">
        <w:rPr>
          <w:rFonts w:eastAsiaTheme="minorHAnsi"/>
        </w:rPr>
        <w:t xml:space="preserve"> their time at home and socialising only with family members. This participant noted: “I don’t really see anyone my age anymore.” Overall, findings suggested that non-attendance did not result in social isolation for most participants. Social outcomes appeared dependent o</w:t>
      </w:r>
      <w:r w:rsidR="000966EA">
        <w:rPr>
          <w:rFonts w:eastAsiaTheme="minorHAnsi"/>
        </w:rPr>
        <w:t>n access to alternative networks</w:t>
      </w:r>
      <w:r w:rsidR="006144E6">
        <w:rPr>
          <w:rFonts w:eastAsiaTheme="minorHAnsi"/>
        </w:rPr>
        <w:t xml:space="preserve"> and community-based activities rather than school attendance alone. This reflects Hammond Price and Bond’s (2026) assertion that the social experiences of young people outside mainstream education are complex and c</w:t>
      </w:r>
      <w:r w:rsidR="00B83849">
        <w:rPr>
          <w:rFonts w:eastAsiaTheme="minorHAnsi"/>
        </w:rPr>
        <w:t>annot be uniformly characterised.</w:t>
      </w:r>
    </w:p>
    <w:p w14:paraId="58FD4C95" w14:textId="77777777" w:rsidR="00B83849" w:rsidRDefault="00B83849" w:rsidP="005612E2">
      <w:pPr>
        <w:spacing w:line="480" w:lineRule="auto"/>
        <w:outlineLvl w:val="0"/>
        <w:rPr>
          <w:rFonts w:eastAsiaTheme="minorHAnsi"/>
        </w:rPr>
      </w:pPr>
    </w:p>
    <w:p w14:paraId="4444F986" w14:textId="2E148056" w:rsidR="00B83849" w:rsidRDefault="00B83849" w:rsidP="005612E2">
      <w:pPr>
        <w:spacing w:line="480" w:lineRule="auto"/>
        <w:outlineLvl w:val="0"/>
        <w:rPr>
          <w:rFonts w:eastAsiaTheme="minorHAnsi"/>
          <w:b/>
          <w:bCs/>
        </w:rPr>
      </w:pPr>
      <w:r w:rsidRPr="00B83849">
        <w:rPr>
          <w:rFonts w:eastAsiaTheme="minorHAnsi"/>
          <w:b/>
          <w:bCs/>
        </w:rPr>
        <w:t>Family Support for Learning</w:t>
      </w:r>
    </w:p>
    <w:p w14:paraId="0C999264" w14:textId="77777777" w:rsidR="00B87F6D" w:rsidRDefault="00D36EDB" w:rsidP="005612E2">
      <w:pPr>
        <w:spacing w:line="480" w:lineRule="auto"/>
        <w:outlineLvl w:val="0"/>
        <w:rPr>
          <w:rFonts w:eastAsiaTheme="minorHAnsi"/>
        </w:rPr>
      </w:pPr>
      <w:r>
        <w:rPr>
          <w:rFonts w:eastAsiaTheme="minorHAnsi"/>
        </w:rPr>
        <w:t>Participants reported varied levels of family involvement in their education</w:t>
      </w:r>
      <w:r w:rsidR="008141A9">
        <w:rPr>
          <w:rFonts w:eastAsiaTheme="minorHAnsi"/>
        </w:rPr>
        <w:t xml:space="preserve"> following departure from Sch</w:t>
      </w:r>
      <w:r w:rsidR="00C13CBB">
        <w:rPr>
          <w:rFonts w:eastAsiaTheme="minorHAnsi"/>
        </w:rPr>
        <w:t>ool</w:t>
      </w:r>
      <w:r w:rsidR="00B338F4">
        <w:rPr>
          <w:rFonts w:eastAsiaTheme="minorHAnsi"/>
        </w:rPr>
        <w:t>.  Two par</w:t>
      </w:r>
      <w:r w:rsidR="00D21FC4">
        <w:rPr>
          <w:rFonts w:eastAsiaTheme="minorHAnsi"/>
        </w:rPr>
        <w:t>ticipants received little to no support and engaged in minimal education activity.  Four received moderate support, with parents encouraging participation in online learning in core subjects.  Three participants</w:t>
      </w:r>
      <w:r w:rsidR="00012765">
        <w:rPr>
          <w:rFonts w:eastAsiaTheme="minorHAnsi"/>
        </w:rPr>
        <w:t xml:space="preserve"> described high levels of parental involvement, including </w:t>
      </w:r>
      <w:r w:rsidR="00AB59C0">
        <w:rPr>
          <w:rFonts w:eastAsiaTheme="minorHAnsi"/>
        </w:rPr>
        <w:t>the arrangement of private tutors and structured weekly study schedules.  Notably, five participants</w:t>
      </w:r>
      <w:r w:rsidR="00B87F6D">
        <w:rPr>
          <w:rFonts w:eastAsiaTheme="minorHAnsi"/>
        </w:rPr>
        <w:t xml:space="preserve"> reported that their parents had independently funded GCSE examinations, which participants viewed as an important means of maintaining access to qualifications.  One stated “My parents have paid or me to sit my GCSE’s because they didn’t want me to miss out”.  These findings indicate that family support played a significant role in shaping education experiences outside of school, with greater parental involvement associated with more structured learning and clearer pathways to qualification.</w:t>
      </w:r>
    </w:p>
    <w:p w14:paraId="433735F8" w14:textId="77777777" w:rsidR="00B87F6D" w:rsidRDefault="00B87F6D" w:rsidP="005612E2">
      <w:pPr>
        <w:spacing w:line="480" w:lineRule="auto"/>
        <w:outlineLvl w:val="0"/>
        <w:rPr>
          <w:rFonts w:eastAsiaTheme="minorHAnsi"/>
        </w:rPr>
      </w:pPr>
    </w:p>
    <w:p w14:paraId="1D802463" w14:textId="2B003D2A" w:rsidR="00B83849" w:rsidRDefault="00B87F6D" w:rsidP="005612E2">
      <w:pPr>
        <w:spacing w:line="480" w:lineRule="auto"/>
        <w:outlineLvl w:val="0"/>
        <w:rPr>
          <w:rFonts w:eastAsiaTheme="minorHAnsi"/>
          <w:b/>
          <w:bCs/>
        </w:rPr>
      </w:pPr>
      <w:r w:rsidRPr="00B87F6D">
        <w:rPr>
          <w:rFonts w:eastAsiaTheme="minorHAnsi"/>
          <w:b/>
          <w:bCs/>
        </w:rPr>
        <w:t>Perceptions of future Education, Training and Employment</w:t>
      </w:r>
      <w:r w:rsidR="00D21FC4" w:rsidRPr="00B87F6D">
        <w:rPr>
          <w:rFonts w:eastAsiaTheme="minorHAnsi"/>
          <w:b/>
          <w:bCs/>
        </w:rPr>
        <w:t xml:space="preserve"> </w:t>
      </w:r>
    </w:p>
    <w:p w14:paraId="7DFF22B5" w14:textId="193BD64B" w:rsidR="00B87F6D" w:rsidRDefault="00A11958" w:rsidP="005612E2">
      <w:pPr>
        <w:spacing w:line="480" w:lineRule="auto"/>
        <w:outlineLvl w:val="0"/>
        <w:rPr>
          <w:rFonts w:eastAsiaTheme="minorHAnsi"/>
        </w:rPr>
      </w:pPr>
      <w:r>
        <w:rPr>
          <w:rFonts w:eastAsiaTheme="minorHAnsi"/>
        </w:rPr>
        <w:t xml:space="preserve">Participants expressed a range of views regarding their future prospects.  Four </w:t>
      </w:r>
      <w:r w:rsidR="00404BD0">
        <w:rPr>
          <w:rFonts w:eastAsiaTheme="minorHAnsi"/>
        </w:rPr>
        <w:t>expressed general confidence that opportunities would become available, whilst two described feeling positive and excited about moving on to college or employment following negative school experiences.  One participant reflected “I’m looking forward to college because it feels like a chance to start again”.  Three participants reported that they had given little consideration to future plans, describing a focus on present circumstances.  Notably, none of the participants expressed and entirely negative view of their future prospects, suggesting a degree of resilience despite disrupted educational history.</w:t>
      </w:r>
    </w:p>
    <w:p w14:paraId="0B451FD6" w14:textId="5576086A" w:rsidR="001060F2" w:rsidRDefault="001060F2" w:rsidP="005612E2">
      <w:pPr>
        <w:spacing w:line="480" w:lineRule="auto"/>
        <w:outlineLvl w:val="0"/>
        <w:rPr>
          <w:rFonts w:eastAsiaTheme="minorHAnsi"/>
          <w:b/>
          <w:bCs/>
        </w:rPr>
      </w:pPr>
      <w:r>
        <w:rPr>
          <w:rFonts w:eastAsiaTheme="minorHAnsi"/>
          <w:b/>
          <w:bCs/>
        </w:rPr>
        <w:t>Support Needed to Build Confidence</w:t>
      </w:r>
    </w:p>
    <w:p w14:paraId="7017A435" w14:textId="3A95D057" w:rsidR="001060F2" w:rsidRDefault="001060F2" w:rsidP="005612E2">
      <w:pPr>
        <w:spacing w:line="480" w:lineRule="auto"/>
        <w:outlineLvl w:val="0"/>
        <w:rPr>
          <w:rFonts w:eastAsiaTheme="minorHAnsi"/>
        </w:rPr>
      </w:pPr>
      <w:r>
        <w:rPr>
          <w:rFonts w:eastAsiaTheme="minorHAnsi"/>
        </w:rPr>
        <w:t>All nine participants identified continued support form Youth Services as important in helping them feel confident about the future.  Youth workers were described as trusted adults who provided guidance, encouragement and practical assistance.  Five participants</w:t>
      </w:r>
      <w:r w:rsidR="009328F1">
        <w:rPr>
          <w:rFonts w:eastAsiaTheme="minorHAnsi"/>
        </w:rPr>
        <w:t xml:space="preserve"> also expressed a desire for additional emotional support, particularly in relation to anxiety and confidence building, which they believe would better prepare them for transition</w:t>
      </w:r>
      <w:r w:rsidR="002C1DC9">
        <w:rPr>
          <w:rFonts w:eastAsiaTheme="minorHAnsi"/>
        </w:rPr>
        <w:t xml:space="preserve"> into education or employment. Two participants identified a need for greater involvement in planning for the future.</w:t>
      </w:r>
    </w:p>
    <w:p w14:paraId="128AAF11" w14:textId="15F32DA3" w:rsidR="002C1DC9" w:rsidRDefault="002C1DC9" w:rsidP="005612E2">
      <w:pPr>
        <w:spacing w:line="480" w:lineRule="auto"/>
        <w:outlineLvl w:val="0"/>
        <w:rPr>
          <w:rFonts w:eastAsiaTheme="minorHAnsi"/>
          <w:b/>
          <w:bCs/>
        </w:rPr>
      </w:pPr>
      <w:r w:rsidRPr="002C1DC9">
        <w:rPr>
          <w:rFonts w:eastAsiaTheme="minorHAnsi"/>
          <w:b/>
          <w:bCs/>
        </w:rPr>
        <w:t>Summary</w:t>
      </w:r>
    </w:p>
    <w:p w14:paraId="568AC896" w14:textId="77777777" w:rsidR="003B3B5C" w:rsidRDefault="00BB036D" w:rsidP="00797BED">
      <w:pPr>
        <w:spacing w:line="480" w:lineRule="auto"/>
        <w:outlineLvl w:val="0"/>
        <w:rPr>
          <w:rFonts w:eastAsiaTheme="minorHAnsi"/>
        </w:rPr>
      </w:pPr>
      <w:r>
        <w:rPr>
          <w:rFonts w:eastAsiaTheme="minorHAnsi"/>
        </w:rPr>
        <w:t xml:space="preserve">The findings presented in this chapter illustrated that the effects of school non-attendance on social and emotional wellbeing </w:t>
      </w:r>
      <w:r w:rsidR="00B821BB">
        <w:rPr>
          <w:rFonts w:eastAsiaTheme="minorHAnsi"/>
        </w:rPr>
        <w:t>were varied and shaped by individual circumstances.  Whilst some participants experienced improved wellbeing in the absence of school-related pressures, others described negative consequences including disrupted routines, future-oriented anxiety and in one case, significant social isolation.  Family support emerged as a key factor in determining educational engagement outside of school, and youth services were universally identified as an important source of practical and emotional support.  The following chapter analyses these findings, in relation to the existing literature.  Exploring the factor’s that shaped participants experiences and considering the implications for practice and policy</w:t>
      </w:r>
      <w:r w:rsidR="00797BED">
        <w:rPr>
          <w:rFonts w:eastAsiaTheme="minorHAnsi"/>
        </w:rPr>
        <w:t>.</w:t>
      </w:r>
      <w:r w:rsidR="003B3B5C">
        <w:rPr>
          <w:rFonts w:eastAsiaTheme="minorHAnsi"/>
        </w:rPr>
        <w:t xml:space="preserve">  </w:t>
      </w:r>
    </w:p>
    <w:p w14:paraId="58AEF3E0" w14:textId="6B01E82E" w:rsidR="00EB0EC4" w:rsidRDefault="00ED74E2" w:rsidP="00797BED">
      <w:pPr>
        <w:spacing w:line="480" w:lineRule="auto"/>
        <w:outlineLvl w:val="0"/>
        <w:rPr>
          <w:b/>
        </w:rPr>
      </w:pPr>
      <w:r>
        <w:rPr>
          <w:rFonts w:eastAsiaTheme="minorHAnsi"/>
        </w:rPr>
        <w:t>These findings further demonstrated that participants experiences did not conform to a single uniform narrative.</w:t>
      </w:r>
      <w:r w:rsidR="00745D15">
        <w:rPr>
          <w:rFonts w:eastAsiaTheme="minorHAnsi"/>
        </w:rPr>
        <w:t xml:space="preserve">  Rather than falling neatly into categories of positive or negative outcomes, most accounts contained elements of both</w:t>
      </w:r>
      <w:r w:rsidR="009F4017">
        <w:rPr>
          <w:rFonts w:eastAsiaTheme="minorHAnsi"/>
        </w:rPr>
        <w:t>, suggesting that wellbeing following school non-attendance was rarely static and often shifted over time in response to changing circumstances.  For example, participants who described initial relief at leaving a stressful school environment also spoke of new pressures</w:t>
      </w:r>
      <w:r w:rsidR="000F5797">
        <w:rPr>
          <w:rFonts w:eastAsiaTheme="minorHAnsi"/>
        </w:rPr>
        <w:t xml:space="preserve"> emerging later particularly around uncertainty </w:t>
      </w:r>
      <w:r w:rsidR="00C31465">
        <w:rPr>
          <w:rFonts w:eastAsiaTheme="minorHAnsi"/>
        </w:rPr>
        <w:t xml:space="preserve">regarding qualifications, employment and social comparison with peers still in mainstream education.  </w:t>
      </w:r>
      <w:r w:rsidR="006460B3">
        <w:rPr>
          <w:rFonts w:eastAsiaTheme="minorHAnsi"/>
        </w:rPr>
        <w:t>Similarly, while family support</w:t>
      </w:r>
      <w:r w:rsidR="00CF1D15">
        <w:rPr>
          <w:rFonts w:eastAsiaTheme="minorHAnsi"/>
        </w:rPr>
        <w:t xml:space="preserve"> was c</w:t>
      </w:r>
      <w:r w:rsidR="008D6FD0">
        <w:rPr>
          <w:rFonts w:eastAsiaTheme="minorHAnsi"/>
        </w:rPr>
        <w:t xml:space="preserve">onsistently described as valuable, its form varied considerably.  </w:t>
      </w:r>
      <w:r w:rsidR="00CA132C">
        <w:rPr>
          <w:rFonts w:eastAsiaTheme="minorHAnsi"/>
        </w:rPr>
        <w:t xml:space="preserve">This ranged from practical help and structuring </w:t>
      </w:r>
      <w:r w:rsidR="0069463E">
        <w:rPr>
          <w:rFonts w:eastAsiaTheme="minorHAnsi"/>
        </w:rPr>
        <w:t xml:space="preserve">daily routines to emotional reassurance during periods of low confidence.  </w:t>
      </w:r>
      <w:r w:rsidR="00B747B2">
        <w:rPr>
          <w:rFonts w:eastAsiaTheme="minorHAnsi"/>
        </w:rPr>
        <w:t xml:space="preserve">Carmarthenshire Youth Service were distinct in being the one form of </w:t>
      </w:r>
      <w:r w:rsidR="00FC3847">
        <w:rPr>
          <w:rFonts w:eastAsiaTheme="minorHAnsi"/>
        </w:rPr>
        <w:t>support mentioned positively by every participant, regardless of their broader circumstances</w:t>
      </w:r>
      <w:r w:rsidR="00715A63">
        <w:rPr>
          <w:rFonts w:eastAsiaTheme="minorHAnsi"/>
        </w:rPr>
        <w:t>.  This suggested a particular value attached to relationships that were voluntary, consistent and separate from family</w:t>
      </w:r>
      <w:r w:rsidR="00CB40B7">
        <w:rPr>
          <w:rFonts w:eastAsiaTheme="minorHAnsi"/>
        </w:rPr>
        <w:t xml:space="preserve"> life.  Taken together, these findings suggest that wellbeing outcomes were shaped less by school non-attendance itself and more by the presence, quality and consistency of relational support available to each young person during that time.</w:t>
      </w:r>
      <w:r w:rsidR="001C4008" w:rsidRPr="001C4008">
        <w:rPr>
          <w:b/>
          <w:bCs/>
        </w:rPr>
        <w:br/>
      </w:r>
      <w:r w:rsidR="00EB0EC4">
        <w:rPr>
          <w:b/>
        </w:rPr>
        <w:br w:type="page"/>
      </w:r>
      <w:bookmarkStart w:id="4" w:name="_Toc193355364"/>
      <w:r w:rsidR="00EB0EC4" w:rsidRPr="00DF0184">
        <w:rPr>
          <w:b/>
        </w:rPr>
        <w:t>DISCUSSION OF RESULTS</w:t>
      </w:r>
      <w:bookmarkEnd w:id="4"/>
      <w:r w:rsidR="00EB0EC4" w:rsidRPr="00DF0184">
        <w:rPr>
          <w:b/>
        </w:rPr>
        <w:t xml:space="preserve"> </w:t>
      </w:r>
    </w:p>
    <w:p w14:paraId="030F72DB" w14:textId="77777777" w:rsidR="00797BED" w:rsidRDefault="00797BED" w:rsidP="00BE760C">
      <w:pPr>
        <w:spacing w:line="480" w:lineRule="auto"/>
        <w:outlineLvl w:val="0"/>
        <w:rPr>
          <w:bCs/>
        </w:rPr>
      </w:pPr>
      <w:r w:rsidRPr="00797BED">
        <w:rPr>
          <w:bCs/>
        </w:rPr>
        <w:t xml:space="preserve">This study set out to explore </w:t>
      </w:r>
      <w:r w:rsidRPr="00797BED">
        <w:rPr>
          <w:bCs/>
          <w:i/>
          <w:iCs/>
        </w:rPr>
        <w:t>how the absence of formal schooling affects the social and emotional wellbeing of young people</w:t>
      </w:r>
      <w:r w:rsidRPr="00797BED">
        <w:rPr>
          <w:bCs/>
        </w:rPr>
        <w:t>. The findings resist a singular or deficit-based narrative. Although several participants described anxiety, disrupted routines and reduced opportunity, others reported improved wellbeing, reduced stress and the continuation of meaningful relationships. Read together, these findings suggest that wellbeing outcomes were shaped less by school attendance itself than by the quality of relationships, support structures and opportunities available to young people once outside the formal education system. This discussion considers these findings in relation to existing literature, beginning with the role of youth work, before turning to emotional wellbeing, social connectedness, structure and routine, family resources, and future orientation.</w:t>
      </w:r>
    </w:p>
    <w:p w14:paraId="02B5F6C2" w14:textId="3DB31EBD" w:rsidR="00797BED" w:rsidRDefault="00D36C62" w:rsidP="00BE760C">
      <w:pPr>
        <w:spacing w:line="480" w:lineRule="auto"/>
        <w:outlineLvl w:val="0"/>
        <w:rPr>
          <w:bCs/>
        </w:rPr>
      </w:pPr>
      <w:r>
        <w:rPr>
          <w:bCs/>
        </w:rPr>
        <w:t>The Covid-19 pandemic significa</w:t>
      </w:r>
      <w:r w:rsidR="0077217F">
        <w:rPr>
          <w:bCs/>
        </w:rPr>
        <w:t xml:space="preserve">ntly accelerated the number of young people absent from formal education, with consequences that have proved difficult to reverse.  In Wales </w:t>
      </w:r>
      <w:r w:rsidR="00442334">
        <w:rPr>
          <w:bCs/>
        </w:rPr>
        <w:t>persistent absence more than doubled between 2019/19 and 2023</w:t>
      </w:r>
      <w:r w:rsidR="003172E6">
        <w:rPr>
          <w:bCs/>
        </w:rPr>
        <w:t>/24</w:t>
      </w:r>
      <w:r w:rsidR="0092087D">
        <w:rPr>
          <w:bCs/>
        </w:rPr>
        <w:t>, rising to 37.1%</w:t>
      </w:r>
      <w:r w:rsidR="002C5302">
        <w:rPr>
          <w:bCs/>
        </w:rPr>
        <w:t xml:space="preserve"> (Welsh Government, 2023)</w:t>
      </w:r>
      <w:r w:rsidR="00F02E99">
        <w:rPr>
          <w:bCs/>
        </w:rPr>
        <w:t xml:space="preserve">.  </w:t>
      </w:r>
      <w:r w:rsidR="007B610D">
        <w:rPr>
          <w:bCs/>
        </w:rPr>
        <w:t>According to Senedd research t</w:t>
      </w:r>
      <w:r w:rsidR="00FA3417">
        <w:rPr>
          <w:bCs/>
        </w:rPr>
        <w:t xml:space="preserve">he impact was particularly </w:t>
      </w:r>
      <w:r w:rsidR="001B2AB0">
        <w:rPr>
          <w:bCs/>
        </w:rPr>
        <w:t xml:space="preserve">acute </w:t>
      </w:r>
      <w:r w:rsidR="009A63C0">
        <w:rPr>
          <w:bCs/>
        </w:rPr>
        <w:t xml:space="preserve">for </w:t>
      </w:r>
      <w:r w:rsidR="00C17B13">
        <w:rPr>
          <w:bCs/>
        </w:rPr>
        <w:t>disadvantaged young people</w:t>
      </w:r>
      <w:r w:rsidR="002722E6">
        <w:rPr>
          <w:bCs/>
        </w:rPr>
        <w:t xml:space="preserve">.  Secondary school pupils </w:t>
      </w:r>
      <w:r w:rsidR="00A30701">
        <w:rPr>
          <w:bCs/>
        </w:rPr>
        <w:t>eli</w:t>
      </w:r>
      <w:r w:rsidR="00206B4A">
        <w:rPr>
          <w:bCs/>
        </w:rPr>
        <w:t xml:space="preserve">gible for free </w:t>
      </w:r>
      <w:r w:rsidR="00486E5C">
        <w:rPr>
          <w:bCs/>
        </w:rPr>
        <w:t xml:space="preserve">school meals were absent for over 20% of </w:t>
      </w:r>
      <w:r w:rsidR="000864FA">
        <w:rPr>
          <w:bCs/>
        </w:rPr>
        <w:t xml:space="preserve">classes, with persistent absence rates exceeding 50% in some year groups. </w:t>
      </w:r>
      <w:r w:rsidR="006D3CEB">
        <w:rPr>
          <w:bCs/>
        </w:rPr>
        <w:t>Crucially, Welsh Government research identified anxiety, mental health difficulties and disengagement as key post-pandemic drivers of non-attendance, with many young people experiencing prof</w:t>
      </w:r>
      <w:r w:rsidR="0096514C">
        <w:rPr>
          <w:bCs/>
        </w:rPr>
        <w:t>ound difficulty reintegrating following prolong periods of disruption.</w:t>
      </w:r>
      <w:r w:rsidR="001761CD">
        <w:rPr>
          <w:bCs/>
        </w:rPr>
        <w:t xml:space="preserve">  </w:t>
      </w:r>
    </w:p>
    <w:p w14:paraId="73BA4A55" w14:textId="77777777" w:rsidR="002C4F5D" w:rsidRPr="00797BED" w:rsidRDefault="002C4F5D" w:rsidP="00BE760C">
      <w:pPr>
        <w:spacing w:line="480" w:lineRule="auto"/>
        <w:outlineLvl w:val="0"/>
        <w:rPr>
          <w:bCs/>
        </w:rPr>
      </w:pPr>
    </w:p>
    <w:p w14:paraId="19C810A0" w14:textId="55C2A158" w:rsidR="00797BED" w:rsidRPr="00797BED" w:rsidRDefault="00797BED" w:rsidP="00BE760C">
      <w:pPr>
        <w:spacing w:line="480" w:lineRule="auto"/>
        <w:outlineLvl w:val="0"/>
        <w:rPr>
          <w:b/>
        </w:rPr>
      </w:pPr>
      <w:r w:rsidRPr="00797BED">
        <w:rPr>
          <w:b/>
        </w:rPr>
        <w:t>The protective role of youth work and trusted relationships</w:t>
      </w:r>
    </w:p>
    <w:p w14:paraId="4E0B7DF8" w14:textId="23346E64" w:rsidR="00797BED" w:rsidRPr="00797BED" w:rsidRDefault="00797BED" w:rsidP="00BE760C">
      <w:pPr>
        <w:spacing w:line="480" w:lineRule="auto"/>
        <w:outlineLvl w:val="0"/>
        <w:rPr>
          <w:bCs/>
        </w:rPr>
      </w:pPr>
      <w:r w:rsidRPr="00797BED">
        <w:rPr>
          <w:bCs/>
        </w:rPr>
        <w:t>The most consistent finding across the dataset concerned the value participants placed on youth work support. All nine participants identified youth workers as significant sources of help, frequently describing them as trusted adults who offered emotional support, practical guidance and non-judgemental encouragement. This was not incidental</w:t>
      </w:r>
      <w:r w:rsidR="003F1B1B">
        <w:rPr>
          <w:bCs/>
        </w:rPr>
        <w:t>.</w:t>
      </w:r>
      <w:r w:rsidRPr="00797BED">
        <w:rPr>
          <w:bCs/>
        </w:rPr>
        <w:t xml:space="preserve"> </w:t>
      </w:r>
      <w:r w:rsidR="003F1B1B">
        <w:rPr>
          <w:bCs/>
        </w:rPr>
        <w:t xml:space="preserve"> P</w:t>
      </w:r>
      <w:r w:rsidRPr="00797BED">
        <w:rPr>
          <w:bCs/>
        </w:rPr>
        <w:t>articipants repeatedly distinguished youth work relationships from those they associated with formal education, valuing their voluntary and relational basis. This distinction reflects long-standing principles within youth work literature, where voluntary engagement and relationship-based practice are positioned as central to effective support (Jeffs and Smith, 2010; Davies, 2015; Ord, 2016).</w:t>
      </w:r>
    </w:p>
    <w:p w14:paraId="70CADF96" w14:textId="793C460F" w:rsidR="00797BED" w:rsidRPr="00797BED" w:rsidRDefault="00797BED" w:rsidP="00BE760C">
      <w:pPr>
        <w:spacing w:line="480" w:lineRule="auto"/>
        <w:outlineLvl w:val="0"/>
        <w:rPr>
          <w:bCs/>
        </w:rPr>
      </w:pPr>
      <w:r w:rsidRPr="00797BED">
        <w:rPr>
          <w:bCs/>
        </w:rPr>
        <w:t>This finding extends existing literature by situating youth work specifically as a protective factor for young people experiencing prolonged educational disengagement. Where formal education had, for some participants, become a source of distress, youth work appeared to function as an alternative relational anchor, supporting confidence, belonging and emotional regulation. Participants’ requests for additional emotional support, however, also point</w:t>
      </w:r>
      <w:r w:rsidR="00655A1B">
        <w:rPr>
          <w:bCs/>
        </w:rPr>
        <w:t>s</w:t>
      </w:r>
      <w:r w:rsidRPr="00797BED">
        <w:rPr>
          <w:bCs/>
        </w:rPr>
        <w:t xml:space="preserve"> to an expanding and increasingly complex role for youth workers, who may now be addressing needs that would previously have fallen within the remit of school-based pastoral systems. This raises important implications for how youth services are resourced and trained to respond to young people whose primary source of stability lies outside formal education.</w:t>
      </w:r>
    </w:p>
    <w:p w14:paraId="41E18A0C" w14:textId="77777777" w:rsidR="00BA0EC1" w:rsidRDefault="00BA0EC1" w:rsidP="00BE760C">
      <w:pPr>
        <w:spacing w:line="480" w:lineRule="auto"/>
        <w:outlineLvl w:val="0"/>
        <w:rPr>
          <w:bCs/>
        </w:rPr>
      </w:pPr>
    </w:p>
    <w:p w14:paraId="0B5D8101" w14:textId="77777777" w:rsidR="00BA0EC1" w:rsidRDefault="00797BED" w:rsidP="00BE760C">
      <w:pPr>
        <w:spacing w:line="480" w:lineRule="auto"/>
        <w:outlineLvl w:val="0"/>
        <w:rPr>
          <w:b/>
        </w:rPr>
      </w:pPr>
      <w:r w:rsidRPr="00797BED">
        <w:rPr>
          <w:b/>
        </w:rPr>
        <w:t>Emotional wellbeing</w:t>
      </w:r>
    </w:p>
    <w:p w14:paraId="1E26C90F" w14:textId="41831ECC" w:rsidR="00797BED" w:rsidRPr="00797BED" w:rsidRDefault="00797BED" w:rsidP="00BE760C">
      <w:pPr>
        <w:spacing w:line="480" w:lineRule="auto"/>
        <w:outlineLvl w:val="0"/>
        <w:rPr>
          <w:b/>
        </w:rPr>
      </w:pPr>
      <w:r w:rsidRPr="00797BED">
        <w:rPr>
          <w:bCs/>
        </w:rPr>
        <w:t>Existing literature has tended to frame school absence as inherently detrimental to emotional wellbeing, with anxiety frequently identified as both a cause and consequence of non-attendance (Kearney, 2008; Finning et al., 2019). The present findings partially support this</w:t>
      </w:r>
      <w:r w:rsidR="001A10F3">
        <w:rPr>
          <w:bCs/>
        </w:rPr>
        <w:t>.  A</w:t>
      </w:r>
      <w:r w:rsidRPr="00797BED">
        <w:rPr>
          <w:bCs/>
        </w:rPr>
        <w:t>ll six female participants described significant anxiety linked to bullying or feeling unsafe at school, consistent with Finning et al.’s (2019) argument that anxiety and absence can become mutually reinforcing over time.</w:t>
      </w:r>
    </w:p>
    <w:p w14:paraId="6EA22269" w14:textId="56AEA83B" w:rsidR="00797BED" w:rsidRPr="00797BED" w:rsidRDefault="00797BED" w:rsidP="00BE760C">
      <w:pPr>
        <w:spacing w:line="480" w:lineRule="auto"/>
        <w:outlineLvl w:val="0"/>
        <w:rPr>
          <w:bCs/>
        </w:rPr>
      </w:pPr>
      <w:r w:rsidRPr="00797BED">
        <w:rPr>
          <w:bCs/>
        </w:rPr>
        <w:t xml:space="preserve">However, the findings also complicate this picture considerably. Five of the nine participants reported that being out of school had improved their emotional wellbeing, describing feeling calmer, safer and less stressed than they had within the school environment. This finding challenges deficit-oriented accounts of school absence (Thomson and Pennacchia, 2016) and instead supports an emerging body of literature on emotionally based school avoidance, which argues that wellbeing depends less on attendance per se and more on whether a young person’s emotional and </w:t>
      </w:r>
      <w:r w:rsidR="001B60FE">
        <w:rPr>
          <w:bCs/>
        </w:rPr>
        <w:t>social</w:t>
      </w:r>
      <w:r w:rsidRPr="00797BED">
        <w:rPr>
          <w:bCs/>
        </w:rPr>
        <w:t xml:space="preserve"> needs are being met within their environment (Thomas and Pattison, 2008; Kunzman and Gaither, 2020). For several participants, school itself appeared to be the source of distress rather than its absence, suggesting that removal from that environment served a protective rather than disruptive function.</w:t>
      </w:r>
    </w:p>
    <w:p w14:paraId="45C59279" w14:textId="77777777" w:rsidR="00B371CC" w:rsidRDefault="00B371CC" w:rsidP="00BE760C">
      <w:pPr>
        <w:spacing w:line="480" w:lineRule="auto"/>
        <w:outlineLvl w:val="0"/>
        <w:rPr>
          <w:bCs/>
        </w:rPr>
      </w:pPr>
    </w:p>
    <w:p w14:paraId="273801BD" w14:textId="41764E71" w:rsidR="00797BED" w:rsidRPr="00797BED" w:rsidRDefault="00797BED" w:rsidP="00BE760C">
      <w:pPr>
        <w:spacing w:line="480" w:lineRule="auto"/>
        <w:outlineLvl w:val="0"/>
        <w:rPr>
          <w:b/>
        </w:rPr>
      </w:pPr>
      <w:r w:rsidRPr="00797BED">
        <w:rPr>
          <w:b/>
        </w:rPr>
        <w:t>Social connectedness and the risk of isolation</w:t>
      </w:r>
    </w:p>
    <w:p w14:paraId="751F8A07" w14:textId="5B720807" w:rsidR="00797BED" w:rsidRPr="00797BED" w:rsidRDefault="00797BED" w:rsidP="00BE760C">
      <w:pPr>
        <w:spacing w:line="480" w:lineRule="auto"/>
        <w:outlineLvl w:val="0"/>
        <w:rPr>
          <w:bCs/>
        </w:rPr>
      </w:pPr>
      <w:r w:rsidRPr="00797BED">
        <w:rPr>
          <w:bCs/>
        </w:rPr>
        <w:t>A related assumption within the literature is that school absence inevitably leads to social exclusion and loneliness (Kearney, 2008; Children’s Commissioner for England, 2022). This was not generally reflected in the data</w:t>
      </w:r>
      <w:r w:rsidR="00B82976">
        <w:rPr>
          <w:bCs/>
        </w:rPr>
        <w:t xml:space="preserve">, </w:t>
      </w:r>
      <w:r w:rsidRPr="00797BED">
        <w:rPr>
          <w:bCs/>
        </w:rPr>
        <w:t>eight of the nine participants reported maintaining friendships and participating in social activities, including sport, youth provision and informal peer networks, and did not consider themselves socially isolated. This supports resilience and youth work literature emphasising that belonging and social connectedness need not be contingent on formal educational settings (Masten, 2014; Allen, Vella-Brodrick and Waters, 2018).</w:t>
      </w:r>
    </w:p>
    <w:p w14:paraId="3769A150" w14:textId="7BE37F05" w:rsidR="00797BED" w:rsidRPr="00797BED" w:rsidRDefault="00797BED" w:rsidP="00BE760C">
      <w:pPr>
        <w:spacing w:line="480" w:lineRule="auto"/>
        <w:outlineLvl w:val="0"/>
        <w:rPr>
          <w:bCs/>
        </w:rPr>
      </w:pPr>
      <w:r w:rsidRPr="00797BED">
        <w:rPr>
          <w:bCs/>
        </w:rPr>
        <w:t>This finding should not be read as evidence that school absence carries no social risk. The experience of the single participant who described significant isolation illustrates that, in the absence of alternative social opportunities, prolonged non-attendance can leave young people genuinely disconnected. Taken together, these findings suggest that social outcomes are contingent not on attendance itself but on access to alternative spaces of belonging</w:t>
      </w:r>
      <w:r w:rsidR="0069602B">
        <w:rPr>
          <w:bCs/>
        </w:rPr>
        <w:t xml:space="preserve">, </w:t>
      </w:r>
      <w:r w:rsidRPr="00797BED">
        <w:rPr>
          <w:bCs/>
        </w:rPr>
        <w:t xml:space="preserve"> a distinction with direct implications for how support is targeted.</w:t>
      </w:r>
    </w:p>
    <w:p w14:paraId="6A5E4C08" w14:textId="77777777" w:rsidR="00797BED" w:rsidRPr="00797BED" w:rsidRDefault="00797BED" w:rsidP="00BE760C">
      <w:pPr>
        <w:spacing w:line="480" w:lineRule="auto"/>
        <w:outlineLvl w:val="0"/>
        <w:rPr>
          <w:bCs/>
        </w:rPr>
      </w:pPr>
    </w:p>
    <w:p w14:paraId="3E97C42B" w14:textId="625CAD1C" w:rsidR="00797BED" w:rsidRPr="00797BED" w:rsidRDefault="00797BED" w:rsidP="00BE760C">
      <w:pPr>
        <w:spacing w:line="480" w:lineRule="auto"/>
        <w:outlineLvl w:val="0"/>
        <w:rPr>
          <w:b/>
        </w:rPr>
      </w:pPr>
      <w:r w:rsidRPr="00797BED">
        <w:rPr>
          <w:b/>
        </w:rPr>
        <w:t>Structure</w:t>
      </w:r>
      <w:r w:rsidR="00E007A2" w:rsidRPr="00E007A2">
        <w:rPr>
          <w:b/>
        </w:rPr>
        <w:t xml:space="preserve"> and R</w:t>
      </w:r>
      <w:r w:rsidRPr="00797BED">
        <w:rPr>
          <w:b/>
        </w:rPr>
        <w:t>outine</w:t>
      </w:r>
    </w:p>
    <w:p w14:paraId="3CA971D2" w14:textId="45C801E8" w:rsidR="00797BED" w:rsidRPr="00797BED" w:rsidRDefault="00797BED" w:rsidP="00BE760C">
      <w:pPr>
        <w:spacing w:line="480" w:lineRule="auto"/>
        <w:outlineLvl w:val="0"/>
        <w:rPr>
          <w:bCs/>
        </w:rPr>
      </w:pPr>
      <w:r w:rsidRPr="00797BED">
        <w:rPr>
          <w:bCs/>
        </w:rPr>
        <w:t>Where structure and meaningful activity were absent, however, participants were more likely to describe difficulty. Four participants reported becoming drawn into unhealthy routines characterised by excessive gaming, disrupted sleep and a lack of daily structure. This aligns with literature identifying routine and meaningful participation as central to adolescent wellbeing (Masten, 2014), and indicates that the protective effects observed elsewhere in the data were not automatic. Rather, they appeared contingent on the presence of structured alternatives to school</w:t>
      </w:r>
      <w:r w:rsidR="00792903">
        <w:rPr>
          <w:bCs/>
        </w:rPr>
        <w:t>.  W</w:t>
      </w:r>
      <w:r w:rsidRPr="00797BED">
        <w:rPr>
          <w:bCs/>
        </w:rPr>
        <w:t>ithout which, the same absence that protected some participants left others without direction.</w:t>
      </w:r>
    </w:p>
    <w:p w14:paraId="4B80698B" w14:textId="77777777" w:rsidR="00797BED" w:rsidRPr="00797BED" w:rsidRDefault="00797BED" w:rsidP="00BE760C">
      <w:pPr>
        <w:spacing w:line="480" w:lineRule="auto"/>
        <w:outlineLvl w:val="0"/>
        <w:rPr>
          <w:bCs/>
        </w:rPr>
      </w:pPr>
    </w:p>
    <w:p w14:paraId="185DD4B0" w14:textId="6831AF51" w:rsidR="00797BED" w:rsidRPr="00797BED" w:rsidRDefault="00797BED" w:rsidP="00BE760C">
      <w:pPr>
        <w:spacing w:line="480" w:lineRule="auto"/>
        <w:outlineLvl w:val="0"/>
        <w:rPr>
          <w:b/>
        </w:rPr>
      </w:pPr>
      <w:r w:rsidRPr="00797BED">
        <w:rPr>
          <w:b/>
        </w:rPr>
        <w:t>Family resources and educational inequity</w:t>
      </w:r>
    </w:p>
    <w:p w14:paraId="58A36B6E" w14:textId="45796CDC" w:rsidR="00797BED" w:rsidRPr="00797BED" w:rsidRDefault="00797BED" w:rsidP="00BE760C">
      <w:pPr>
        <w:spacing w:line="480" w:lineRule="auto"/>
        <w:outlineLvl w:val="0"/>
        <w:rPr>
          <w:bCs/>
        </w:rPr>
      </w:pPr>
      <w:r w:rsidRPr="00797BED">
        <w:rPr>
          <w:bCs/>
        </w:rPr>
        <w:t>Considerable variation was also evident in the level of family support participants received. While some described minimal parental engagement with learning following school departure, others had access to highly structured arrangements, including online learning, private tutoring and independently funded examination entry</w:t>
      </w:r>
      <w:r w:rsidR="007A357A">
        <w:rPr>
          <w:bCs/>
        </w:rPr>
        <w:t>.</w:t>
      </w:r>
      <w:r w:rsidRPr="00797BED">
        <w:rPr>
          <w:bCs/>
        </w:rPr>
        <w:t xml:space="preserve"> </w:t>
      </w:r>
      <w:r w:rsidR="007A357A">
        <w:rPr>
          <w:bCs/>
        </w:rPr>
        <w:t>F</w:t>
      </w:r>
      <w:r w:rsidRPr="00797BED">
        <w:rPr>
          <w:bCs/>
        </w:rPr>
        <w:t xml:space="preserve">ive participants had GCSEs arranged and funded by parents. This variation supports existing literature on the role of parental capacity and resource in shaping educational outcomes outside mainstream schooling (Kunzman and Gaither, 2020), </w:t>
      </w:r>
      <w:r w:rsidR="007B4210">
        <w:rPr>
          <w:bCs/>
        </w:rPr>
        <w:t xml:space="preserve">suggests </w:t>
      </w:r>
      <w:r w:rsidRPr="00797BED">
        <w:rPr>
          <w:bCs/>
        </w:rPr>
        <w:t>that the wellbeing benefits associated with school absence in this study may not be equally accessible to all young people. Where families lacked the resources or confidence to provide structured support, the risks associated with non-attendance appeared more pronounced. This raises questions of educational equity that extend beyond the scope of individual wellbeing and into broader policy considerations around support for young people outside formal education.</w:t>
      </w:r>
    </w:p>
    <w:p w14:paraId="105D2FEF" w14:textId="77777777" w:rsidR="00797BED" w:rsidRPr="00797BED" w:rsidRDefault="00797BED" w:rsidP="00BE760C">
      <w:pPr>
        <w:spacing w:line="480" w:lineRule="auto"/>
        <w:outlineLvl w:val="0"/>
        <w:rPr>
          <w:bCs/>
        </w:rPr>
      </w:pPr>
    </w:p>
    <w:p w14:paraId="6204968D" w14:textId="75636D2E" w:rsidR="00797BED" w:rsidRPr="00797BED" w:rsidRDefault="00797BED" w:rsidP="00BE760C">
      <w:pPr>
        <w:spacing w:line="480" w:lineRule="auto"/>
        <w:outlineLvl w:val="0"/>
        <w:rPr>
          <w:b/>
        </w:rPr>
      </w:pPr>
      <w:r w:rsidRPr="00797BED">
        <w:rPr>
          <w:b/>
        </w:rPr>
        <w:t xml:space="preserve">Future orientation and </w:t>
      </w:r>
      <w:r w:rsidR="00B920C4" w:rsidRPr="00B920C4">
        <w:rPr>
          <w:b/>
        </w:rPr>
        <w:t>R</w:t>
      </w:r>
      <w:r w:rsidRPr="00797BED">
        <w:rPr>
          <w:b/>
        </w:rPr>
        <w:t>esilience</w:t>
      </w:r>
    </w:p>
    <w:p w14:paraId="43D60E6D" w14:textId="00EB036A" w:rsidR="00797BED" w:rsidRPr="00797BED" w:rsidRDefault="00797BED" w:rsidP="00BE760C">
      <w:pPr>
        <w:spacing w:line="480" w:lineRule="auto"/>
        <w:outlineLvl w:val="0"/>
        <w:rPr>
          <w:bCs/>
        </w:rPr>
      </w:pPr>
      <w:r w:rsidRPr="00797BED">
        <w:rPr>
          <w:bCs/>
        </w:rPr>
        <w:t xml:space="preserve">Finally, participants’ outlook on their futures was markedly more optimistic than existing literature on school absence might predict, much of which </w:t>
      </w:r>
      <w:r w:rsidR="007E7D92" w:rsidRPr="00797BED">
        <w:rPr>
          <w:bCs/>
        </w:rPr>
        <w:t>link</w:t>
      </w:r>
      <w:r w:rsidR="00F346AC">
        <w:rPr>
          <w:bCs/>
        </w:rPr>
        <w:t xml:space="preserve">s </w:t>
      </w:r>
      <w:r w:rsidRPr="00797BED">
        <w:rPr>
          <w:bCs/>
        </w:rPr>
        <w:t>non-attendance to poor long-term outcomes (Department for Education, 2024). Most participants expressed confidence that opportunities would emerge, with several describing genuine excitement about future education or employment. This optimism may reflect the protective influence of family support and trusted adult relationships in fostering resilience (Masten, 2014), suggest</w:t>
      </w:r>
      <w:r w:rsidR="00CC53D2">
        <w:rPr>
          <w:bCs/>
        </w:rPr>
        <w:t>ing</w:t>
      </w:r>
      <w:r w:rsidRPr="00797BED">
        <w:rPr>
          <w:bCs/>
        </w:rPr>
        <w:t xml:space="preserve"> that young people outside mainstream education may conceptualise pathways into employment and qualification differently from traditional models, rather than necessarily holding diminished aspirations.</w:t>
      </w:r>
    </w:p>
    <w:p w14:paraId="52E9B17C" w14:textId="77777777" w:rsidR="007621AB" w:rsidRDefault="007621AB" w:rsidP="00BE760C">
      <w:pPr>
        <w:spacing w:line="480" w:lineRule="auto"/>
        <w:outlineLvl w:val="0"/>
        <w:rPr>
          <w:bCs/>
        </w:rPr>
      </w:pPr>
    </w:p>
    <w:p w14:paraId="2165DD39" w14:textId="0B11C05F" w:rsidR="00797BED" w:rsidRPr="00797BED" w:rsidRDefault="00797BED" w:rsidP="00BE760C">
      <w:pPr>
        <w:spacing w:line="480" w:lineRule="auto"/>
        <w:outlineLvl w:val="0"/>
        <w:rPr>
          <w:bCs/>
        </w:rPr>
      </w:pPr>
      <w:r w:rsidRPr="00797BED">
        <w:rPr>
          <w:bCs/>
        </w:rPr>
        <w:t>Taken together, these findings resist a singular account of how school absence affects wellbeing. Rather, the data point to a highly individualised picture, shaped by the interaction of trusted relationships, family resource, routine and access to alternative social spaces, with youth work emerging as a particularly significant protective factor throughout. This suggests that attendance alone is an insufficient indicator of wellbeing, and that practitioners and researchers would benefit from a more relational framework one that considers the quality of support and connection available to young people both within and beyond formal education.</w:t>
      </w:r>
    </w:p>
    <w:p w14:paraId="129C5EC2" w14:textId="77777777" w:rsidR="00EB0EC4" w:rsidRDefault="00EB0EC4" w:rsidP="009D6C26">
      <w:pPr>
        <w:spacing w:line="480" w:lineRule="auto"/>
        <w:outlineLvl w:val="0"/>
        <w:rPr>
          <w:b/>
        </w:rPr>
      </w:pPr>
      <w:r>
        <w:rPr>
          <w:b/>
        </w:rPr>
        <w:br w:type="page"/>
      </w:r>
      <w:bookmarkStart w:id="5" w:name="_Toc193355365"/>
      <w:r>
        <w:rPr>
          <w:b/>
        </w:rPr>
        <w:t>CONCLUSION AND RECOMMENDATIONS</w:t>
      </w:r>
      <w:bookmarkEnd w:id="5"/>
      <w:r>
        <w:rPr>
          <w:b/>
        </w:rPr>
        <w:t xml:space="preserve"> </w:t>
      </w:r>
    </w:p>
    <w:p w14:paraId="7F613FED" w14:textId="6F4EA4EA" w:rsidR="006857A7" w:rsidRDefault="009774A6" w:rsidP="009D6C26">
      <w:pPr>
        <w:spacing w:line="480" w:lineRule="auto"/>
        <w:outlineLvl w:val="0"/>
        <w:rPr>
          <w:bCs/>
        </w:rPr>
      </w:pPr>
      <w:r>
        <w:rPr>
          <w:bCs/>
        </w:rPr>
        <w:t>This study explores “</w:t>
      </w:r>
      <w:r>
        <w:rPr>
          <w:bCs/>
          <w:i/>
          <w:iCs/>
        </w:rPr>
        <w:t>How the absence of formal schooling affects the social and emotional wellbeing of young people”</w:t>
      </w:r>
      <w:r>
        <w:rPr>
          <w:bCs/>
        </w:rPr>
        <w:t xml:space="preserve"> </w:t>
      </w:r>
      <w:r w:rsidR="00E9494F">
        <w:rPr>
          <w:bCs/>
        </w:rPr>
        <w:t>and the factors shaping their experiences outside mainstream</w:t>
      </w:r>
      <w:r w:rsidR="009D3BDB">
        <w:rPr>
          <w:bCs/>
        </w:rPr>
        <w:t xml:space="preserve"> education.  Interviews with nine participants aged 16 and 17 examined the impact of non-attendance on emotional wellbeing, social relationships, </w:t>
      </w:r>
      <w:r w:rsidR="00E80878">
        <w:rPr>
          <w:bCs/>
        </w:rPr>
        <w:t xml:space="preserve">educational engagement and perceptions of future opportunity. </w:t>
      </w:r>
    </w:p>
    <w:p w14:paraId="6B7F95FC" w14:textId="65FDE1BA" w:rsidR="00E80878" w:rsidRDefault="00E80878" w:rsidP="009D6C26">
      <w:pPr>
        <w:spacing w:line="480" w:lineRule="auto"/>
        <w:outlineLvl w:val="0"/>
        <w:rPr>
          <w:bCs/>
        </w:rPr>
      </w:pPr>
      <w:r>
        <w:rPr>
          <w:bCs/>
        </w:rPr>
        <w:t xml:space="preserve">The findings </w:t>
      </w:r>
      <w:r w:rsidR="00D47BF0">
        <w:rPr>
          <w:bCs/>
        </w:rPr>
        <w:t>show that these experiences are complex and cannot be understood through a solely deficit-based</w:t>
      </w:r>
      <w:r w:rsidR="007800BA">
        <w:rPr>
          <w:bCs/>
        </w:rPr>
        <w:t xml:space="preserve"> lens.  While anxiety, bullying and behavioural difficulties were </w:t>
      </w:r>
      <w:r w:rsidR="00FA3827">
        <w:rPr>
          <w:bCs/>
        </w:rPr>
        <w:t xml:space="preserve">significant contributors to absence, many participants reported improved </w:t>
      </w:r>
      <w:r w:rsidR="00CF7ADB">
        <w:rPr>
          <w:bCs/>
        </w:rPr>
        <w:t xml:space="preserve">emotional wellbeing after leaving mainstream education, describing greater safety, reduced </w:t>
      </w:r>
      <w:r w:rsidR="00064116">
        <w:rPr>
          <w:bCs/>
        </w:rPr>
        <w:t>stress and increased emotional stability.  This challenges the assumption that non-attendance is inherently harmful.</w:t>
      </w:r>
    </w:p>
    <w:p w14:paraId="69AA8AF7" w14:textId="3172B420" w:rsidR="00064116" w:rsidRDefault="00064116" w:rsidP="009D6C26">
      <w:pPr>
        <w:spacing w:line="480" w:lineRule="auto"/>
        <w:outlineLvl w:val="0"/>
        <w:rPr>
          <w:bCs/>
        </w:rPr>
      </w:pPr>
      <w:r>
        <w:rPr>
          <w:bCs/>
        </w:rPr>
        <w:t xml:space="preserve">Social isolation was also not widely experienced.  Most participants sustained friendships, engaged in social activities and accessed support through family and youth services, suggesting that connectedness and wellbeing depend less on school attendance itself than on the quality of relationships and opportunities for participation available to </w:t>
      </w:r>
      <w:r w:rsidR="00D36362">
        <w:rPr>
          <w:bCs/>
        </w:rPr>
        <w:t>young people</w:t>
      </w:r>
      <w:r w:rsidR="00C2664D">
        <w:rPr>
          <w:bCs/>
        </w:rPr>
        <w:t xml:space="preserve">.  </w:t>
      </w:r>
      <w:r w:rsidR="00F62D80">
        <w:rPr>
          <w:bCs/>
        </w:rPr>
        <w:t>However,</w:t>
      </w:r>
      <w:r w:rsidR="00C2664D">
        <w:rPr>
          <w:bCs/>
        </w:rPr>
        <w:t xml:space="preserve"> </w:t>
      </w:r>
      <w:r w:rsidR="00CA2335">
        <w:rPr>
          <w:bCs/>
        </w:rPr>
        <w:t xml:space="preserve">participants lacking family support or structured learning opportunities faced heightened vulnerability, </w:t>
      </w:r>
      <w:r w:rsidR="005B528E">
        <w:rPr>
          <w:bCs/>
        </w:rPr>
        <w:t>underscoring the risks that can accompany educational absence.</w:t>
      </w:r>
    </w:p>
    <w:p w14:paraId="23EE9373" w14:textId="259B2622" w:rsidR="005B528E" w:rsidRDefault="00F62D80" w:rsidP="009D6C26">
      <w:pPr>
        <w:spacing w:line="480" w:lineRule="auto"/>
        <w:outlineLvl w:val="0"/>
        <w:rPr>
          <w:bCs/>
        </w:rPr>
      </w:pPr>
      <w:r>
        <w:rPr>
          <w:bCs/>
        </w:rPr>
        <w:t xml:space="preserve">The most significant finding was the protective role of relational support, particularly through youth services.  Consistent with youth work literature, trusted relationships, emotional </w:t>
      </w:r>
      <w:r w:rsidR="00BA4A7B">
        <w:rPr>
          <w:bCs/>
        </w:rPr>
        <w:t xml:space="preserve">support and voluntary engagement emerged as key factors shaping participants wellbeing and confidence about the future.  </w:t>
      </w:r>
    </w:p>
    <w:p w14:paraId="01E33D56" w14:textId="477D7404" w:rsidR="00BA4A7B" w:rsidRDefault="00BA4A7B" w:rsidP="009D6C26">
      <w:pPr>
        <w:spacing w:line="480" w:lineRule="auto"/>
        <w:outlineLvl w:val="0"/>
        <w:rPr>
          <w:bCs/>
        </w:rPr>
      </w:pPr>
      <w:r>
        <w:rPr>
          <w:bCs/>
        </w:rPr>
        <w:t>Overall, the study suggests that understanding young people’s experiences outside of mainstream education requires a nuanced, relationship approach that recognises both the challenges and opp</w:t>
      </w:r>
      <w:r w:rsidR="00DD6E99">
        <w:rPr>
          <w:bCs/>
        </w:rPr>
        <w:t>ortunities associated with education absence.</w:t>
      </w:r>
    </w:p>
    <w:p w14:paraId="1676FC43" w14:textId="6F0CD296" w:rsidR="00163259" w:rsidRDefault="00E052A7" w:rsidP="009D6C26">
      <w:pPr>
        <w:spacing w:line="480" w:lineRule="auto"/>
        <w:outlineLvl w:val="0"/>
        <w:rPr>
          <w:bCs/>
        </w:rPr>
      </w:pPr>
      <w:r>
        <w:rPr>
          <w:bCs/>
        </w:rPr>
        <w:t>More broadly, this study suggests that school attendance alone is an insufficient measure of a young person's wellbeing or prospects.  What eme</w:t>
      </w:r>
      <w:r w:rsidR="008215A6">
        <w:rPr>
          <w:bCs/>
        </w:rPr>
        <w:t xml:space="preserve">rges most </w:t>
      </w:r>
      <w:r w:rsidR="004B0BE0">
        <w:rPr>
          <w:bCs/>
        </w:rPr>
        <w:t>strongly is that relational continually, rather than educational setting, underpins</w:t>
      </w:r>
      <w:r w:rsidR="00E8722C">
        <w:rPr>
          <w:bCs/>
        </w:rPr>
        <w:t xml:space="preserve"> positive outcomes for young people outside mainstream schooling.  This has clear implications</w:t>
      </w:r>
      <w:r w:rsidR="000F2A03">
        <w:rPr>
          <w:bCs/>
        </w:rPr>
        <w:t xml:space="preserve"> for practice and policy.  Services supporting young people</w:t>
      </w:r>
      <w:r w:rsidR="0002104F">
        <w:rPr>
          <w:bCs/>
        </w:rPr>
        <w:t xml:space="preserve"> who are absent from school should prioritise relationship based, voluntary </w:t>
      </w:r>
      <w:r w:rsidR="001E29F7">
        <w:rPr>
          <w:bCs/>
        </w:rPr>
        <w:t xml:space="preserve">working over compliance driven interventions.  The youth work approach, characterised by trust, informal education and young people’s voluntary participation (Jeffs and Smith, 2005), appears particularly well suited to support the cohort, and its </w:t>
      </w:r>
      <w:r w:rsidR="003F68B4">
        <w:rPr>
          <w:bCs/>
        </w:rPr>
        <w:t>principles could usefully inform wider educational and welfare responses to non-attendance.</w:t>
      </w:r>
    </w:p>
    <w:p w14:paraId="115E711F" w14:textId="3C3BE162" w:rsidR="003F68B4" w:rsidRDefault="003F68B4" w:rsidP="009D6C26">
      <w:pPr>
        <w:spacing w:line="480" w:lineRule="auto"/>
        <w:outlineLvl w:val="0"/>
        <w:rPr>
          <w:bCs/>
        </w:rPr>
      </w:pPr>
      <w:r>
        <w:rPr>
          <w:bCs/>
        </w:rPr>
        <w:t xml:space="preserve">In relation to the research question, the study has answered it substantially, demonstrating that the impact of educational absence on wellbeing is neither </w:t>
      </w:r>
      <w:r w:rsidR="00EC63C7">
        <w:rPr>
          <w:bCs/>
        </w:rPr>
        <w:t>uniform nor inevitable, but shaped by the presence or absence of protective relationships</w:t>
      </w:r>
      <w:r w:rsidR="009264B7">
        <w:rPr>
          <w:bCs/>
        </w:rPr>
        <w:t>.  However, the small sample of nine participants drawn from a single geographical area, limits the generalisability of these findings, and the study cannot fully capture</w:t>
      </w:r>
      <w:r w:rsidR="003F2C97">
        <w:rPr>
          <w:bCs/>
        </w:rPr>
        <w:t xml:space="preserve"> the diversity of experiences among young people outside mainstream education</w:t>
      </w:r>
      <w:r w:rsidR="00316884">
        <w:rPr>
          <w:bCs/>
        </w:rPr>
        <w:t xml:space="preserve"> nationally.</w:t>
      </w:r>
    </w:p>
    <w:p w14:paraId="673F013F" w14:textId="5CE63313" w:rsidR="005F7A33" w:rsidRDefault="00316884" w:rsidP="009D6C26">
      <w:pPr>
        <w:spacing w:line="480" w:lineRule="auto"/>
        <w:outlineLvl w:val="0"/>
        <w:rPr>
          <w:bCs/>
        </w:rPr>
      </w:pPr>
      <w:r>
        <w:rPr>
          <w:bCs/>
        </w:rPr>
        <w:t xml:space="preserve">Further research involving larger and more geographically diverse samples </w:t>
      </w:r>
      <w:r w:rsidR="0041775C">
        <w:rPr>
          <w:bCs/>
        </w:rPr>
        <w:t xml:space="preserve">is needed to test whether these patterns hold across different context and longitudinal research would help </w:t>
      </w:r>
      <w:r w:rsidR="005F7A33">
        <w:rPr>
          <w:bCs/>
        </w:rPr>
        <w:t>clarify whether the emotional improvements reported here are sustained over time.  Such work would strengthen the evidence based for relational, youth work informed approach to supporting young people beyond mainstream education.</w:t>
      </w:r>
    </w:p>
    <w:p w14:paraId="369F74D5" w14:textId="19F311F6" w:rsidR="005F7A33" w:rsidRDefault="00822C75" w:rsidP="009D6C26">
      <w:pPr>
        <w:spacing w:line="480" w:lineRule="auto"/>
        <w:outlineLvl w:val="0"/>
        <w:rPr>
          <w:bCs/>
        </w:rPr>
      </w:pPr>
      <w:r>
        <w:rPr>
          <w:bCs/>
        </w:rPr>
        <w:t>Based on these findings, several practical recommendations emerge for working with young people outside mainstream education.</w:t>
      </w:r>
    </w:p>
    <w:p w14:paraId="5D2CD406" w14:textId="3DD87B8D" w:rsidR="00822C75" w:rsidRDefault="00822C75" w:rsidP="00822C75">
      <w:pPr>
        <w:pStyle w:val="ListParagraph"/>
        <w:numPr>
          <w:ilvl w:val="1"/>
          <w:numId w:val="3"/>
        </w:numPr>
        <w:spacing w:line="480" w:lineRule="auto"/>
        <w:outlineLvl w:val="0"/>
        <w:rPr>
          <w:bCs/>
        </w:rPr>
      </w:pPr>
      <w:r w:rsidRPr="00394688">
        <w:rPr>
          <w:b/>
        </w:rPr>
        <w:t xml:space="preserve">Prioritise </w:t>
      </w:r>
      <w:r w:rsidR="00201C2C" w:rsidRPr="00394688">
        <w:rPr>
          <w:b/>
        </w:rPr>
        <w:t>relationship-based</w:t>
      </w:r>
      <w:r w:rsidRPr="00394688">
        <w:rPr>
          <w:b/>
        </w:rPr>
        <w:t xml:space="preserve"> support</w:t>
      </w:r>
      <w:r>
        <w:rPr>
          <w:bCs/>
        </w:rPr>
        <w:t xml:space="preserve"> </w:t>
      </w:r>
      <w:r w:rsidR="007111C5">
        <w:rPr>
          <w:bCs/>
        </w:rPr>
        <w:t>– Given that trusted relationships and voluntary engagement emerged as the strongest protective factor, youth services and alternative providers should embed relational continuity, such as consistent core workers</w:t>
      </w:r>
      <w:r w:rsidR="00201C2C">
        <w:rPr>
          <w:bCs/>
        </w:rPr>
        <w:t>, as a core element of practice rather than an add-on (Jeffs and Smith, 2005).</w:t>
      </w:r>
    </w:p>
    <w:p w14:paraId="4FA667A1" w14:textId="5696A8F7" w:rsidR="00201C2C" w:rsidRDefault="00BD01F7" w:rsidP="00822C75">
      <w:pPr>
        <w:pStyle w:val="ListParagraph"/>
        <w:numPr>
          <w:ilvl w:val="1"/>
          <w:numId w:val="3"/>
        </w:numPr>
        <w:spacing w:line="480" w:lineRule="auto"/>
        <w:outlineLvl w:val="0"/>
        <w:rPr>
          <w:bCs/>
        </w:rPr>
      </w:pPr>
      <w:r w:rsidRPr="00394688">
        <w:rPr>
          <w:b/>
        </w:rPr>
        <w:t>Challenge deficit-based assumptions</w:t>
      </w:r>
      <w:r>
        <w:rPr>
          <w:bCs/>
        </w:rPr>
        <w:t xml:space="preserve"> – Findings indicate that non-attendance is not inherently harmful.  Practitioners and policy makers should therefore look beyond attendance figures alone and give greater weight to young </w:t>
      </w:r>
      <w:r w:rsidR="006A2755">
        <w:rPr>
          <w:bCs/>
        </w:rPr>
        <w:t>people’s</w:t>
      </w:r>
      <w:r>
        <w:rPr>
          <w:bCs/>
        </w:rPr>
        <w:t xml:space="preserve"> emotional wellbeing and existing support networks when assessing their needs.</w:t>
      </w:r>
    </w:p>
    <w:p w14:paraId="1505AEA7" w14:textId="77777777" w:rsidR="00AD060D" w:rsidRDefault="006A2755" w:rsidP="00822C75">
      <w:pPr>
        <w:pStyle w:val="ListParagraph"/>
        <w:numPr>
          <w:ilvl w:val="1"/>
          <w:numId w:val="3"/>
        </w:numPr>
        <w:spacing w:line="480" w:lineRule="auto"/>
        <w:outlineLvl w:val="0"/>
        <w:rPr>
          <w:bCs/>
        </w:rPr>
      </w:pPr>
      <w:r w:rsidRPr="00394688">
        <w:rPr>
          <w:b/>
        </w:rPr>
        <w:t>Strengthen family engagement</w:t>
      </w:r>
      <w:r>
        <w:rPr>
          <w:bCs/>
        </w:rPr>
        <w:t xml:space="preserve"> – Since participants without family support</w:t>
      </w:r>
      <w:r w:rsidR="00AD060D">
        <w:rPr>
          <w:bCs/>
        </w:rPr>
        <w:t xml:space="preserve"> appeared more vulnerable, early low intensity family support could be offered alongside youth work provisions, without requiring formal referral thresholds.</w:t>
      </w:r>
    </w:p>
    <w:p w14:paraId="4574EE11" w14:textId="77777777" w:rsidR="006A32F6" w:rsidRDefault="006A32F6" w:rsidP="00822C75">
      <w:pPr>
        <w:pStyle w:val="ListParagraph"/>
        <w:numPr>
          <w:ilvl w:val="1"/>
          <w:numId w:val="3"/>
        </w:numPr>
        <w:spacing w:line="480" w:lineRule="auto"/>
        <w:outlineLvl w:val="0"/>
        <w:rPr>
          <w:bCs/>
        </w:rPr>
      </w:pPr>
      <w:r w:rsidRPr="00394688">
        <w:rPr>
          <w:b/>
        </w:rPr>
        <w:t>Build structured but flexible learning opportunities</w:t>
      </w:r>
      <w:r>
        <w:rPr>
          <w:bCs/>
        </w:rPr>
        <w:t xml:space="preserve"> – Access to informal or part-time learning, rather than full reintegration into mainstream schooling, may better support emotional stability and future confidence.</w:t>
      </w:r>
    </w:p>
    <w:p w14:paraId="7699A1D5" w14:textId="77777777" w:rsidR="00144FA2" w:rsidRDefault="006A32F6" w:rsidP="006A32F6">
      <w:pPr>
        <w:spacing w:line="480" w:lineRule="auto"/>
        <w:outlineLvl w:val="0"/>
        <w:rPr>
          <w:bCs/>
        </w:rPr>
      </w:pPr>
      <w:r>
        <w:rPr>
          <w:bCs/>
        </w:rPr>
        <w:t xml:space="preserve">These recommendations are intentionally modest in scope, reflecting the study’s small sample size, and are best understood as areas warranting further </w:t>
      </w:r>
      <w:r w:rsidR="004D095A">
        <w:rPr>
          <w:bCs/>
        </w:rPr>
        <w:t xml:space="preserve">attention rather </w:t>
      </w:r>
      <w:r w:rsidR="00144FA2">
        <w:rPr>
          <w:bCs/>
        </w:rPr>
        <w:t>than definitive prescriptions for practice.</w:t>
      </w:r>
    </w:p>
    <w:p w14:paraId="2647FF19" w14:textId="77777777" w:rsidR="00212C33" w:rsidRDefault="00144FA2" w:rsidP="006A32F6">
      <w:pPr>
        <w:spacing w:line="480" w:lineRule="auto"/>
        <w:outlineLvl w:val="0"/>
        <w:rPr>
          <w:bCs/>
        </w:rPr>
      </w:pPr>
      <w:r>
        <w:rPr>
          <w:bCs/>
        </w:rPr>
        <w:t xml:space="preserve">Reflecting on this research process, </w:t>
      </w:r>
      <w:r w:rsidR="00B84B25">
        <w:rPr>
          <w:bCs/>
        </w:rPr>
        <w:t>undertaking a qualitive study of this kind has deepened my understanding of the value of relation</w:t>
      </w:r>
      <w:r w:rsidR="00C21B34">
        <w:rPr>
          <w:bCs/>
        </w:rPr>
        <w:t xml:space="preserve">al, youth work informed approaches, and highlighted the importance of listening to young people’s own accounts rather </w:t>
      </w:r>
      <w:proofErr w:type="spellStart"/>
      <w:r w:rsidR="00C21B34">
        <w:rPr>
          <w:bCs/>
        </w:rPr>
        <w:t>that</w:t>
      </w:r>
      <w:proofErr w:type="spellEnd"/>
      <w:r w:rsidR="00C21B34">
        <w:rPr>
          <w:bCs/>
        </w:rPr>
        <w:t xml:space="preserve"> relying </w:t>
      </w:r>
      <w:r w:rsidR="00212C33">
        <w:rPr>
          <w:bCs/>
        </w:rPr>
        <w:t>solely on institutional data when evaluating their wellbeing.</w:t>
      </w:r>
    </w:p>
    <w:p w14:paraId="669C5E83" w14:textId="4A5C0741" w:rsidR="00EB0EC4" w:rsidRDefault="00AD060D" w:rsidP="00524FB4">
      <w:pPr>
        <w:spacing w:line="480" w:lineRule="auto"/>
        <w:outlineLvl w:val="0"/>
        <w:rPr>
          <w:b/>
        </w:rPr>
      </w:pPr>
      <w:r w:rsidRPr="006A32F6">
        <w:rPr>
          <w:bCs/>
        </w:rPr>
        <w:t xml:space="preserve"> </w:t>
      </w:r>
      <w:r w:rsidR="00EB0EC4">
        <w:rPr>
          <w:b/>
        </w:rPr>
        <w:br w:type="page"/>
      </w:r>
      <w:bookmarkStart w:id="6" w:name="_Toc193355366"/>
      <w:r w:rsidR="00EB0EC4">
        <w:rPr>
          <w:b/>
        </w:rPr>
        <w:t>REFERENCES</w:t>
      </w:r>
      <w:bookmarkEnd w:id="6"/>
      <w:r w:rsidR="00EB0EC4">
        <w:rPr>
          <w:b/>
        </w:rPr>
        <w:t xml:space="preserve"> </w:t>
      </w:r>
    </w:p>
    <w:p w14:paraId="5A29AB0F" w14:textId="68684B06"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Bourdieu, P. (1986) ‘The forms of capital’, in Richardson, J. (ed.) </w:t>
      </w:r>
      <w:r w:rsidRPr="00C94F3A">
        <w:rPr>
          <w:rFonts w:ascii="Times New Roman" w:hAnsi="Times New Roman" w:cs="Times New Roman"/>
          <w:i/>
          <w:iCs/>
        </w:rPr>
        <w:t>Handbook of Theory and Research for the Sociology of Education</w:t>
      </w:r>
      <w:r w:rsidRPr="00C94F3A">
        <w:rPr>
          <w:rFonts w:ascii="Times New Roman" w:hAnsi="Times New Roman" w:cs="Times New Roman"/>
        </w:rPr>
        <w:t>. New York: Greenwood Press, pp. 241–258.</w:t>
      </w:r>
    </w:p>
    <w:p w14:paraId="0B945178"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Children’s Commissioner (2022) </w:t>
      </w:r>
      <w:r w:rsidRPr="00C94F3A">
        <w:rPr>
          <w:rFonts w:ascii="Times New Roman" w:hAnsi="Times New Roman" w:cs="Times New Roman"/>
          <w:i/>
          <w:iCs/>
        </w:rPr>
        <w:t>Children Missing Education</w:t>
      </w:r>
      <w:r w:rsidRPr="00C94F3A">
        <w:rPr>
          <w:rFonts w:ascii="Times New Roman" w:hAnsi="Times New Roman" w:cs="Times New Roman"/>
        </w:rPr>
        <w:t>. London: Children’s Commissioner for England.</w:t>
      </w:r>
    </w:p>
    <w:p w14:paraId="5406151A"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Department for Education (2023) </w:t>
      </w:r>
      <w:r w:rsidRPr="00C94F3A">
        <w:rPr>
          <w:rFonts w:ascii="Times New Roman" w:hAnsi="Times New Roman" w:cs="Times New Roman"/>
          <w:i/>
          <w:iCs/>
        </w:rPr>
        <w:t>Elective Home Education: Guidance for Local Authorities</w:t>
      </w:r>
      <w:r w:rsidRPr="00C94F3A">
        <w:rPr>
          <w:rFonts w:ascii="Times New Roman" w:hAnsi="Times New Roman" w:cs="Times New Roman"/>
        </w:rPr>
        <w:t>. London: DfE.</w:t>
      </w:r>
    </w:p>
    <w:p w14:paraId="08645C3E"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Department for Education (2024) </w:t>
      </w:r>
      <w:r w:rsidRPr="00C94F3A">
        <w:rPr>
          <w:rFonts w:ascii="Times New Roman" w:hAnsi="Times New Roman" w:cs="Times New Roman"/>
          <w:i/>
          <w:iCs/>
        </w:rPr>
        <w:t>Pupil Attendance in Schools</w:t>
      </w:r>
      <w:r w:rsidRPr="00C94F3A">
        <w:rPr>
          <w:rFonts w:ascii="Times New Roman" w:hAnsi="Times New Roman" w:cs="Times New Roman"/>
        </w:rPr>
        <w:t>. London: DfE.</w:t>
      </w:r>
    </w:p>
    <w:p w14:paraId="0D33692E"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Jeffs, T. and Smith, M. (2010) </w:t>
      </w:r>
      <w:r w:rsidRPr="00C94F3A">
        <w:rPr>
          <w:rFonts w:ascii="Times New Roman" w:hAnsi="Times New Roman" w:cs="Times New Roman"/>
          <w:i/>
          <w:iCs/>
        </w:rPr>
        <w:t>Youth Work Practice</w:t>
      </w:r>
      <w:r w:rsidRPr="00C94F3A">
        <w:rPr>
          <w:rFonts w:ascii="Times New Roman" w:hAnsi="Times New Roman" w:cs="Times New Roman"/>
        </w:rPr>
        <w:t xml:space="preserve">. 3rd </w:t>
      </w:r>
      <w:proofErr w:type="spellStart"/>
      <w:r w:rsidRPr="00C94F3A">
        <w:rPr>
          <w:rFonts w:ascii="Times New Roman" w:hAnsi="Times New Roman" w:cs="Times New Roman"/>
        </w:rPr>
        <w:t>edn</w:t>
      </w:r>
      <w:proofErr w:type="spellEnd"/>
      <w:r w:rsidRPr="00C94F3A">
        <w:rPr>
          <w:rFonts w:ascii="Times New Roman" w:hAnsi="Times New Roman" w:cs="Times New Roman"/>
        </w:rPr>
        <w:t>. Basingstoke: Palgrave Macmillan.</w:t>
      </w:r>
    </w:p>
    <w:p w14:paraId="0856B519"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Ritchie, J. and Lewis, J. (2014) </w:t>
      </w:r>
      <w:r w:rsidRPr="00C94F3A">
        <w:rPr>
          <w:rFonts w:ascii="Times New Roman" w:hAnsi="Times New Roman" w:cs="Times New Roman"/>
          <w:i/>
          <w:iCs/>
        </w:rPr>
        <w:t>Qualitative Research Practice</w:t>
      </w:r>
      <w:r w:rsidRPr="00C94F3A">
        <w:rPr>
          <w:rFonts w:ascii="Times New Roman" w:hAnsi="Times New Roman" w:cs="Times New Roman"/>
        </w:rPr>
        <w:t xml:space="preserve">. 2nd </w:t>
      </w:r>
      <w:proofErr w:type="spellStart"/>
      <w:r w:rsidRPr="00C94F3A">
        <w:rPr>
          <w:rFonts w:ascii="Times New Roman" w:hAnsi="Times New Roman" w:cs="Times New Roman"/>
        </w:rPr>
        <w:t>edn</w:t>
      </w:r>
      <w:proofErr w:type="spellEnd"/>
      <w:r w:rsidRPr="00C94F3A">
        <w:rPr>
          <w:rFonts w:ascii="Times New Roman" w:hAnsi="Times New Roman" w:cs="Times New Roman"/>
        </w:rPr>
        <w:t>. London: Sage.</w:t>
      </w:r>
    </w:p>
    <w:p w14:paraId="729E1F44" w14:textId="016E3A15" w:rsidR="00D30552" w:rsidRPr="00C94F3A" w:rsidRDefault="00D30552" w:rsidP="0046379F">
      <w:pPr>
        <w:spacing w:line="480" w:lineRule="auto"/>
        <w:outlineLvl w:val="0"/>
      </w:pPr>
      <w:r w:rsidRPr="00C94F3A">
        <w:t xml:space="preserve">Thomas, A. and Pattison, H. (2007) </w:t>
      </w:r>
      <w:r w:rsidRPr="00C94F3A">
        <w:rPr>
          <w:i/>
          <w:iCs/>
        </w:rPr>
        <w:t>How Children Learn at Home</w:t>
      </w:r>
      <w:r w:rsidRPr="00C94F3A">
        <w:t>. London: Continuum</w:t>
      </w:r>
    </w:p>
    <w:p w14:paraId="791A9E03" w14:textId="77777777" w:rsidR="008751CB" w:rsidRPr="008751CB" w:rsidRDefault="008751CB" w:rsidP="008751CB">
      <w:pPr>
        <w:spacing w:line="480" w:lineRule="auto"/>
        <w:outlineLvl w:val="0"/>
      </w:pPr>
      <w:r w:rsidRPr="008751CB">
        <w:t xml:space="preserve">BERA (2024) </w:t>
      </w:r>
      <w:r w:rsidRPr="008751CB">
        <w:rPr>
          <w:i/>
          <w:iCs/>
        </w:rPr>
        <w:t>Ethical Guidelines for Educational Research</w:t>
      </w:r>
      <w:r w:rsidRPr="008751CB">
        <w:t xml:space="preserve">. 5th </w:t>
      </w:r>
      <w:proofErr w:type="spellStart"/>
      <w:r w:rsidRPr="008751CB">
        <w:t>edn</w:t>
      </w:r>
      <w:proofErr w:type="spellEnd"/>
      <w:r w:rsidRPr="008751CB">
        <w:t>. London: British Educational Research Association.</w:t>
      </w:r>
    </w:p>
    <w:p w14:paraId="0D2CDFE4" w14:textId="77777777" w:rsidR="008751CB" w:rsidRDefault="008751CB" w:rsidP="008751CB">
      <w:pPr>
        <w:spacing w:line="480" w:lineRule="auto"/>
        <w:outlineLvl w:val="0"/>
      </w:pPr>
      <w:r w:rsidRPr="008751CB">
        <w:t xml:space="preserve">Braun, V. and Clarke, V. (2021) </w:t>
      </w:r>
      <w:r w:rsidRPr="008751CB">
        <w:rPr>
          <w:i/>
          <w:iCs/>
        </w:rPr>
        <w:t>Thematic Analysis: A Practical Guide</w:t>
      </w:r>
      <w:r w:rsidRPr="008751CB">
        <w:t>. London: Sage.</w:t>
      </w:r>
    </w:p>
    <w:p w14:paraId="5B471460" w14:textId="2A99794E" w:rsidR="00D30060" w:rsidRPr="008751CB" w:rsidRDefault="00D30060" w:rsidP="008751CB">
      <w:pPr>
        <w:spacing w:line="480" w:lineRule="auto"/>
        <w:outlineLvl w:val="0"/>
      </w:pPr>
      <w:r>
        <w:t>Braun, V. and Clarke, V. (2006) Using thematic analysis in psychology. London: Sage</w:t>
      </w:r>
    </w:p>
    <w:p w14:paraId="0D95D89E" w14:textId="77777777" w:rsidR="008751CB" w:rsidRPr="008751CB" w:rsidRDefault="008751CB" w:rsidP="008751CB">
      <w:pPr>
        <w:spacing w:line="480" w:lineRule="auto"/>
        <w:outlineLvl w:val="0"/>
      </w:pPr>
      <w:r w:rsidRPr="008751CB">
        <w:t xml:space="preserve">Bryman, A. (2016) </w:t>
      </w:r>
      <w:r w:rsidRPr="008751CB">
        <w:rPr>
          <w:i/>
          <w:iCs/>
        </w:rPr>
        <w:t>Social Research Methods</w:t>
      </w:r>
      <w:r w:rsidRPr="008751CB">
        <w:t xml:space="preserve">. 5th </w:t>
      </w:r>
      <w:proofErr w:type="spellStart"/>
      <w:r w:rsidRPr="008751CB">
        <w:t>edn</w:t>
      </w:r>
      <w:proofErr w:type="spellEnd"/>
      <w:r w:rsidRPr="008751CB">
        <w:t>. Oxford: Oxford University Press.</w:t>
      </w:r>
    </w:p>
    <w:p w14:paraId="48A3CE02" w14:textId="77777777" w:rsidR="008751CB" w:rsidRPr="008751CB" w:rsidRDefault="008751CB" w:rsidP="008751CB">
      <w:pPr>
        <w:spacing w:line="480" w:lineRule="auto"/>
        <w:outlineLvl w:val="0"/>
      </w:pPr>
      <w:r w:rsidRPr="008751CB">
        <w:t xml:space="preserve">Clark, A. and Moss, P. (2001) </w:t>
      </w:r>
      <w:r w:rsidRPr="008751CB">
        <w:rPr>
          <w:i/>
          <w:iCs/>
        </w:rPr>
        <w:t>Listening to Young Children: The Mosaic Approach</w:t>
      </w:r>
      <w:r w:rsidRPr="008751CB">
        <w:t>. London: National Children’s Bureau.</w:t>
      </w:r>
    </w:p>
    <w:p w14:paraId="4F230DCC" w14:textId="77777777" w:rsidR="008751CB" w:rsidRPr="008751CB" w:rsidRDefault="008751CB" w:rsidP="008751CB">
      <w:pPr>
        <w:spacing w:line="480" w:lineRule="auto"/>
        <w:outlineLvl w:val="0"/>
      </w:pPr>
      <w:r w:rsidRPr="008751CB">
        <w:t xml:space="preserve">Creswell, J.W. and </w:t>
      </w:r>
      <w:proofErr w:type="spellStart"/>
      <w:r w:rsidRPr="008751CB">
        <w:t>Poth</w:t>
      </w:r>
      <w:proofErr w:type="spellEnd"/>
      <w:r w:rsidRPr="008751CB">
        <w:t xml:space="preserve">, C.N. (2018) </w:t>
      </w:r>
      <w:r w:rsidRPr="008751CB">
        <w:rPr>
          <w:i/>
          <w:iCs/>
        </w:rPr>
        <w:t>Qualitative Inquiry and Research Design: Choosing Among Five Approaches</w:t>
      </w:r>
      <w:r w:rsidRPr="008751CB">
        <w:t xml:space="preserve">. 4th </w:t>
      </w:r>
      <w:proofErr w:type="spellStart"/>
      <w:r w:rsidRPr="008751CB">
        <w:t>edn</w:t>
      </w:r>
      <w:proofErr w:type="spellEnd"/>
      <w:r w:rsidRPr="008751CB">
        <w:t>. London: Sage.</w:t>
      </w:r>
    </w:p>
    <w:p w14:paraId="0ED53A9B" w14:textId="77777777" w:rsidR="008751CB" w:rsidRPr="008751CB" w:rsidRDefault="008751CB" w:rsidP="008751CB">
      <w:pPr>
        <w:spacing w:line="480" w:lineRule="auto"/>
        <w:outlineLvl w:val="0"/>
      </w:pPr>
      <w:r w:rsidRPr="008751CB">
        <w:t xml:space="preserve">Denzin, N.K. (1978) </w:t>
      </w:r>
      <w:r w:rsidRPr="008751CB">
        <w:rPr>
          <w:i/>
          <w:iCs/>
        </w:rPr>
        <w:t>The Research Act: A Theoretical Introduction to Sociological Methods</w:t>
      </w:r>
      <w:r w:rsidRPr="008751CB">
        <w:t xml:space="preserve">. 2nd </w:t>
      </w:r>
      <w:proofErr w:type="spellStart"/>
      <w:r w:rsidRPr="008751CB">
        <w:t>edn</w:t>
      </w:r>
      <w:proofErr w:type="spellEnd"/>
      <w:r w:rsidRPr="008751CB">
        <w:t>. New York: McGraw-Hill.</w:t>
      </w:r>
    </w:p>
    <w:p w14:paraId="25360A93" w14:textId="77777777" w:rsidR="008751CB" w:rsidRPr="008751CB" w:rsidRDefault="008751CB" w:rsidP="008751CB">
      <w:pPr>
        <w:spacing w:line="480" w:lineRule="auto"/>
        <w:outlineLvl w:val="0"/>
      </w:pPr>
      <w:r w:rsidRPr="008751CB">
        <w:t xml:space="preserve">Finlay, L. (2002) ‘Negotiating the swamp: the opportunity and challenge of reflexivity in research practice’, </w:t>
      </w:r>
      <w:r w:rsidRPr="008751CB">
        <w:rPr>
          <w:i/>
          <w:iCs/>
        </w:rPr>
        <w:t>Qualitative Research</w:t>
      </w:r>
      <w:r w:rsidRPr="008751CB">
        <w:t>, 2(2), pp. 209–230.</w:t>
      </w:r>
    </w:p>
    <w:p w14:paraId="25408112" w14:textId="77777777" w:rsidR="008751CB" w:rsidRPr="008751CB" w:rsidRDefault="008751CB" w:rsidP="008751CB">
      <w:pPr>
        <w:spacing w:line="480" w:lineRule="auto"/>
        <w:outlineLvl w:val="0"/>
      </w:pPr>
      <w:r w:rsidRPr="008751CB">
        <w:t xml:space="preserve">Hart, R. (1992) </w:t>
      </w:r>
      <w:r w:rsidRPr="008751CB">
        <w:rPr>
          <w:i/>
          <w:iCs/>
        </w:rPr>
        <w:t>Children’s Participation: From Tokenism to Citizenship</w:t>
      </w:r>
      <w:r w:rsidRPr="008751CB">
        <w:t>. Florence: UNICEF International Child Development Centre.</w:t>
      </w:r>
    </w:p>
    <w:p w14:paraId="36A456F2" w14:textId="33F1657A" w:rsidR="008751CB" w:rsidRPr="008751CB" w:rsidRDefault="008751CB" w:rsidP="008751CB">
      <w:pPr>
        <w:spacing w:line="480" w:lineRule="auto"/>
        <w:outlineLvl w:val="0"/>
      </w:pPr>
      <w:r w:rsidRPr="008751CB">
        <w:t xml:space="preserve">Kvale, S. and Brinkmann, S. (2009) </w:t>
      </w:r>
      <w:r w:rsidRPr="008751CB">
        <w:rPr>
          <w:i/>
          <w:iCs/>
        </w:rPr>
        <w:t>Inter</w:t>
      </w:r>
      <w:r w:rsidR="000F3AD8">
        <w:rPr>
          <w:i/>
          <w:iCs/>
        </w:rPr>
        <w:t xml:space="preserve"> </w:t>
      </w:r>
      <w:r w:rsidRPr="008751CB">
        <w:rPr>
          <w:i/>
          <w:iCs/>
        </w:rPr>
        <w:t>Views: Learning the Craft of Qualitative Research Interviewing</w:t>
      </w:r>
      <w:r w:rsidRPr="008751CB">
        <w:t xml:space="preserve">. 2nd </w:t>
      </w:r>
      <w:proofErr w:type="spellStart"/>
      <w:r w:rsidRPr="008751CB">
        <w:t>edn</w:t>
      </w:r>
      <w:proofErr w:type="spellEnd"/>
      <w:r w:rsidRPr="008751CB">
        <w:t>. London: Sage.</w:t>
      </w:r>
    </w:p>
    <w:p w14:paraId="59A85FB9" w14:textId="77777777" w:rsidR="008751CB" w:rsidRPr="008751CB" w:rsidRDefault="008751CB" w:rsidP="008751CB">
      <w:pPr>
        <w:spacing w:line="480" w:lineRule="auto"/>
        <w:outlineLvl w:val="0"/>
      </w:pPr>
      <w:r w:rsidRPr="008751CB">
        <w:t xml:space="preserve">Liamputtong, P. (2007) </w:t>
      </w:r>
      <w:r w:rsidRPr="008751CB">
        <w:rPr>
          <w:i/>
          <w:iCs/>
        </w:rPr>
        <w:t>Researching the Vulnerable: A Guide to Sensitive Research Methods</w:t>
      </w:r>
      <w:r w:rsidRPr="008751CB">
        <w:t>. London: Sage.</w:t>
      </w:r>
    </w:p>
    <w:p w14:paraId="2B6D25EF" w14:textId="77777777" w:rsidR="008751CB" w:rsidRPr="008751CB" w:rsidRDefault="008751CB" w:rsidP="008751CB">
      <w:pPr>
        <w:spacing w:line="480" w:lineRule="auto"/>
        <w:outlineLvl w:val="0"/>
      </w:pPr>
      <w:r w:rsidRPr="008751CB">
        <w:t xml:space="preserve">National Youth Agency (2019) </w:t>
      </w:r>
      <w:r w:rsidRPr="008751CB">
        <w:rPr>
          <w:i/>
          <w:iCs/>
        </w:rPr>
        <w:t>Ethical Conduct in Youth Work Research</w:t>
      </w:r>
      <w:r w:rsidRPr="008751CB">
        <w:t>. Leicester: NYA.</w:t>
      </w:r>
    </w:p>
    <w:p w14:paraId="1555009E" w14:textId="77777777" w:rsidR="008751CB" w:rsidRPr="008751CB" w:rsidRDefault="008751CB" w:rsidP="008751CB">
      <w:pPr>
        <w:spacing w:line="480" w:lineRule="auto"/>
        <w:outlineLvl w:val="0"/>
      </w:pPr>
      <w:r w:rsidRPr="008751CB">
        <w:t xml:space="preserve">Patton, M.Q. (2015) </w:t>
      </w:r>
      <w:r w:rsidRPr="008751CB">
        <w:rPr>
          <w:i/>
          <w:iCs/>
        </w:rPr>
        <w:t>Qualitative Research and Evaluation Methods</w:t>
      </w:r>
      <w:r w:rsidRPr="008751CB">
        <w:t xml:space="preserve">. 4th </w:t>
      </w:r>
      <w:proofErr w:type="spellStart"/>
      <w:r w:rsidRPr="008751CB">
        <w:t>edn</w:t>
      </w:r>
      <w:proofErr w:type="spellEnd"/>
      <w:r w:rsidRPr="008751CB">
        <w:t>. London: Sage.</w:t>
      </w:r>
    </w:p>
    <w:p w14:paraId="7905691D" w14:textId="77777777" w:rsidR="008751CB" w:rsidRDefault="008751CB" w:rsidP="008751CB">
      <w:pPr>
        <w:spacing w:line="480" w:lineRule="auto"/>
        <w:outlineLvl w:val="0"/>
      </w:pPr>
      <w:r w:rsidRPr="008751CB">
        <w:t xml:space="preserve">Punch, S. (2002) ‘Research with children: the same or different from research with adults?’, </w:t>
      </w:r>
      <w:r w:rsidRPr="008751CB">
        <w:rPr>
          <w:i/>
          <w:iCs/>
        </w:rPr>
        <w:t>Childhood</w:t>
      </w:r>
      <w:r w:rsidRPr="008751CB">
        <w:t>, 9(3), pp. 321–341</w:t>
      </w:r>
    </w:p>
    <w:p w14:paraId="36AC2D10" w14:textId="119357B1" w:rsidR="000260AE" w:rsidRDefault="00D919A4" w:rsidP="008751CB">
      <w:pPr>
        <w:spacing w:line="480" w:lineRule="auto"/>
        <w:outlineLvl w:val="0"/>
      </w:pPr>
      <w:hyperlink r:id="rId9" w:history="1">
        <w:r w:rsidRPr="00796293">
          <w:rPr>
            <w:rStyle w:val="Hyperlink"/>
          </w:rPr>
          <w:t>https://www.youthlink.scot/what-is-youth-work/</w:t>
        </w:r>
      </w:hyperlink>
      <w:r>
        <w:t xml:space="preserve"> accessed 01/06/2026</w:t>
      </w:r>
    </w:p>
    <w:p w14:paraId="2DA49F7D" w14:textId="77777777" w:rsidR="00173C6A" w:rsidRDefault="003D69B8" w:rsidP="00173C6A">
      <w:pPr>
        <w:spacing w:line="480" w:lineRule="auto"/>
        <w:outlineLvl w:val="0"/>
      </w:pPr>
      <w:hyperlink r:id="rId10" w:history="1">
        <w:r w:rsidRPr="00796293">
          <w:rPr>
            <w:rStyle w:val="Hyperlink"/>
          </w:rPr>
          <w:t>http://www.childrenscommissioner.gov-uk</w:t>
        </w:r>
      </w:hyperlink>
      <w:r>
        <w:t xml:space="preserve"> accessed 01/06/2026</w:t>
      </w:r>
    </w:p>
    <w:p w14:paraId="109ECB07" w14:textId="5BE0702A" w:rsidR="00600C20" w:rsidRDefault="0044493E" w:rsidP="00173C6A">
      <w:pPr>
        <w:spacing w:line="480" w:lineRule="auto"/>
        <w:outlineLvl w:val="0"/>
      </w:pPr>
      <w:hyperlink r:id="rId11" w:history="1">
        <w:r w:rsidRPr="00901E57">
          <w:rPr>
            <w:rStyle w:val="Hyperlink"/>
          </w:rPr>
          <w:t>http://www.unicef-irc.org/publications/pdf/.childrens_participation.pdf</w:t>
        </w:r>
      </w:hyperlink>
      <w:r>
        <w:t xml:space="preserve"> / accessed 09/07/2026</w:t>
      </w:r>
    </w:p>
    <w:p w14:paraId="5823B128" w14:textId="6BE3C0B8" w:rsidR="00173C6A" w:rsidRDefault="00173C6A" w:rsidP="00173C6A">
      <w:pPr>
        <w:spacing w:line="480" w:lineRule="auto"/>
        <w:outlineLvl w:val="0"/>
      </w:pPr>
      <w:r w:rsidRPr="00173C6A">
        <w:t xml:space="preserve">Hammond Price, C. and Bond, C. (2026) ‘An exploration of approaches to supporting young people experiencing emotionally based school avoidance (EBSA) in a social, emotional and mental health (SEMH) school’, </w:t>
      </w:r>
      <w:r w:rsidRPr="00173C6A">
        <w:rPr>
          <w:i/>
          <w:iCs/>
        </w:rPr>
        <w:t>Educational Psychology in Practice</w:t>
      </w:r>
      <w:r w:rsidRPr="00173C6A">
        <w:t>, 42(2).  </w:t>
      </w:r>
    </w:p>
    <w:p w14:paraId="5BDBEFE0" w14:textId="797FD824" w:rsidR="00113A15" w:rsidRPr="00173C6A" w:rsidRDefault="00113A15" w:rsidP="00173C6A">
      <w:pPr>
        <w:spacing w:line="480" w:lineRule="auto"/>
        <w:outlineLvl w:val="0"/>
      </w:pPr>
      <w:r>
        <w:t xml:space="preserve">Viner, R.M. Pearce, A and Hope, S (2026) </w:t>
      </w:r>
      <w:r w:rsidR="007B4050">
        <w:t xml:space="preserve">The impact of school absence on mental health in children and young people </w:t>
      </w:r>
    </w:p>
    <w:p w14:paraId="3EDB0B94" w14:textId="1B6536CD" w:rsidR="00460B98" w:rsidRDefault="00927AEA" w:rsidP="00927AEA">
      <w:pPr>
        <w:spacing w:line="480" w:lineRule="auto"/>
        <w:outlineLvl w:val="0"/>
      </w:pPr>
      <w:r w:rsidRPr="00927AEA">
        <w:t xml:space="preserve">Finning, K. et al. (2019) ‘The association between child and </w:t>
      </w:r>
      <w:proofErr w:type="spellStart"/>
      <w:r w:rsidRPr="00927AEA">
        <w:t>adol</w:t>
      </w:r>
      <w:proofErr w:type="spellEnd"/>
    </w:p>
    <w:p w14:paraId="053752A9" w14:textId="027ADF74" w:rsidR="00927AEA" w:rsidRDefault="00927AEA" w:rsidP="00927AEA">
      <w:pPr>
        <w:spacing w:line="480" w:lineRule="auto"/>
        <w:outlineLvl w:val="0"/>
      </w:pPr>
      <w:proofErr w:type="spellStart"/>
      <w:r w:rsidRPr="00927AEA">
        <w:t>escent</w:t>
      </w:r>
      <w:proofErr w:type="spellEnd"/>
      <w:r w:rsidRPr="00927AEA">
        <w:t xml:space="preserve"> depression and poor attendance at school: A systematic review and meta-analysis’, </w:t>
      </w:r>
      <w:r w:rsidRPr="00927AEA">
        <w:rPr>
          <w:i/>
          <w:iCs/>
        </w:rPr>
        <w:t>Journal of Affective Disorders</w:t>
      </w:r>
      <w:r w:rsidRPr="00927AEA">
        <w:t>, 245, pp. 928–938.</w:t>
      </w:r>
    </w:p>
    <w:p w14:paraId="64095327" w14:textId="77777777" w:rsidR="007A5230" w:rsidRDefault="007A5230" w:rsidP="007A5230">
      <w:pPr>
        <w:spacing w:line="480" w:lineRule="auto"/>
        <w:outlineLvl w:val="0"/>
      </w:pPr>
      <w:r w:rsidRPr="005C45B5">
        <w:t>Kunzman, R. and Gaither, M. (2020)</w:t>
      </w:r>
      <w:r w:rsidRPr="007A5230">
        <w:t xml:space="preserve"> </w:t>
      </w:r>
      <w:r w:rsidRPr="007A5230">
        <w:rPr>
          <w:i/>
          <w:iCs/>
        </w:rPr>
        <w:t>Homeschooling: An updated comprehensive survey of the research</w:t>
      </w:r>
      <w:r w:rsidRPr="007A5230">
        <w:t>, which argues that outcomes for young people educated outside school are varied and influenced by the quality of support, relationships and opportunities available rather than school attendance alone</w:t>
      </w:r>
    </w:p>
    <w:p w14:paraId="07EA60A3" w14:textId="5C2C374B" w:rsidR="0038392D" w:rsidRPr="007A5230" w:rsidRDefault="0038392D" w:rsidP="007A5230">
      <w:pPr>
        <w:spacing w:line="480" w:lineRule="auto"/>
        <w:outlineLvl w:val="0"/>
      </w:pPr>
      <w:r w:rsidRPr="00045595">
        <w:t>Masten, A.S. (2014)</w:t>
      </w:r>
      <w:r w:rsidRPr="0038392D">
        <w:t xml:space="preserve"> </w:t>
      </w:r>
      <w:r w:rsidRPr="0038392D">
        <w:rPr>
          <w:i/>
          <w:iCs/>
        </w:rPr>
        <w:t>Ordinary Magic: Resilience in Development</w:t>
      </w:r>
      <w:r w:rsidRPr="0038392D">
        <w:t>.</w:t>
      </w:r>
    </w:p>
    <w:p w14:paraId="4D9FA422" w14:textId="77777777" w:rsidR="007A5230" w:rsidRPr="00927AEA" w:rsidRDefault="007A5230" w:rsidP="00927AEA">
      <w:pPr>
        <w:spacing w:line="480" w:lineRule="auto"/>
        <w:outlineLvl w:val="0"/>
      </w:pPr>
    </w:p>
    <w:p w14:paraId="4A5FCA38" w14:textId="6C501FAC" w:rsidR="00994263" w:rsidRDefault="00994263" w:rsidP="008751CB">
      <w:pPr>
        <w:spacing w:line="480" w:lineRule="auto"/>
        <w:outlineLvl w:val="0"/>
      </w:pPr>
    </w:p>
    <w:p w14:paraId="191486EC" w14:textId="77777777" w:rsidR="00173C6A" w:rsidRDefault="00173C6A" w:rsidP="008751CB">
      <w:pPr>
        <w:spacing w:line="480" w:lineRule="auto"/>
        <w:outlineLvl w:val="0"/>
      </w:pPr>
    </w:p>
    <w:p w14:paraId="7294E6AD" w14:textId="77777777" w:rsidR="00D919A4" w:rsidRPr="008751CB" w:rsidRDefault="00D919A4" w:rsidP="008751CB">
      <w:pPr>
        <w:spacing w:line="480" w:lineRule="auto"/>
        <w:outlineLvl w:val="0"/>
      </w:pPr>
    </w:p>
    <w:p w14:paraId="2A42FA58" w14:textId="77777777" w:rsidR="008751CB" w:rsidRPr="0046379F" w:rsidRDefault="008751CB" w:rsidP="0046379F">
      <w:pPr>
        <w:spacing w:line="480" w:lineRule="auto"/>
        <w:outlineLvl w:val="0"/>
        <w:rPr>
          <w:b/>
        </w:rPr>
      </w:pPr>
    </w:p>
    <w:p w14:paraId="6C144B6C" w14:textId="77777777" w:rsidR="00610A8C" w:rsidRDefault="00610A8C" w:rsidP="00610A8C">
      <w:pPr>
        <w:spacing w:line="480" w:lineRule="auto"/>
        <w:ind w:left="360"/>
        <w:outlineLvl w:val="0"/>
        <w:rPr>
          <w:b/>
        </w:rPr>
      </w:pPr>
    </w:p>
    <w:p w14:paraId="17E2B1B1" w14:textId="77777777" w:rsidR="00EB0EC4" w:rsidRPr="004A2E9F" w:rsidRDefault="00EB0EC4" w:rsidP="00EB0EC4">
      <w:pPr>
        <w:spacing w:line="480" w:lineRule="auto"/>
      </w:pPr>
    </w:p>
    <w:p w14:paraId="6EC78E91" w14:textId="77777777" w:rsidR="00EB0EC4" w:rsidRPr="004A2E9F" w:rsidRDefault="00EB0EC4" w:rsidP="00EB0EC4">
      <w:pPr>
        <w:spacing w:line="480" w:lineRule="auto"/>
      </w:pPr>
    </w:p>
    <w:p w14:paraId="6136189D" w14:textId="7CA9B082" w:rsidR="00EB0EC4" w:rsidRPr="00C26D16" w:rsidRDefault="00EB0EC4" w:rsidP="00EB0EC4">
      <w:pPr>
        <w:spacing w:line="480" w:lineRule="auto"/>
        <w:rPr>
          <w:b/>
        </w:rPr>
      </w:pPr>
    </w:p>
    <w:p w14:paraId="0265573B" w14:textId="77777777" w:rsidR="00EB0EC4" w:rsidRDefault="00EB0EC4"/>
    <w:sectPr w:rsidR="00EB0E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59C58" w14:textId="77777777" w:rsidR="002D1CF8" w:rsidRDefault="002D1CF8" w:rsidP="00A06292">
      <w:r>
        <w:separator/>
      </w:r>
    </w:p>
  </w:endnote>
  <w:endnote w:type="continuationSeparator" w:id="0">
    <w:p w14:paraId="65176B75" w14:textId="77777777" w:rsidR="002D1CF8" w:rsidRDefault="002D1CF8" w:rsidP="00A06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B7D50" w14:textId="77777777" w:rsidR="002D1CF8" w:rsidRDefault="002D1CF8" w:rsidP="00A06292">
      <w:r>
        <w:separator/>
      </w:r>
    </w:p>
  </w:footnote>
  <w:footnote w:type="continuationSeparator" w:id="0">
    <w:p w14:paraId="5BFC1FB9" w14:textId="77777777" w:rsidR="002D1CF8" w:rsidRDefault="002D1CF8" w:rsidP="00A062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 w15:restartNumberingAfterBreak="0">
    <w:nsid w:val="6CB249E8"/>
    <w:multiLevelType w:val="multilevel"/>
    <w:tmpl w:val="A044FA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3896276">
    <w:abstractNumId w:val="0"/>
  </w:num>
  <w:num w:numId="2" w16cid:durableId="816461253">
    <w:abstractNumId w:val="2"/>
  </w:num>
  <w:num w:numId="3" w16cid:durableId="99873448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327"/>
    <w:rsid w:val="000051E0"/>
    <w:rsid w:val="0001114B"/>
    <w:rsid w:val="00012765"/>
    <w:rsid w:val="0001382D"/>
    <w:rsid w:val="00017F2D"/>
    <w:rsid w:val="0002104F"/>
    <w:rsid w:val="0002549C"/>
    <w:rsid w:val="000260AE"/>
    <w:rsid w:val="0002627A"/>
    <w:rsid w:val="00031C0C"/>
    <w:rsid w:val="00040BBC"/>
    <w:rsid w:val="00045595"/>
    <w:rsid w:val="00052A22"/>
    <w:rsid w:val="00053BEF"/>
    <w:rsid w:val="00061B23"/>
    <w:rsid w:val="00063F42"/>
    <w:rsid w:val="00064116"/>
    <w:rsid w:val="0007020A"/>
    <w:rsid w:val="00082837"/>
    <w:rsid w:val="000839E5"/>
    <w:rsid w:val="000844A0"/>
    <w:rsid w:val="000864FA"/>
    <w:rsid w:val="000966EA"/>
    <w:rsid w:val="000A0411"/>
    <w:rsid w:val="000A1B38"/>
    <w:rsid w:val="000B4FA4"/>
    <w:rsid w:val="000B7B0F"/>
    <w:rsid w:val="000C40D8"/>
    <w:rsid w:val="000F2A03"/>
    <w:rsid w:val="000F3AD8"/>
    <w:rsid w:val="000F4678"/>
    <w:rsid w:val="000F4E4D"/>
    <w:rsid w:val="000F5797"/>
    <w:rsid w:val="000F595F"/>
    <w:rsid w:val="001060F2"/>
    <w:rsid w:val="00113A15"/>
    <w:rsid w:val="001213FC"/>
    <w:rsid w:val="0012507B"/>
    <w:rsid w:val="001336ED"/>
    <w:rsid w:val="00137BB2"/>
    <w:rsid w:val="00144FA2"/>
    <w:rsid w:val="00147385"/>
    <w:rsid w:val="00147DC0"/>
    <w:rsid w:val="00147F47"/>
    <w:rsid w:val="001510BD"/>
    <w:rsid w:val="001517A5"/>
    <w:rsid w:val="001559CB"/>
    <w:rsid w:val="00155DC7"/>
    <w:rsid w:val="00160270"/>
    <w:rsid w:val="00163259"/>
    <w:rsid w:val="00173C6A"/>
    <w:rsid w:val="00174288"/>
    <w:rsid w:val="001753BB"/>
    <w:rsid w:val="001761CD"/>
    <w:rsid w:val="00176D20"/>
    <w:rsid w:val="00180C90"/>
    <w:rsid w:val="00184304"/>
    <w:rsid w:val="00185CF0"/>
    <w:rsid w:val="0018737A"/>
    <w:rsid w:val="001904CC"/>
    <w:rsid w:val="00192A8B"/>
    <w:rsid w:val="0019416E"/>
    <w:rsid w:val="001943B0"/>
    <w:rsid w:val="001A10F3"/>
    <w:rsid w:val="001A4D3F"/>
    <w:rsid w:val="001B2AB0"/>
    <w:rsid w:val="001B2D14"/>
    <w:rsid w:val="001B47E6"/>
    <w:rsid w:val="001B60FE"/>
    <w:rsid w:val="001C0805"/>
    <w:rsid w:val="001C1E69"/>
    <w:rsid w:val="001C2291"/>
    <w:rsid w:val="001C4008"/>
    <w:rsid w:val="001C58D7"/>
    <w:rsid w:val="001E29F7"/>
    <w:rsid w:val="001E2C07"/>
    <w:rsid w:val="001E63FE"/>
    <w:rsid w:val="00201C2C"/>
    <w:rsid w:val="00206B4A"/>
    <w:rsid w:val="00212C33"/>
    <w:rsid w:val="00214C4D"/>
    <w:rsid w:val="00215EFF"/>
    <w:rsid w:val="002160EF"/>
    <w:rsid w:val="0021680C"/>
    <w:rsid w:val="002245DA"/>
    <w:rsid w:val="00230DF2"/>
    <w:rsid w:val="00230F7C"/>
    <w:rsid w:val="002318E0"/>
    <w:rsid w:val="00231D09"/>
    <w:rsid w:val="0023226C"/>
    <w:rsid w:val="00234337"/>
    <w:rsid w:val="00234366"/>
    <w:rsid w:val="002407CB"/>
    <w:rsid w:val="002432D8"/>
    <w:rsid w:val="00243951"/>
    <w:rsid w:val="002440B6"/>
    <w:rsid w:val="0024788A"/>
    <w:rsid w:val="002722E6"/>
    <w:rsid w:val="002763DC"/>
    <w:rsid w:val="002804E3"/>
    <w:rsid w:val="00280C2F"/>
    <w:rsid w:val="00282FBE"/>
    <w:rsid w:val="00284950"/>
    <w:rsid w:val="00287C8F"/>
    <w:rsid w:val="002968C3"/>
    <w:rsid w:val="002A1B6F"/>
    <w:rsid w:val="002A3302"/>
    <w:rsid w:val="002A5539"/>
    <w:rsid w:val="002C0997"/>
    <w:rsid w:val="002C1DC9"/>
    <w:rsid w:val="002C4F5D"/>
    <w:rsid w:val="002C5069"/>
    <w:rsid w:val="002C5302"/>
    <w:rsid w:val="002C533D"/>
    <w:rsid w:val="002C6678"/>
    <w:rsid w:val="002D1CF8"/>
    <w:rsid w:val="002D3480"/>
    <w:rsid w:val="002E22E2"/>
    <w:rsid w:val="002E3245"/>
    <w:rsid w:val="002E407A"/>
    <w:rsid w:val="002F1784"/>
    <w:rsid w:val="002F260B"/>
    <w:rsid w:val="002F3781"/>
    <w:rsid w:val="00304399"/>
    <w:rsid w:val="00306495"/>
    <w:rsid w:val="00316884"/>
    <w:rsid w:val="003172E6"/>
    <w:rsid w:val="00322DBF"/>
    <w:rsid w:val="0032331D"/>
    <w:rsid w:val="00327BB3"/>
    <w:rsid w:val="00331886"/>
    <w:rsid w:val="0033739D"/>
    <w:rsid w:val="0034687C"/>
    <w:rsid w:val="00353431"/>
    <w:rsid w:val="00356FBC"/>
    <w:rsid w:val="003606C1"/>
    <w:rsid w:val="00362AA5"/>
    <w:rsid w:val="00364FC0"/>
    <w:rsid w:val="003726FC"/>
    <w:rsid w:val="0038392D"/>
    <w:rsid w:val="00385D46"/>
    <w:rsid w:val="00387F61"/>
    <w:rsid w:val="003902BF"/>
    <w:rsid w:val="00393C25"/>
    <w:rsid w:val="00394688"/>
    <w:rsid w:val="003955BE"/>
    <w:rsid w:val="003A1291"/>
    <w:rsid w:val="003A75B0"/>
    <w:rsid w:val="003A7690"/>
    <w:rsid w:val="003B3204"/>
    <w:rsid w:val="003B3B5C"/>
    <w:rsid w:val="003C0002"/>
    <w:rsid w:val="003C3267"/>
    <w:rsid w:val="003D153E"/>
    <w:rsid w:val="003D1939"/>
    <w:rsid w:val="003D69B8"/>
    <w:rsid w:val="003E402F"/>
    <w:rsid w:val="003F1B1B"/>
    <w:rsid w:val="003F2C97"/>
    <w:rsid w:val="003F68B4"/>
    <w:rsid w:val="00401FCA"/>
    <w:rsid w:val="00404BD0"/>
    <w:rsid w:val="0040560A"/>
    <w:rsid w:val="004061DD"/>
    <w:rsid w:val="004077C2"/>
    <w:rsid w:val="0041775C"/>
    <w:rsid w:val="00425650"/>
    <w:rsid w:val="00436630"/>
    <w:rsid w:val="004379EE"/>
    <w:rsid w:val="00437B3A"/>
    <w:rsid w:val="00442334"/>
    <w:rsid w:val="00442A24"/>
    <w:rsid w:val="00443263"/>
    <w:rsid w:val="004438C8"/>
    <w:rsid w:val="0044493E"/>
    <w:rsid w:val="00445E20"/>
    <w:rsid w:val="004468CB"/>
    <w:rsid w:val="00447F7D"/>
    <w:rsid w:val="00450713"/>
    <w:rsid w:val="004508CE"/>
    <w:rsid w:val="004509FC"/>
    <w:rsid w:val="00460B98"/>
    <w:rsid w:val="0046379F"/>
    <w:rsid w:val="004669DE"/>
    <w:rsid w:val="00467898"/>
    <w:rsid w:val="00480217"/>
    <w:rsid w:val="00486D3A"/>
    <w:rsid w:val="00486E5C"/>
    <w:rsid w:val="00493F12"/>
    <w:rsid w:val="004A5F20"/>
    <w:rsid w:val="004A619D"/>
    <w:rsid w:val="004B0BE0"/>
    <w:rsid w:val="004B2EE8"/>
    <w:rsid w:val="004B3239"/>
    <w:rsid w:val="004B363B"/>
    <w:rsid w:val="004C110A"/>
    <w:rsid w:val="004D095A"/>
    <w:rsid w:val="004D1BA6"/>
    <w:rsid w:val="004D5364"/>
    <w:rsid w:val="004E0F07"/>
    <w:rsid w:val="004E3A97"/>
    <w:rsid w:val="004E5308"/>
    <w:rsid w:val="004E53BF"/>
    <w:rsid w:val="004E7E88"/>
    <w:rsid w:val="004F2D03"/>
    <w:rsid w:val="004F3196"/>
    <w:rsid w:val="004F360E"/>
    <w:rsid w:val="004F4224"/>
    <w:rsid w:val="005005FA"/>
    <w:rsid w:val="00502137"/>
    <w:rsid w:val="005143D9"/>
    <w:rsid w:val="005152AA"/>
    <w:rsid w:val="00515CF6"/>
    <w:rsid w:val="00517292"/>
    <w:rsid w:val="00521D05"/>
    <w:rsid w:val="00524FB4"/>
    <w:rsid w:val="005254E9"/>
    <w:rsid w:val="00527251"/>
    <w:rsid w:val="00533662"/>
    <w:rsid w:val="00541A30"/>
    <w:rsid w:val="0054343D"/>
    <w:rsid w:val="00552DA3"/>
    <w:rsid w:val="00554E97"/>
    <w:rsid w:val="00555789"/>
    <w:rsid w:val="00555EE3"/>
    <w:rsid w:val="005612E2"/>
    <w:rsid w:val="005654A1"/>
    <w:rsid w:val="0056573A"/>
    <w:rsid w:val="00566FD1"/>
    <w:rsid w:val="00571080"/>
    <w:rsid w:val="00580FA2"/>
    <w:rsid w:val="0058412A"/>
    <w:rsid w:val="00586E03"/>
    <w:rsid w:val="005A1BBE"/>
    <w:rsid w:val="005B122F"/>
    <w:rsid w:val="005B1E45"/>
    <w:rsid w:val="005B4156"/>
    <w:rsid w:val="005B4485"/>
    <w:rsid w:val="005B528E"/>
    <w:rsid w:val="005B7D6B"/>
    <w:rsid w:val="005C21DD"/>
    <w:rsid w:val="005C45B5"/>
    <w:rsid w:val="005C5090"/>
    <w:rsid w:val="005C72EE"/>
    <w:rsid w:val="005D3346"/>
    <w:rsid w:val="005D68CA"/>
    <w:rsid w:val="005E422F"/>
    <w:rsid w:val="005F2103"/>
    <w:rsid w:val="005F3727"/>
    <w:rsid w:val="005F7A33"/>
    <w:rsid w:val="005F7FA1"/>
    <w:rsid w:val="00600C20"/>
    <w:rsid w:val="00610A8C"/>
    <w:rsid w:val="00611E22"/>
    <w:rsid w:val="00612889"/>
    <w:rsid w:val="006144E6"/>
    <w:rsid w:val="00614827"/>
    <w:rsid w:val="00615CB6"/>
    <w:rsid w:val="006176E9"/>
    <w:rsid w:val="00620054"/>
    <w:rsid w:val="00621706"/>
    <w:rsid w:val="00623C2B"/>
    <w:rsid w:val="00623C2D"/>
    <w:rsid w:val="006415C4"/>
    <w:rsid w:val="006460B3"/>
    <w:rsid w:val="006467A2"/>
    <w:rsid w:val="006543DF"/>
    <w:rsid w:val="00655A1B"/>
    <w:rsid w:val="00660019"/>
    <w:rsid w:val="00660B5A"/>
    <w:rsid w:val="0066372C"/>
    <w:rsid w:val="00665146"/>
    <w:rsid w:val="00677DB9"/>
    <w:rsid w:val="006837A2"/>
    <w:rsid w:val="006857A7"/>
    <w:rsid w:val="00694547"/>
    <w:rsid w:val="0069463E"/>
    <w:rsid w:val="0069602B"/>
    <w:rsid w:val="006A0E24"/>
    <w:rsid w:val="006A1533"/>
    <w:rsid w:val="006A2755"/>
    <w:rsid w:val="006A32F6"/>
    <w:rsid w:val="006A6F33"/>
    <w:rsid w:val="006A71B2"/>
    <w:rsid w:val="006B0783"/>
    <w:rsid w:val="006B2352"/>
    <w:rsid w:val="006B2955"/>
    <w:rsid w:val="006C3595"/>
    <w:rsid w:val="006D3CEB"/>
    <w:rsid w:val="006D502A"/>
    <w:rsid w:val="006D6554"/>
    <w:rsid w:val="006D7CCA"/>
    <w:rsid w:val="006E42B0"/>
    <w:rsid w:val="006E7CCC"/>
    <w:rsid w:val="006F30FC"/>
    <w:rsid w:val="006F33AD"/>
    <w:rsid w:val="0070064F"/>
    <w:rsid w:val="007070B7"/>
    <w:rsid w:val="007073B8"/>
    <w:rsid w:val="007111C5"/>
    <w:rsid w:val="007147C4"/>
    <w:rsid w:val="00715996"/>
    <w:rsid w:val="00715A63"/>
    <w:rsid w:val="00717194"/>
    <w:rsid w:val="00717D84"/>
    <w:rsid w:val="007275E2"/>
    <w:rsid w:val="00727A81"/>
    <w:rsid w:val="00745D15"/>
    <w:rsid w:val="00753B21"/>
    <w:rsid w:val="00760C3E"/>
    <w:rsid w:val="007612FF"/>
    <w:rsid w:val="007621AB"/>
    <w:rsid w:val="00762A99"/>
    <w:rsid w:val="007700AA"/>
    <w:rsid w:val="0077217F"/>
    <w:rsid w:val="007751C0"/>
    <w:rsid w:val="00775EC7"/>
    <w:rsid w:val="00776E46"/>
    <w:rsid w:val="007800BA"/>
    <w:rsid w:val="007810B5"/>
    <w:rsid w:val="00791BCB"/>
    <w:rsid w:val="00792903"/>
    <w:rsid w:val="00796F3F"/>
    <w:rsid w:val="00797BED"/>
    <w:rsid w:val="007A357A"/>
    <w:rsid w:val="007A382D"/>
    <w:rsid w:val="007A5230"/>
    <w:rsid w:val="007B4050"/>
    <w:rsid w:val="007B4210"/>
    <w:rsid w:val="007B4E75"/>
    <w:rsid w:val="007B610D"/>
    <w:rsid w:val="007C09DB"/>
    <w:rsid w:val="007C3DE3"/>
    <w:rsid w:val="007C7BFB"/>
    <w:rsid w:val="007E04BA"/>
    <w:rsid w:val="007E4E9E"/>
    <w:rsid w:val="007E743C"/>
    <w:rsid w:val="007E7D92"/>
    <w:rsid w:val="007F47F1"/>
    <w:rsid w:val="007F6C4A"/>
    <w:rsid w:val="007F6F21"/>
    <w:rsid w:val="00802903"/>
    <w:rsid w:val="00813492"/>
    <w:rsid w:val="008141A9"/>
    <w:rsid w:val="00820F54"/>
    <w:rsid w:val="008215A6"/>
    <w:rsid w:val="00822C75"/>
    <w:rsid w:val="00826882"/>
    <w:rsid w:val="008307E6"/>
    <w:rsid w:val="008376B7"/>
    <w:rsid w:val="0084068C"/>
    <w:rsid w:val="0084188B"/>
    <w:rsid w:val="008455C8"/>
    <w:rsid w:val="0085676F"/>
    <w:rsid w:val="008642A7"/>
    <w:rsid w:val="008716F1"/>
    <w:rsid w:val="008751CB"/>
    <w:rsid w:val="0087621E"/>
    <w:rsid w:val="00877F26"/>
    <w:rsid w:val="0088313D"/>
    <w:rsid w:val="0088773F"/>
    <w:rsid w:val="00891F38"/>
    <w:rsid w:val="00894F9A"/>
    <w:rsid w:val="008A36C8"/>
    <w:rsid w:val="008A71A4"/>
    <w:rsid w:val="008B2686"/>
    <w:rsid w:val="008B615E"/>
    <w:rsid w:val="008B65CC"/>
    <w:rsid w:val="008C44D5"/>
    <w:rsid w:val="008C4E82"/>
    <w:rsid w:val="008C6F6D"/>
    <w:rsid w:val="008C70B9"/>
    <w:rsid w:val="008D6BC4"/>
    <w:rsid w:val="008D6FD0"/>
    <w:rsid w:val="008E2798"/>
    <w:rsid w:val="008E77D2"/>
    <w:rsid w:val="00901A28"/>
    <w:rsid w:val="00907EE6"/>
    <w:rsid w:val="009140FC"/>
    <w:rsid w:val="00916DE5"/>
    <w:rsid w:val="00917275"/>
    <w:rsid w:val="0092087D"/>
    <w:rsid w:val="00926398"/>
    <w:rsid w:val="009264B7"/>
    <w:rsid w:val="00927AEA"/>
    <w:rsid w:val="00931E13"/>
    <w:rsid w:val="009328F1"/>
    <w:rsid w:val="00943595"/>
    <w:rsid w:val="009461E7"/>
    <w:rsid w:val="00946E2C"/>
    <w:rsid w:val="00947683"/>
    <w:rsid w:val="00953A08"/>
    <w:rsid w:val="00954220"/>
    <w:rsid w:val="0095622D"/>
    <w:rsid w:val="00957264"/>
    <w:rsid w:val="00957B2B"/>
    <w:rsid w:val="0096514C"/>
    <w:rsid w:val="009658D4"/>
    <w:rsid w:val="0097156A"/>
    <w:rsid w:val="0097387C"/>
    <w:rsid w:val="009759E9"/>
    <w:rsid w:val="009774A6"/>
    <w:rsid w:val="009870A8"/>
    <w:rsid w:val="00987281"/>
    <w:rsid w:val="00994263"/>
    <w:rsid w:val="00995A89"/>
    <w:rsid w:val="009A63C0"/>
    <w:rsid w:val="009A6754"/>
    <w:rsid w:val="009B3FE3"/>
    <w:rsid w:val="009B5DDA"/>
    <w:rsid w:val="009C1ACC"/>
    <w:rsid w:val="009C3323"/>
    <w:rsid w:val="009D3BDB"/>
    <w:rsid w:val="009D411C"/>
    <w:rsid w:val="009D6C26"/>
    <w:rsid w:val="009E206E"/>
    <w:rsid w:val="009E598F"/>
    <w:rsid w:val="009F1880"/>
    <w:rsid w:val="009F4017"/>
    <w:rsid w:val="00A00AA3"/>
    <w:rsid w:val="00A06292"/>
    <w:rsid w:val="00A07228"/>
    <w:rsid w:val="00A11958"/>
    <w:rsid w:val="00A12017"/>
    <w:rsid w:val="00A30701"/>
    <w:rsid w:val="00A54BEC"/>
    <w:rsid w:val="00A56ABF"/>
    <w:rsid w:val="00A64B72"/>
    <w:rsid w:val="00A727BD"/>
    <w:rsid w:val="00A733E3"/>
    <w:rsid w:val="00A76B81"/>
    <w:rsid w:val="00A83C27"/>
    <w:rsid w:val="00A92252"/>
    <w:rsid w:val="00A93124"/>
    <w:rsid w:val="00A95D8E"/>
    <w:rsid w:val="00AA1CDF"/>
    <w:rsid w:val="00AB3485"/>
    <w:rsid w:val="00AB59C0"/>
    <w:rsid w:val="00AC17E4"/>
    <w:rsid w:val="00AC4463"/>
    <w:rsid w:val="00AD060D"/>
    <w:rsid w:val="00AD1042"/>
    <w:rsid w:val="00AD1D2B"/>
    <w:rsid w:val="00AE255D"/>
    <w:rsid w:val="00AE40F1"/>
    <w:rsid w:val="00AF1BB3"/>
    <w:rsid w:val="00AF7DAA"/>
    <w:rsid w:val="00B041B9"/>
    <w:rsid w:val="00B067DD"/>
    <w:rsid w:val="00B06CA3"/>
    <w:rsid w:val="00B16314"/>
    <w:rsid w:val="00B20D5D"/>
    <w:rsid w:val="00B214DF"/>
    <w:rsid w:val="00B22017"/>
    <w:rsid w:val="00B22711"/>
    <w:rsid w:val="00B234CF"/>
    <w:rsid w:val="00B327FB"/>
    <w:rsid w:val="00B32EDD"/>
    <w:rsid w:val="00B338F4"/>
    <w:rsid w:val="00B3417A"/>
    <w:rsid w:val="00B371CC"/>
    <w:rsid w:val="00B42725"/>
    <w:rsid w:val="00B50B63"/>
    <w:rsid w:val="00B51CC2"/>
    <w:rsid w:val="00B543FF"/>
    <w:rsid w:val="00B65C1E"/>
    <w:rsid w:val="00B702C1"/>
    <w:rsid w:val="00B711B0"/>
    <w:rsid w:val="00B71C9E"/>
    <w:rsid w:val="00B747B2"/>
    <w:rsid w:val="00B749C3"/>
    <w:rsid w:val="00B768F8"/>
    <w:rsid w:val="00B77A08"/>
    <w:rsid w:val="00B77D2F"/>
    <w:rsid w:val="00B80782"/>
    <w:rsid w:val="00B821BB"/>
    <w:rsid w:val="00B82976"/>
    <w:rsid w:val="00B83849"/>
    <w:rsid w:val="00B83937"/>
    <w:rsid w:val="00B84B25"/>
    <w:rsid w:val="00B85D42"/>
    <w:rsid w:val="00B87F6D"/>
    <w:rsid w:val="00B920C4"/>
    <w:rsid w:val="00B923C4"/>
    <w:rsid w:val="00B92BAA"/>
    <w:rsid w:val="00B93712"/>
    <w:rsid w:val="00B95AE9"/>
    <w:rsid w:val="00B95DD6"/>
    <w:rsid w:val="00BA0EC1"/>
    <w:rsid w:val="00BA2124"/>
    <w:rsid w:val="00BA2B48"/>
    <w:rsid w:val="00BA30BE"/>
    <w:rsid w:val="00BA4A7B"/>
    <w:rsid w:val="00BB036D"/>
    <w:rsid w:val="00BB7D3D"/>
    <w:rsid w:val="00BC14A3"/>
    <w:rsid w:val="00BC303C"/>
    <w:rsid w:val="00BC3176"/>
    <w:rsid w:val="00BC6CCC"/>
    <w:rsid w:val="00BD01F7"/>
    <w:rsid w:val="00BD7303"/>
    <w:rsid w:val="00BD7FA6"/>
    <w:rsid w:val="00BE0C61"/>
    <w:rsid w:val="00BE33DA"/>
    <w:rsid w:val="00BE73F9"/>
    <w:rsid w:val="00BE760C"/>
    <w:rsid w:val="00BF5E01"/>
    <w:rsid w:val="00BF62DF"/>
    <w:rsid w:val="00C13CBB"/>
    <w:rsid w:val="00C174B8"/>
    <w:rsid w:val="00C17B13"/>
    <w:rsid w:val="00C210F5"/>
    <w:rsid w:val="00C21B34"/>
    <w:rsid w:val="00C223A2"/>
    <w:rsid w:val="00C23A49"/>
    <w:rsid w:val="00C2664D"/>
    <w:rsid w:val="00C31465"/>
    <w:rsid w:val="00C31EF1"/>
    <w:rsid w:val="00C40B4D"/>
    <w:rsid w:val="00C40BDC"/>
    <w:rsid w:val="00C45D68"/>
    <w:rsid w:val="00C464F3"/>
    <w:rsid w:val="00C52981"/>
    <w:rsid w:val="00C55A96"/>
    <w:rsid w:val="00C64D3C"/>
    <w:rsid w:val="00C73617"/>
    <w:rsid w:val="00C744BA"/>
    <w:rsid w:val="00C81A8B"/>
    <w:rsid w:val="00C87858"/>
    <w:rsid w:val="00C94F3A"/>
    <w:rsid w:val="00C951FF"/>
    <w:rsid w:val="00C973A9"/>
    <w:rsid w:val="00CA0174"/>
    <w:rsid w:val="00CA132C"/>
    <w:rsid w:val="00CA2335"/>
    <w:rsid w:val="00CB40B7"/>
    <w:rsid w:val="00CB41AB"/>
    <w:rsid w:val="00CC342F"/>
    <w:rsid w:val="00CC3DAF"/>
    <w:rsid w:val="00CC53D2"/>
    <w:rsid w:val="00CD1F0A"/>
    <w:rsid w:val="00CE2C47"/>
    <w:rsid w:val="00CE6E03"/>
    <w:rsid w:val="00CE737A"/>
    <w:rsid w:val="00CF1D15"/>
    <w:rsid w:val="00CF7ADB"/>
    <w:rsid w:val="00D034EE"/>
    <w:rsid w:val="00D03A72"/>
    <w:rsid w:val="00D21FC4"/>
    <w:rsid w:val="00D2773A"/>
    <w:rsid w:val="00D30060"/>
    <w:rsid w:val="00D30552"/>
    <w:rsid w:val="00D30944"/>
    <w:rsid w:val="00D320FD"/>
    <w:rsid w:val="00D36362"/>
    <w:rsid w:val="00D36C62"/>
    <w:rsid w:val="00D36EDB"/>
    <w:rsid w:val="00D412F5"/>
    <w:rsid w:val="00D43F86"/>
    <w:rsid w:val="00D47BF0"/>
    <w:rsid w:val="00D507D3"/>
    <w:rsid w:val="00D617BD"/>
    <w:rsid w:val="00D6492F"/>
    <w:rsid w:val="00D70D71"/>
    <w:rsid w:val="00D77A88"/>
    <w:rsid w:val="00D919A4"/>
    <w:rsid w:val="00D93E4F"/>
    <w:rsid w:val="00D972E3"/>
    <w:rsid w:val="00D9781E"/>
    <w:rsid w:val="00DA0845"/>
    <w:rsid w:val="00DA6A6B"/>
    <w:rsid w:val="00DB2F8C"/>
    <w:rsid w:val="00DC2CC7"/>
    <w:rsid w:val="00DC3674"/>
    <w:rsid w:val="00DC4327"/>
    <w:rsid w:val="00DC651A"/>
    <w:rsid w:val="00DC7C31"/>
    <w:rsid w:val="00DD11F0"/>
    <w:rsid w:val="00DD566F"/>
    <w:rsid w:val="00DD61BE"/>
    <w:rsid w:val="00DD6E99"/>
    <w:rsid w:val="00DD7C10"/>
    <w:rsid w:val="00DE5738"/>
    <w:rsid w:val="00DE68EA"/>
    <w:rsid w:val="00DE76B2"/>
    <w:rsid w:val="00DF1DA8"/>
    <w:rsid w:val="00DF4D26"/>
    <w:rsid w:val="00DF4D7B"/>
    <w:rsid w:val="00E002D4"/>
    <w:rsid w:val="00E007A2"/>
    <w:rsid w:val="00E052A7"/>
    <w:rsid w:val="00E131B0"/>
    <w:rsid w:val="00E140A8"/>
    <w:rsid w:val="00E20D00"/>
    <w:rsid w:val="00E21841"/>
    <w:rsid w:val="00E36921"/>
    <w:rsid w:val="00E4201C"/>
    <w:rsid w:val="00E4282F"/>
    <w:rsid w:val="00E443D4"/>
    <w:rsid w:val="00E44663"/>
    <w:rsid w:val="00E45B55"/>
    <w:rsid w:val="00E50B81"/>
    <w:rsid w:val="00E60736"/>
    <w:rsid w:val="00E630E2"/>
    <w:rsid w:val="00E6373C"/>
    <w:rsid w:val="00E644A7"/>
    <w:rsid w:val="00E80878"/>
    <w:rsid w:val="00E810F2"/>
    <w:rsid w:val="00E86156"/>
    <w:rsid w:val="00E8722C"/>
    <w:rsid w:val="00E9250A"/>
    <w:rsid w:val="00E9494F"/>
    <w:rsid w:val="00EA7AF4"/>
    <w:rsid w:val="00EB0EC4"/>
    <w:rsid w:val="00EC1F65"/>
    <w:rsid w:val="00EC63C7"/>
    <w:rsid w:val="00EC6F83"/>
    <w:rsid w:val="00ED07B9"/>
    <w:rsid w:val="00ED1B2C"/>
    <w:rsid w:val="00ED21AE"/>
    <w:rsid w:val="00ED2480"/>
    <w:rsid w:val="00ED462D"/>
    <w:rsid w:val="00ED74E2"/>
    <w:rsid w:val="00ED7C3B"/>
    <w:rsid w:val="00EE43BF"/>
    <w:rsid w:val="00EF06B8"/>
    <w:rsid w:val="00EF6A55"/>
    <w:rsid w:val="00F02E99"/>
    <w:rsid w:val="00F05B97"/>
    <w:rsid w:val="00F14A3F"/>
    <w:rsid w:val="00F2660F"/>
    <w:rsid w:val="00F27648"/>
    <w:rsid w:val="00F302BD"/>
    <w:rsid w:val="00F346AC"/>
    <w:rsid w:val="00F36907"/>
    <w:rsid w:val="00F42BBC"/>
    <w:rsid w:val="00F43AFB"/>
    <w:rsid w:val="00F45C13"/>
    <w:rsid w:val="00F52E29"/>
    <w:rsid w:val="00F62D80"/>
    <w:rsid w:val="00F80C56"/>
    <w:rsid w:val="00F8653C"/>
    <w:rsid w:val="00F90D92"/>
    <w:rsid w:val="00F92F26"/>
    <w:rsid w:val="00FA3417"/>
    <w:rsid w:val="00FA3827"/>
    <w:rsid w:val="00FB6875"/>
    <w:rsid w:val="00FB6D2F"/>
    <w:rsid w:val="00FC2727"/>
    <w:rsid w:val="00FC3847"/>
    <w:rsid w:val="00FC5226"/>
    <w:rsid w:val="00FD1D6B"/>
    <w:rsid w:val="00FD553A"/>
    <w:rsid w:val="00FD7DDB"/>
    <w:rsid w:val="00FE2FC0"/>
    <w:rsid w:val="00FE6E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FB19D"/>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rsid w:val="003D153E"/>
    <w:pPr>
      <w:tabs>
        <w:tab w:val="right" w:leader="dot" w:pos="9016"/>
      </w:tabs>
    </w:pPr>
    <w:rPr>
      <w:b/>
      <w:noProof/>
    </w:rPr>
  </w:style>
  <w:style w:type="character" w:styleId="Hyperlink">
    <w:name w:val="Hyperlink"/>
    <w:uiPriority w:val="99"/>
    <w:rsid w:val="002C5069"/>
    <w:rPr>
      <w:color w:val="0000FF"/>
      <w:u w:val="single"/>
    </w:rPr>
  </w:style>
  <w:style w:type="paragraph" w:styleId="TOC2">
    <w:name w:val="toc 2"/>
    <w:basedOn w:val="Normal"/>
    <w:next w:val="Normal"/>
    <w:autoRedefine/>
    <w:uiPriority w:val="39"/>
    <w:rsid w:val="002C5069"/>
    <w:pPr>
      <w:ind w:left="240"/>
    </w:pPr>
  </w:style>
  <w:style w:type="paragraph" w:styleId="Header">
    <w:name w:val="header"/>
    <w:basedOn w:val="Normal"/>
    <w:link w:val="HeaderChar"/>
    <w:uiPriority w:val="99"/>
    <w:unhideWhenUsed/>
    <w:rsid w:val="00A06292"/>
    <w:pPr>
      <w:tabs>
        <w:tab w:val="center" w:pos="4513"/>
        <w:tab w:val="right" w:pos="9026"/>
      </w:tabs>
    </w:pPr>
  </w:style>
  <w:style w:type="character" w:customStyle="1" w:styleId="HeaderChar">
    <w:name w:val="Header Char"/>
    <w:basedOn w:val="DefaultParagraphFont"/>
    <w:link w:val="Header"/>
    <w:uiPriority w:val="99"/>
    <w:rsid w:val="00A0629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06292"/>
    <w:pPr>
      <w:tabs>
        <w:tab w:val="center" w:pos="4513"/>
        <w:tab w:val="right" w:pos="9026"/>
      </w:tabs>
    </w:pPr>
  </w:style>
  <w:style w:type="character" w:customStyle="1" w:styleId="FooterChar">
    <w:name w:val="Footer Char"/>
    <w:basedOn w:val="DefaultParagraphFont"/>
    <w:link w:val="Footer"/>
    <w:uiPriority w:val="99"/>
    <w:rsid w:val="00A06292"/>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759E9"/>
    <w:rPr>
      <w:sz w:val="16"/>
      <w:szCs w:val="16"/>
    </w:rPr>
  </w:style>
  <w:style w:type="paragraph" w:styleId="CommentText">
    <w:name w:val="annotation text"/>
    <w:basedOn w:val="Normal"/>
    <w:link w:val="CommentTextChar"/>
    <w:uiPriority w:val="99"/>
    <w:unhideWhenUsed/>
    <w:rsid w:val="009759E9"/>
    <w:rPr>
      <w:sz w:val="20"/>
      <w:szCs w:val="20"/>
    </w:rPr>
  </w:style>
  <w:style w:type="character" w:customStyle="1" w:styleId="CommentTextChar">
    <w:name w:val="Comment Text Char"/>
    <w:basedOn w:val="DefaultParagraphFont"/>
    <w:link w:val="CommentText"/>
    <w:uiPriority w:val="99"/>
    <w:rsid w:val="009759E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759E9"/>
    <w:rPr>
      <w:b/>
      <w:bCs/>
    </w:rPr>
  </w:style>
  <w:style w:type="character" w:customStyle="1" w:styleId="CommentSubjectChar">
    <w:name w:val="Comment Subject Char"/>
    <w:basedOn w:val="CommentTextChar"/>
    <w:link w:val="CommentSubject"/>
    <w:uiPriority w:val="99"/>
    <w:semiHidden/>
    <w:rsid w:val="009759E9"/>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7E04BA"/>
    <w:pPr>
      <w:ind w:left="720"/>
      <w:contextualSpacing/>
    </w:pPr>
  </w:style>
  <w:style w:type="paragraph" w:styleId="NormalWeb">
    <w:name w:val="Normal (Web)"/>
    <w:basedOn w:val="Normal"/>
    <w:uiPriority w:val="99"/>
    <w:unhideWhenUsed/>
    <w:rsid w:val="001C58D7"/>
    <w:pPr>
      <w:spacing w:before="100" w:beforeAutospacing="1" w:after="100" w:afterAutospacing="1"/>
    </w:pPr>
    <w:rPr>
      <w:rFonts w:ascii="Aptos" w:eastAsiaTheme="minorHAnsi" w:hAnsi="Aptos" w:cs="Aptos"/>
    </w:rPr>
  </w:style>
  <w:style w:type="paragraph" w:styleId="PlainText">
    <w:name w:val="Plain Text"/>
    <w:basedOn w:val="Normal"/>
    <w:link w:val="PlainTextChar"/>
    <w:uiPriority w:val="99"/>
    <w:semiHidden/>
    <w:unhideWhenUsed/>
    <w:rsid w:val="00BE0C61"/>
    <w:rPr>
      <w:rFonts w:ascii="Calibri" w:hAnsi="Calibri" w:cstheme="minorBidi"/>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BE0C61"/>
    <w:rPr>
      <w:rFonts w:ascii="Calibri" w:eastAsia="Times New Roman" w:hAnsi="Calibri"/>
      <w:kern w:val="2"/>
      <w:szCs w:val="21"/>
      <w14:ligatures w14:val="standardContextual"/>
    </w:rPr>
  </w:style>
  <w:style w:type="character" w:styleId="UnresolvedMention">
    <w:name w:val="Unresolved Mention"/>
    <w:basedOn w:val="DefaultParagraphFont"/>
    <w:uiPriority w:val="99"/>
    <w:semiHidden/>
    <w:unhideWhenUsed/>
    <w:rsid w:val="00D919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marthenshire-my.sharepoint.com/personal/nmtaylor_carmarthenshire_gov_uk/Documents/Desktop/Year%206/PG2_Application_for_Ethical_Approval_10-2022%20(2)%20(2).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nicef-irc.org/publications/pdf/.childrens_participation.pdf" TargetMode="External"/><Relationship Id="rId5" Type="http://schemas.openxmlformats.org/officeDocument/2006/relationships/footnotes" Target="footnotes.xml"/><Relationship Id="rId10" Type="http://schemas.openxmlformats.org/officeDocument/2006/relationships/hyperlink" Target="http://www.childrenscommissioner.gov-uk" TargetMode="External"/><Relationship Id="rId4" Type="http://schemas.openxmlformats.org/officeDocument/2006/relationships/webSettings" Target="webSettings.xml"/><Relationship Id="rId9" Type="http://schemas.openxmlformats.org/officeDocument/2006/relationships/hyperlink" Target="https://www.youthlink.scot/what-is-youth-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1212</TotalTime>
  <Pages>1</Pages>
  <Words>10287</Words>
  <Characters>58636</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Nichola M Taylor</cp:lastModifiedBy>
  <cp:revision>469</cp:revision>
  <dcterms:created xsi:type="dcterms:W3CDTF">2026-05-12T12:58:00Z</dcterms:created>
  <dcterms:modified xsi:type="dcterms:W3CDTF">2026-07-13T12:34:00Z</dcterms:modified>
</cp:coreProperties>
</file>