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126B3" w14:textId="77777777" w:rsidR="002965AD" w:rsidRPr="006F0485" w:rsidRDefault="002965AD" w:rsidP="006F0485">
      <w:pPr>
        <w:spacing w:line="360" w:lineRule="auto"/>
        <w:rPr>
          <w:rFonts w:ascii="Arial" w:hAnsi="Arial" w:cs="Arial"/>
          <w:b/>
          <w:bCs/>
        </w:rPr>
      </w:pPr>
      <w:r w:rsidRPr="006F0485">
        <w:rPr>
          <w:rFonts w:ascii="Arial" w:hAnsi="Arial" w:cs="Arial"/>
          <w:b/>
          <w:bCs/>
        </w:rPr>
        <w:t>Name: Martin Ogadimma</w:t>
      </w:r>
    </w:p>
    <w:p w14:paraId="2F8690AC" w14:textId="77777777" w:rsidR="002965AD" w:rsidRPr="006F0485" w:rsidRDefault="002965AD" w:rsidP="006F0485">
      <w:pPr>
        <w:spacing w:line="360" w:lineRule="auto"/>
        <w:rPr>
          <w:rFonts w:ascii="Arial" w:hAnsi="Arial" w:cs="Arial"/>
          <w:b/>
          <w:bCs/>
        </w:rPr>
      </w:pPr>
      <w:r w:rsidRPr="006F0485">
        <w:rPr>
          <w:rFonts w:ascii="Arial" w:hAnsi="Arial" w:cs="Arial"/>
          <w:b/>
          <w:bCs/>
        </w:rPr>
        <w:t>Student Number: 2435763</w:t>
      </w:r>
    </w:p>
    <w:p w14:paraId="5868E2AF" w14:textId="77777777" w:rsidR="002965AD" w:rsidRPr="006F0485" w:rsidRDefault="002965AD" w:rsidP="006F0485">
      <w:pPr>
        <w:spacing w:line="360" w:lineRule="auto"/>
        <w:rPr>
          <w:rFonts w:ascii="Arial" w:hAnsi="Arial" w:cs="Arial"/>
          <w:b/>
          <w:bCs/>
        </w:rPr>
      </w:pPr>
      <w:r w:rsidRPr="006F0485">
        <w:rPr>
          <w:rFonts w:ascii="Arial" w:hAnsi="Arial" w:cs="Arial"/>
          <w:b/>
          <w:bCs/>
        </w:rPr>
        <w:t>Module Code: LCHS4010</w:t>
      </w:r>
    </w:p>
    <w:p w14:paraId="4ACD495C" w14:textId="77777777" w:rsidR="002965AD" w:rsidRPr="006F0485" w:rsidRDefault="002965AD" w:rsidP="006F0485">
      <w:pPr>
        <w:spacing w:line="360" w:lineRule="auto"/>
        <w:rPr>
          <w:rFonts w:ascii="Arial" w:hAnsi="Arial" w:cs="Arial"/>
          <w:b/>
          <w:bCs/>
        </w:rPr>
      </w:pPr>
      <w:r w:rsidRPr="006F0485">
        <w:rPr>
          <w:rFonts w:ascii="Arial" w:hAnsi="Arial" w:cs="Arial"/>
          <w:b/>
          <w:bCs/>
        </w:rPr>
        <w:t xml:space="preserve">Module Title: Psychology in health and social care </w:t>
      </w:r>
    </w:p>
    <w:p w14:paraId="40843CF1" w14:textId="77777777" w:rsidR="002965AD" w:rsidRPr="006F0485" w:rsidRDefault="002965AD" w:rsidP="006F0485">
      <w:pPr>
        <w:spacing w:line="360" w:lineRule="auto"/>
        <w:rPr>
          <w:rFonts w:ascii="Arial" w:hAnsi="Arial" w:cs="Arial"/>
          <w:b/>
          <w:bCs/>
        </w:rPr>
      </w:pPr>
      <w:r w:rsidRPr="006F0485">
        <w:rPr>
          <w:rFonts w:ascii="Arial" w:hAnsi="Arial" w:cs="Arial"/>
          <w:b/>
          <w:bCs/>
        </w:rPr>
        <w:t>Lecturer: Helen Parsons</w:t>
      </w:r>
    </w:p>
    <w:p w14:paraId="2C22C052" w14:textId="77777777" w:rsidR="002965AD" w:rsidRPr="006F0485" w:rsidRDefault="002965AD" w:rsidP="006F0485">
      <w:pPr>
        <w:spacing w:line="360" w:lineRule="auto"/>
        <w:rPr>
          <w:rFonts w:ascii="Arial" w:hAnsi="Arial" w:cs="Arial"/>
          <w:b/>
          <w:bCs/>
        </w:rPr>
      </w:pPr>
      <w:r w:rsidRPr="006F0485">
        <w:rPr>
          <w:rFonts w:ascii="Arial" w:hAnsi="Arial" w:cs="Arial"/>
          <w:b/>
          <w:bCs/>
        </w:rPr>
        <w:t>Assignment Title: Bibliography and report</w:t>
      </w:r>
    </w:p>
    <w:p w14:paraId="4C38CA4D" w14:textId="77777777" w:rsidR="002965AD" w:rsidRPr="006F0485" w:rsidRDefault="002965AD" w:rsidP="006F0485">
      <w:pPr>
        <w:spacing w:line="360" w:lineRule="auto"/>
        <w:rPr>
          <w:rFonts w:ascii="Arial" w:hAnsi="Arial" w:cs="Arial"/>
          <w:b/>
          <w:bCs/>
        </w:rPr>
      </w:pPr>
      <w:r w:rsidRPr="006F0485">
        <w:rPr>
          <w:rFonts w:ascii="Arial" w:hAnsi="Arial" w:cs="Arial"/>
          <w:b/>
          <w:bCs/>
        </w:rPr>
        <w:t>Date of submission: 24/03/2026</w:t>
      </w:r>
    </w:p>
    <w:p w14:paraId="25FA0527" w14:textId="77777777" w:rsidR="00255ADA" w:rsidRPr="006F0485" w:rsidRDefault="00255ADA" w:rsidP="006F0485">
      <w:pPr>
        <w:spacing w:line="360" w:lineRule="auto"/>
        <w:rPr>
          <w:rFonts w:ascii="Arial" w:hAnsi="Arial" w:cs="Arial"/>
          <w:b/>
          <w:bCs/>
        </w:rPr>
      </w:pPr>
    </w:p>
    <w:p w14:paraId="5776CA17" w14:textId="77777777" w:rsidR="00255ADA" w:rsidRPr="006F0485" w:rsidRDefault="00255ADA" w:rsidP="006F0485">
      <w:pPr>
        <w:spacing w:line="360" w:lineRule="auto"/>
        <w:rPr>
          <w:rFonts w:ascii="Arial" w:hAnsi="Arial" w:cs="Arial"/>
          <w:b/>
          <w:bCs/>
        </w:rPr>
      </w:pPr>
    </w:p>
    <w:p w14:paraId="71B13A32" w14:textId="77777777" w:rsidR="00255ADA" w:rsidRPr="006F0485" w:rsidRDefault="00255ADA" w:rsidP="006F0485">
      <w:pPr>
        <w:spacing w:line="360" w:lineRule="auto"/>
        <w:rPr>
          <w:rFonts w:ascii="Arial" w:hAnsi="Arial" w:cs="Arial"/>
          <w:b/>
          <w:bCs/>
        </w:rPr>
      </w:pPr>
    </w:p>
    <w:p w14:paraId="5A50FBD4" w14:textId="77777777" w:rsidR="00255ADA" w:rsidRPr="006F0485" w:rsidRDefault="00255ADA" w:rsidP="006F0485">
      <w:pPr>
        <w:spacing w:line="360" w:lineRule="auto"/>
        <w:rPr>
          <w:rFonts w:ascii="Arial" w:hAnsi="Arial" w:cs="Arial"/>
          <w:b/>
          <w:bCs/>
        </w:rPr>
      </w:pPr>
    </w:p>
    <w:p w14:paraId="1281734F" w14:textId="77777777" w:rsidR="00255ADA" w:rsidRPr="006F0485" w:rsidRDefault="00255ADA" w:rsidP="006F0485">
      <w:pPr>
        <w:spacing w:line="360" w:lineRule="auto"/>
        <w:rPr>
          <w:rFonts w:ascii="Arial" w:hAnsi="Arial" w:cs="Arial"/>
          <w:b/>
          <w:bCs/>
        </w:rPr>
      </w:pPr>
    </w:p>
    <w:p w14:paraId="0156D6BE" w14:textId="77777777" w:rsidR="00255ADA" w:rsidRPr="006F0485" w:rsidRDefault="00255ADA" w:rsidP="006F0485">
      <w:pPr>
        <w:spacing w:line="360" w:lineRule="auto"/>
        <w:rPr>
          <w:rFonts w:ascii="Arial" w:hAnsi="Arial" w:cs="Arial"/>
          <w:b/>
          <w:bCs/>
        </w:rPr>
      </w:pPr>
    </w:p>
    <w:p w14:paraId="445051B3" w14:textId="77777777" w:rsidR="005C6EC3" w:rsidRPr="006F0485" w:rsidRDefault="005C6EC3" w:rsidP="006F0485">
      <w:pPr>
        <w:spacing w:line="360" w:lineRule="auto"/>
        <w:rPr>
          <w:rFonts w:ascii="Arial" w:hAnsi="Arial" w:cs="Arial"/>
          <w:b/>
          <w:bCs/>
        </w:rPr>
      </w:pPr>
    </w:p>
    <w:p w14:paraId="3919158A" w14:textId="77777777" w:rsidR="005C6EC3" w:rsidRPr="006F0485" w:rsidRDefault="005C6EC3" w:rsidP="006F0485">
      <w:pPr>
        <w:spacing w:line="360" w:lineRule="auto"/>
        <w:rPr>
          <w:rFonts w:ascii="Arial" w:hAnsi="Arial" w:cs="Arial"/>
          <w:b/>
          <w:bCs/>
        </w:rPr>
      </w:pPr>
    </w:p>
    <w:p w14:paraId="71976CEA" w14:textId="77777777" w:rsidR="005C6EC3" w:rsidRPr="006F0485" w:rsidRDefault="005C6EC3" w:rsidP="006F0485">
      <w:pPr>
        <w:spacing w:line="360" w:lineRule="auto"/>
        <w:rPr>
          <w:rFonts w:ascii="Arial" w:hAnsi="Arial" w:cs="Arial"/>
          <w:b/>
          <w:bCs/>
        </w:rPr>
      </w:pPr>
    </w:p>
    <w:p w14:paraId="50264CB2" w14:textId="77777777" w:rsidR="000E1968" w:rsidRPr="006F0485" w:rsidRDefault="000E1968" w:rsidP="006F0485">
      <w:pPr>
        <w:spacing w:line="360" w:lineRule="auto"/>
        <w:rPr>
          <w:rFonts w:ascii="Arial" w:hAnsi="Arial" w:cs="Arial"/>
          <w:b/>
          <w:bCs/>
        </w:rPr>
      </w:pPr>
    </w:p>
    <w:p w14:paraId="3F737630" w14:textId="77777777" w:rsidR="000E1968" w:rsidRPr="006F0485" w:rsidRDefault="000E1968" w:rsidP="006F0485">
      <w:pPr>
        <w:spacing w:line="360" w:lineRule="auto"/>
        <w:rPr>
          <w:rFonts w:ascii="Arial" w:hAnsi="Arial" w:cs="Arial"/>
          <w:b/>
          <w:bCs/>
        </w:rPr>
      </w:pPr>
    </w:p>
    <w:p w14:paraId="070BC058" w14:textId="77777777" w:rsidR="000E1968" w:rsidRPr="006F0485" w:rsidRDefault="000E1968" w:rsidP="006F0485">
      <w:pPr>
        <w:spacing w:line="360" w:lineRule="auto"/>
        <w:rPr>
          <w:rFonts w:ascii="Arial" w:hAnsi="Arial" w:cs="Arial"/>
          <w:b/>
          <w:bCs/>
        </w:rPr>
      </w:pPr>
    </w:p>
    <w:p w14:paraId="41DA8AF2" w14:textId="77777777" w:rsidR="000E1968" w:rsidRPr="006F0485" w:rsidRDefault="000E1968" w:rsidP="006F0485">
      <w:pPr>
        <w:spacing w:line="360" w:lineRule="auto"/>
        <w:rPr>
          <w:rFonts w:ascii="Arial" w:hAnsi="Arial" w:cs="Arial"/>
          <w:b/>
          <w:bCs/>
        </w:rPr>
      </w:pPr>
    </w:p>
    <w:p w14:paraId="494BDAD6" w14:textId="77777777" w:rsidR="000E1968" w:rsidRPr="006F0485" w:rsidRDefault="000E1968" w:rsidP="006F0485">
      <w:pPr>
        <w:spacing w:line="360" w:lineRule="auto"/>
        <w:rPr>
          <w:rFonts w:ascii="Arial" w:hAnsi="Arial" w:cs="Arial"/>
          <w:b/>
          <w:bCs/>
        </w:rPr>
      </w:pPr>
    </w:p>
    <w:p w14:paraId="581BABB2" w14:textId="77777777" w:rsidR="000E1968" w:rsidRPr="006F0485" w:rsidRDefault="000E1968" w:rsidP="006F0485">
      <w:pPr>
        <w:spacing w:line="360" w:lineRule="auto"/>
        <w:rPr>
          <w:rFonts w:ascii="Arial" w:hAnsi="Arial" w:cs="Arial"/>
          <w:b/>
          <w:bCs/>
        </w:rPr>
      </w:pPr>
    </w:p>
    <w:p w14:paraId="08B97C1F" w14:textId="77777777" w:rsidR="000E1968" w:rsidRPr="006F0485" w:rsidRDefault="000E1968" w:rsidP="006F0485">
      <w:pPr>
        <w:spacing w:line="360" w:lineRule="auto"/>
        <w:rPr>
          <w:rFonts w:ascii="Arial" w:hAnsi="Arial" w:cs="Arial"/>
          <w:b/>
          <w:bCs/>
        </w:rPr>
      </w:pPr>
    </w:p>
    <w:p w14:paraId="52F0AA1B" w14:textId="77777777" w:rsidR="000E1968" w:rsidRPr="006F0485" w:rsidRDefault="000E1968" w:rsidP="006F0485">
      <w:pPr>
        <w:spacing w:line="360" w:lineRule="auto"/>
        <w:rPr>
          <w:rFonts w:ascii="Arial" w:hAnsi="Arial" w:cs="Arial"/>
          <w:b/>
          <w:bCs/>
        </w:rPr>
      </w:pPr>
    </w:p>
    <w:p w14:paraId="15BB5199" w14:textId="77777777" w:rsidR="000E1968" w:rsidRPr="006F0485" w:rsidRDefault="000E1968" w:rsidP="006F0485">
      <w:pPr>
        <w:spacing w:line="360" w:lineRule="auto"/>
        <w:rPr>
          <w:rFonts w:ascii="Arial" w:hAnsi="Arial" w:cs="Arial"/>
          <w:b/>
          <w:bCs/>
        </w:rPr>
      </w:pPr>
    </w:p>
    <w:p w14:paraId="0DDF836E" w14:textId="77777777" w:rsidR="000E1968" w:rsidRPr="006F0485" w:rsidRDefault="000E1968" w:rsidP="006F0485">
      <w:pPr>
        <w:spacing w:line="360" w:lineRule="auto"/>
        <w:rPr>
          <w:rFonts w:ascii="Arial" w:hAnsi="Arial" w:cs="Arial"/>
          <w:b/>
          <w:bCs/>
        </w:rPr>
      </w:pPr>
    </w:p>
    <w:p w14:paraId="70DAB1DB" w14:textId="77777777" w:rsidR="000E1968" w:rsidRPr="006F0485" w:rsidRDefault="000E1968" w:rsidP="006F0485">
      <w:pPr>
        <w:spacing w:line="360" w:lineRule="auto"/>
        <w:rPr>
          <w:rFonts w:ascii="Arial" w:hAnsi="Arial" w:cs="Arial"/>
          <w:b/>
          <w:bCs/>
        </w:rPr>
      </w:pPr>
    </w:p>
    <w:p w14:paraId="16CEA34F" w14:textId="52C1D379" w:rsidR="00110F40" w:rsidRPr="00110F40" w:rsidRDefault="00110F40" w:rsidP="006F0485">
      <w:pPr>
        <w:spacing w:line="360" w:lineRule="auto"/>
        <w:rPr>
          <w:rFonts w:ascii="Arial" w:hAnsi="Arial" w:cs="Arial"/>
          <w:b/>
          <w:bCs/>
        </w:rPr>
      </w:pPr>
      <w:r w:rsidRPr="00110F40">
        <w:rPr>
          <w:rFonts w:ascii="Arial" w:hAnsi="Arial" w:cs="Arial"/>
          <w:b/>
          <w:bCs/>
        </w:rPr>
        <w:t>Part A: Annotated Bibliography</w:t>
      </w:r>
    </w:p>
    <w:p w14:paraId="105BCD51" w14:textId="77777777" w:rsidR="00110F40" w:rsidRPr="00110F40" w:rsidRDefault="00110F40" w:rsidP="006F0485">
      <w:pPr>
        <w:spacing w:line="360" w:lineRule="auto"/>
        <w:rPr>
          <w:rFonts w:ascii="Arial" w:hAnsi="Arial" w:cs="Arial"/>
          <w:b/>
          <w:bCs/>
        </w:rPr>
      </w:pPr>
      <w:r w:rsidRPr="00110F40">
        <w:rPr>
          <w:rFonts w:ascii="Arial" w:hAnsi="Arial" w:cs="Arial"/>
          <w:b/>
          <w:bCs/>
        </w:rPr>
        <w:t>Source 1 – Erikson’s Psychosocial Theory</w:t>
      </w:r>
    </w:p>
    <w:p w14:paraId="2CE05812" w14:textId="15515980" w:rsidR="00110F40" w:rsidRPr="00110F40" w:rsidRDefault="00110F40" w:rsidP="006F0485">
      <w:pPr>
        <w:spacing w:line="360" w:lineRule="auto"/>
        <w:rPr>
          <w:rFonts w:ascii="Arial" w:hAnsi="Arial" w:cs="Arial"/>
        </w:rPr>
      </w:pPr>
      <w:r w:rsidRPr="00110F40">
        <w:rPr>
          <w:rFonts w:ascii="Arial" w:hAnsi="Arial" w:cs="Arial"/>
          <w:b/>
          <w:bCs/>
        </w:rPr>
        <w:t>Reference:</w:t>
      </w:r>
      <w:r w:rsidRPr="00110F40">
        <w:rPr>
          <w:rFonts w:ascii="Arial" w:hAnsi="Arial" w:cs="Arial"/>
        </w:rPr>
        <w:br/>
        <w:t xml:space="preserve">Knight, B.G. and Wahl, H.-W. (2019) ‘Perspectives on psychological theories of aging’, </w:t>
      </w:r>
      <w:r w:rsidRPr="00110F40">
        <w:rPr>
          <w:rFonts w:ascii="Arial" w:hAnsi="Arial" w:cs="Arial"/>
          <w:i/>
          <w:iCs/>
        </w:rPr>
        <w:t>Journal of Gerontology: Psychological Sciences</w:t>
      </w:r>
      <w:r w:rsidRPr="00110F40">
        <w:rPr>
          <w:rFonts w:ascii="Arial" w:hAnsi="Arial" w:cs="Arial"/>
        </w:rPr>
        <w:t xml:space="preserve">, 74(8), pp. 1235–1245. Available at: </w:t>
      </w:r>
      <w:hyperlink r:id="rId10" w:history="1">
        <w:r w:rsidR="006C72D1" w:rsidRPr="00110F40">
          <w:rPr>
            <w:rStyle w:val="Hyperlink"/>
            <w:rFonts w:ascii="Arial" w:hAnsi="Arial" w:cs="Arial"/>
          </w:rPr>
          <w:t>https://doi.org/10.1093/geronb/gby078</w:t>
        </w:r>
      </w:hyperlink>
      <w:r w:rsidR="006C72D1" w:rsidRPr="006F0485">
        <w:rPr>
          <w:rFonts w:ascii="Arial" w:hAnsi="Arial" w:cs="Arial"/>
        </w:rPr>
        <w:t xml:space="preserve"> </w:t>
      </w:r>
    </w:p>
    <w:p w14:paraId="359F747F" w14:textId="52BB51F1" w:rsidR="00110F40" w:rsidRPr="006F0485" w:rsidRDefault="00110F40" w:rsidP="006F0485">
      <w:pPr>
        <w:spacing w:line="360" w:lineRule="auto"/>
        <w:rPr>
          <w:rFonts w:ascii="Arial" w:hAnsi="Arial" w:cs="Arial"/>
          <w:b/>
          <w:bCs/>
        </w:rPr>
      </w:pPr>
      <w:r w:rsidRPr="00110F40">
        <w:rPr>
          <w:rFonts w:ascii="Arial" w:hAnsi="Arial" w:cs="Arial"/>
          <w:b/>
          <w:bCs/>
        </w:rPr>
        <w:t>Summary:</w:t>
      </w:r>
      <w:r w:rsidRPr="006F0485">
        <w:rPr>
          <w:rFonts w:ascii="Arial" w:hAnsi="Arial" w:cs="Arial"/>
          <w:b/>
          <w:bCs/>
        </w:rPr>
        <w:t xml:space="preserve"> </w:t>
      </w:r>
    </w:p>
    <w:p w14:paraId="58E68823" w14:textId="471F6377" w:rsidR="00110F40" w:rsidRPr="006F0485" w:rsidRDefault="00110F40" w:rsidP="006F0485">
      <w:pPr>
        <w:spacing w:line="360" w:lineRule="auto"/>
        <w:rPr>
          <w:rFonts w:ascii="Arial" w:hAnsi="Arial" w:cs="Arial"/>
        </w:rPr>
      </w:pPr>
      <w:r w:rsidRPr="00110F40">
        <w:rPr>
          <w:rFonts w:ascii="Arial" w:hAnsi="Arial" w:cs="Arial"/>
        </w:rPr>
        <w:t xml:space="preserve">Erikson's psychosocial framework, namely the stage of ego integrity against despair, is the main subject of Knight and Wahl's (2019) analysis of prominent psychological theories of ageing. They contend that since ego integrity enables people to embrace their life events and lessen existential distress, it is crucial for emotional flourishing in later age. </w:t>
      </w:r>
      <w:r w:rsidR="001970B2" w:rsidRPr="006F0485">
        <w:rPr>
          <w:rFonts w:ascii="Arial" w:hAnsi="Arial" w:cs="Arial"/>
        </w:rPr>
        <w:t>To</w:t>
      </w:r>
      <w:r w:rsidRPr="00110F40">
        <w:rPr>
          <w:rFonts w:ascii="Arial" w:hAnsi="Arial" w:cs="Arial"/>
        </w:rPr>
        <w:t xml:space="preserve"> show that identity formation continues into old age, the essay combines Erikson's theory with current lifespan research. It emphasises how contemplative practices and interpersonal connections support healthy ageing. Erikson's theory is placed within a larger biopsychosocial framework by the writers</w:t>
      </w:r>
      <w:r w:rsidRPr="006F0485">
        <w:rPr>
          <w:rFonts w:ascii="Arial" w:hAnsi="Arial" w:cs="Arial"/>
        </w:rPr>
        <w:t>.</w:t>
      </w:r>
    </w:p>
    <w:p w14:paraId="5EC27AB6" w14:textId="77777777" w:rsidR="00B015DB" w:rsidRPr="006F0485" w:rsidRDefault="00B015DB" w:rsidP="006F0485">
      <w:pPr>
        <w:spacing w:line="360" w:lineRule="auto"/>
        <w:rPr>
          <w:rFonts w:ascii="Arial" w:hAnsi="Arial" w:cs="Arial"/>
          <w:b/>
          <w:bCs/>
        </w:rPr>
      </w:pPr>
    </w:p>
    <w:p w14:paraId="109AC77C" w14:textId="5CDB290B" w:rsidR="00110F40" w:rsidRPr="006F0485" w:rsidRDefault="00110F40" w:rsidP="006F0485">
      <w:pPr>
        <w:spacing w:line="360" w:lineRule="auto"/>
        <w:rPr>
          <w:rFonts w:ascii="Arial" w:hAnsi="Arial" w:cs="Arial"/>
          <w:b/>
          <w:bCs/>
        </w:rPr>
      </w:pPr>
      <w:r w:rsidRPr="006F0485">
        <w:rPr>
          <w:rFonts w:ascii="Arial" w:hAnsi="Arial" w:cs="Arial"/>
          <w:b/>
          <w:bCs/>
        </w:rPr>
        <w:t>Critical Comment:</w:t>
      </w:r>
    </w:p>
    <w:p w14:paraId="49B24169" w14:textId="77777777" w:rsidR="00110F40" w:rsidRPr="00110F40" w:rsidRDefault="00110F40" w:rsidP="006F0485">
      <w:pPr>
        <w:spacing w:line="360" w:lineRule="auto"/>
        <w:rPr>
          <w:rFonts w:ascii="Arial" w:hAnsi="Arial" w:cs="Arial"/>
        </w:rPr>
      </w:pPr>
      <w:r w:rsidRPr="00110F40">
        <w:rPr>
          <w:rFonts w:ascii="Arial" w:hAnsi="Arial" w:cs="Arial"/>
        </w:rPr>
        <w:t>This material is useful since it incorporates contemporary research with classical theory, increasing its applicability. Its understanding of ageing as a continuous developmental process rather than a time of decline is one of its main advantages. Erikson's approach, however, could be challenged for its limited cultural application and linear structure. Additionally, systemic factors like health disparities are under-represented. Despite these drawbacks, it is nonetheless quite useful in health and social care, especially when it comes to directing interventions that promote older individuals' identity and emotional well-being.</w:t>
      </w:r>
    </w:p>
    <w:p w14:paraId="72AADBF9" w14:textId="77777777" w:rsidR="005E2283" w:rsidRPr="006F0485" w:rsidRDefault="005E2283" w:rsidP="006F0485">
      <w:pPr>
        <w:spacing w:line="360" w:lineRule="auto"/>
        <w:rPr>
          <w:rFonts w:ascii="Arial" w:hAnsi="Arial" w:cs="Arial"/>
          <w:b/>
          <w:bCs/>
        </w:rPr>
      </w:pPr>
    </w:p>
    <w:p w14:paraId="094702FA" w14:textId="4807EA0D" w:rsidR="00110F40" w:rsidRPr="00110F40" w:rsidRDefault="00110F40" w:rsidP="006F0485">
      <w:pPr>
        <w:spacing w:line="360" w:lineRule="auto"/>
        <w:rPr>
          <w:rFonts w:ascii="Arial" w:hAnsi="Arial" w:cs="Arial"/>
          <w:b/>
          <w:bCs/>
        </w:rPr>
      </w:pPr>
      <w:r w:rsidRPr="00110F40">
        <w:rPr>
          <w:rFonts w:ascii="Arial" w:hAnsi="Arial" w:cs="Arial"/>
          <w:b/>
          <w:bCs/>
        </w:rPr>
        <w:t>Source 2 – Life Review Interventions</w:t>
      </w:r>
    </w:p>
    <w:p w14:paraId="0449F04A" w14:textId="7ED5A9C1" w:rsidR="00110F40" w:rsidRPr="00110F40" w:rsidRDefault="00110F40" w:rsidP="006F0485">
      <w:pPr>
        <w:spacing w:line="360" w:lineRule="auto"/>
        <w:rPr>
          <w:rFonts w:ascii="Arial" w:hAnsi="Arial" w:cs="Arial"/>
        </w:rPr>
      </w:pPr>
      <w:r w:rsidRPr="00110F40">
        <w:rPr>
          <w:rFonts w:ascii="Arial" w:hAnsi="Arial" w:cs="Arial"/>
          <w:b/>
          <w:bCs/>
        </w:rPr>
        <w:t>Reference:</w:t>
      </w:r>
      <w:r w:rsidRPr="00110F40">
        <w:rPr>
          <w:rFonts w:ascii="Arial" w:hAnsi="Arial" w:cs="Arial"/>
          <w:b/>
          <w:bCs/>
        </w:rPr>
        <w:br/>
      </w:r>
      <w:r w:rsidRPr="00110F40">
        <w:rPr>
          <w:rFonts w:ascii="Arial" w:hAnsi="Arial" w:cs="Arial"/>
        </w:rPr>
        <w:t xml:space="preserve">Westerhof, G.J. and </w:t>
      </w:r>
      <w:proofErr w:type="spellStart"/>
      <w:r w:rsidRPr="00110F40">
        <w:rPr>
          <w:rFonts w:ascii="Arial" w:hAnsi="Arial" w:cs="Arial"/>
        </w:rPr>
        <w:t>Bohlmeijer</w:t>
      </w:r>
      <w:proofErr w:type="spellEnd"/>
      <w:r w:rsidRPr="00110F40">
        <w:rPr>
          <w:rFonts w:ascii="Arial" w:hAnsi="Arial" w:cs="Arial"/>
        </w:rPr>
        <w:t xml:space="preserve">, E.T. (2020) ‘Life review and life-story interventions in aging: A meta-analysis’, </w:t>
      </w:r>
      <w:r w:rsidRPr="00110F40">
        <w:rPr>
          <w:rFonts w:ascii="Arial" w:hAnsi="Arial" w:cs="Arial"/>
          <w:i/>
          <w:iCs/>
        </w:rPr>
        <w:t>Clinical Psychology Review</w:t>
      </w:r>
      <w:r w:rsidRPr="00110F40">
        <w:rPr>
          <w:rFonts w:ascii="Arial" w:hAnsi="Arial" w:cs="Arial"/>
        </w:rPr>
        <w:t xml:space="preserve">, 75, 101816. Available at: </w:t>
      </w:r>
      <w:hyperlink r:id="rId11" w:history="1">
        <w:r w:rsidR="007E4623" w:rsidRPr="00110F40">
          <w:rPr>
            <w:rStyle w:val="Hyperlink"/>
            <w:rFonts w:ascii="Arial" w:hAnsi="Arial" w:cs="Arial"/>
          </w:rPr>
          <w:t>https://doi.org/10.1016/j.cpr</w:t>
        </w:r>
      </w:hyperlink>
      <w:r w:rsidR="007E4623" w:rsidRPr="006F0485">
        <w:rPr>
          <w:rFonts w:ascii="Arial" w:hAnsi="Arial" w:cs="Arial"/>
        </w:rPr>
        <w:t xml:space="preserve"> </w:t>
      </w:r>
      <w:r w:rsidRPr="00110F40">
        <w:rPr>
          <w:rFonts w:ascii="Arial" w:hAnsi="Arial" w:cs="Arial"/>
        </w:rPr>
        <w:t>.20</w:t>
      </w:r>
      <w:r w:rsidR="00A20533" w:rsidRPr="006F0485">
        <w:rPr>
          <w:rFonts w:ascii="Arial" w:hAnsi="Arial" w:cs="Arial"/>
        </w:rPr>
        <w:t xml:space="preserve"> </w:t>
      </w:r>
      <w:r w:rsidRPr="00110F40">
        <w:rPr>
          <w:rFonts w:ascii="Arial" w:hAnsi="Arial" w:cs="Arial"/>
        </w:rPr>
        <w:t>19.</w:t>
      </w:r>
      <w:r w:rsidR="00DA6302" w:rsidRPr="006F0485">
        <w:rPr>
          <w:rFonts w:ascii="Arial" w:hAnsi="Arial" w:cs="Arial"/>
        </w:rPr>
        <w:t xml:space="preserve"> </w:t>
      </w:r>
      <w:r w:rsidRPr="00110F40">
        <w:rPr>
          <w:rFonts w:ascii="Arial" w:hAnsi="Arial" w:cs="Arial"/>
        </w:rPr>
        <w:t>10181</w:t>
      </w:r>
      <w:r w:rsidR="00D17E6C" w:rsidRPr="006F0485">
        <w:rPr>
          <w:rFonts w:ascii="Arial" w:hAnsi="Arial" w:cs="Arial"/>
        </w:rPr>
        <w:t>6</w:t>
      </w:r>
      <w:r w:rsidR="00DA6302" w:rsidRPr="006F0485">
        <w:rPr>
          <w:rFonts w:ascii="Arial" w:hAnsi="Arial" w:cs="Arial"/>
        </w:rPr>
        <w:t xml:space="preserve">  </w:t>
      </w:r>
    </w:p>
    <w:p w14:paraId="77FE6361" w14:textId="77777777" w:rsidR="00F20A80" w:rsidRDefault="00F20A80" w:rsidP="006F0485">
      <w:pPr>
        <w:spacing w:line="360" w:lineRule="auto"/>
        <w:rPr>
          <w:rFonts w:ascii="Arial" w:hAnsi="Arial" w:cs="Arial"/>
          <w:b/>
          <w:bCs/>
        </w:rPr>
      </w:pPr>
    </w:p>
    <w:p w14:paraId="2393F497" w14:textId="04317266" w:rsidR="00110F40" w:rsidRPr="00110F40" w:rsidRDefault="00110F40" w:rsidP="006F0485">
      <w:pPr>
        <w:spacing w:line="360" w:lineRule="auto"/>
        <w:rPr>
          <w:rFonts w:ascii="Arial" w:hAnsi="Arial" w:cs="Arial"/>
          <w:b/>
          <w:bCs/>
        </w:rPr>
      </w:pPr>
      <w:r w:rsidRPr="00110F40">
        <w:rPr>
          <w:rFonts w:ascii="Arial" w:hAnsi="Arial" w:cs="Arial"/>
          <w:b/>
          <w:bCs/>
        </w:rPr>
        <w:lastRenderedPageBreak/>
        <w:t>Summary:</w:t>
      </w:r>
    </w:p>
    <w:p w14:paraId="534A2B52" w14:textId="77777777" w:rsidR="00110F40" w:rsidRPr="006F0485" w:rsidRDefault="00110F40" w:rsidP="006F0485">
      <w:pPr>
        <w:spacing w:line="360" w:lineRule="auto"/>
        <w:rPr>
          <w:rFonts w:ascii="Arial" w:hAnsi="Arial" w:cs="Arial"/>
        </w:rPr>
      </w:pPr>
      <w:r w:rsidRPr="00110F40">
        <w:rPr>
          <w:rFonts w:ascii="Arial" w:hAnsi="Arial" w:cs="Arial"/>
        </w:rPr>
        <w:t xml:space="preserve">The efficacy of life review therapies based on Erikson's theory is examined by Westerhof and </w:t>
      </w:r>
      <w:proofErr w:type="spellStart"/>
      <w:r w:rsidRPr="00110F40">
        <w:rPr>
          <w:rFonts w:ascii="Arial" w:hAnsi="Arial" w:cs="Arial"/>
        </w:rPr>
        <w:t>Bohlmeijer</w:t>
      </w:r>
      <w:proofErr w:type="spellEnd"/>
      <w:r w:rsidRPr="00110F40">
        <w:rPr>
          <w:rFonts w:ascii="Arial" w:hAnsi="Arial" w:cs="Arial"/>
        </w:rPr>
        <w:t xml:space="preserve"> (2020). The study shows that older persons' psychological wellbeing is much enhanced and their depressive symptoms are lessened when they engage in systematic reflection on life experiences. It demonstrates how creating a cohesive life story enables people to incorporate both good and bad experiences. Erikson's theory of attaining ego integrity is strongly supported by the results. The study also emphasises how adaptable these approaches are in various care settings.</w:t>
      </w:r>
    </w:p>
    <w:p w14:paraId="67218EB0" w14:textId="77777777" w:rsidR="005E7B79" w:rsidRDefault="005E7B79" w:rsidP="006F0485">
      <w:pPr>
        <w:spacing w:line="360" w:lineRule="auto"/>
        <w:rPr>
          <w:rFonts w:ascii="Arial" w:hAnsi="Arial" w:cs="Arial"/>
          <w:b/>
          <w:bCs/>
        </w:rPr>
      </w:pPr>
    </w:p>
    <w:p w14:paraId="16460FE5" w14:textId="17DF2881" w:rsidR="00110F40" w:rsidRPr="006F0485" w:rsidRDefault="00110F40" w:rsidP="006F0485">
      <w:pPr>
        <w:spacing w:line="360" w:lineRule="auto"/>
        <w:rPr>
          <w:rFonts w:ascii="Arial" w:hAnsi="Arial" w:cs="Arial"/>
          <w:b/>
          <w:bCs/>
        </w:rPr>
      </w:pPr>
      <w:r w:rsidRPr="006F0485">
        <w:rPr>
          <w:rFonts w:ascii="Arial" w:hAnsi="Arial" w:cs="Arial"/>
          <w:b/>
          <w:bCs/>
        </w:rPr>
        <w:t>Critical Comment:</w:t>
      </w:r>
    </w:p>
    <w:p w14:paraId="6EAEC8DE" w14:textId="77777777" w:rsidR="00D73709" w:rsidRPr="00D73709" w:rsidRDefault="00D73709" w:rsidP="006F0485">
      <w:pPr>
        <w:spacing w:line="360" w:lineRule="auto"/>
        <w:rPr>
          <w:rFonts w:ascii="Arial" w:hAnsi="Arial" w:cs="Arial"/>
        </w:rPr>
      </w:pPr>
      <w:r w:rsidRPr="00D73709">
        <w:rPr>
          <w:rFonts w:ascii="Arial" w:hAnsi="Arial" w:cs="Arial"/>
        </w:rPr>
        <w:t>excellent empirical support for practice is provided by this source's excellent meta-analytic technique. It successfully connects theory and practice, which makes it extremely pertinent to carers. However, results differ based on a person's cognitive capacity and the surrounding environment. Organisational limitations in care settings may potentially be overlooked by the study. However, it provides useful, empirically supported methods that can greatly improve residential care residents' well-being.</w:t>
      </w:r>
    </w:p>
    <w:p w14:paraId="219FE334" w14:textId="77777777" w:rsidR="005E2283" w:rsidRPr="006F0485" w:rsidRDefault="005E2283" w:rsidP="006F0485">
      <w:pPr>
        <w:spacing w:line="360" w:lineRule="auto"/>
        <w:rPr>
          <w:rFonts w:ascii="Arial" w:hAnsi="Arial" w:cs="Arial"/>
          <w:b/>
          <w:bCs/>
        </w:rPr>
      </w:pPr>
    </w:p>
    <w:p w14:paraId="6646462D" w14:textId="53F2B894" w:rsidR="00D73709" w:rsidRPr="00D73709" w:rsidRDefault="00D73709" w:rsidP="006F0485">
      <w:pPr>
        <w:spacing w:line="360" w:lineRule="auto"/>
        <w:rPr>
          <w:rFonts w:ascii="Arial" w:hAnsi="Arial" w:cs="Arial"/>
          <w:b/>
          <w:bCs/>
        </w:rPr>
      </w:pPr>
      <w:r w:rsidRPr="00D73709">
        <w:rPr>
          <w:rFonts w:ascii="Arial" w:hAnsi="Arial" w:cs="Arial"/>
          <w:b/>
          <w:bCs/>
        </w:rPr>
        <w:t>Source 3 – Positive Psychology (PERMA Model)</w:t>
      </w:r>
    </w:p>
    <w:p w14:paraId="30FF2702" w14:textId="77777777" w:rsidR="00D73709" w:rsidRPr="00D73709" w:rsidRDefault="00D73709" w:rsidP="006F0485">
      <w:pPr>
        <w:spacing w:line="360" w:lineRule="auto"/>
        <w:rPr>
          <w:rFonts w:ascii="Arial" w:hAnsi="Arial" w:cs="Arial"/>
        </w:rPr>
      </w:pPr>
      <w:r w:rsidRPr="00D73709">
        <w:rPr>
          <w:rFonts w:ascii="Arial" w:hAnsi="Arial" w:cs="Arial"/>
          <w:b/>
          <w:bCs/>
        </w:rPr>
        <w:t>Reference:</w:t>
      </w:r>
      <w:r w:rsidRPr="00D73709">
        <w:rPr>
          <w:rFonts w:ascii="Arial" w:hAnsi="Arial" w:cs="Arial"/>
          <w:b/>
          <w:bCs/>
        </w:rPr>
        <w:br/>
      </w:r>
      <w:r w:rsidRPr="00D73709">
        <w:rPr>
          <w:rFonts w:ascii="Arial" w:hAnsi="Arial" w:cs="Arial"/>
        </w:rPr>
        <w:t xml:space="preserve">Seligman, M.E.P. (2018) </w:t>
      </w:r>
      <w:r w:rsidRPr="00D73709">
        <w:rPr>
          <w:rFonts w:ascii="Arial" w:hAnsi="Arial" w:cs="Arial"/>
          <w:i/>
          <w:iCs/>
        </w:rPr>
        <w:t>The PERMA Model: Positive Psychology Theory and Practice</w:t>
      </w:r>
      <w:r w:rsidRPr="00D73709">
        <w:rPr>
          <w:rFonts w:ascii="Arial" w:hAnsi="Arial" w:cs="Arial"/>
        </w:rPr>
        <w:t>. New York: Free Press.</w:t>
      </w:r>
    </w:p>
    <w:p w14:paraId="7E814EBC" w14:textId="77777777" w:rsidR="00DF3CC1" w:rsidRDefault="00DF3CC1" w:rsidP="006F0485">
      <w:pPr>
        <w:spacing w:line="360" w:lineRule="auto"/>
        <w:rPr>
          <w:rFonts w:ascii="Arial" w:hAnsi="Arial" w:cs="Arial"/>
          <w:b/>
          <w:bCs/>
        </w:rPr>
      </w:pPr>
    </w:p>
    <w:p w14:paraId="47883877" w14:textId="0A23124A" w:rsidR="00D73709" w:rsidRPr="00D73709" w:rsidRDefault="00D73709" w:rsidP="006F0485">
      <w:pPr>
        <w:spacing w:line="360" w:lineRule="auto"/>
        <w:rPr>
          <w:rFonts w:ascii="Arial" w:hAnsi="Arial" w:cs="Arial"/>
          <w:b/>
          <w:bCs/>
        </w:rPr>
      </w:pPr>
      <w:r w:rsidRPr="00D73709">
        <w:rPr>
          <w:rFonts w:ascii="Arial" w:hAnsi="Arial" w:cs="Arial"/>
          <w:b/>
          <w:bCs/>
        </w:rPr>
        <w:t>Summary:</w:t>
      </w:r>
    </w:p>
    <w:p w14:paraId="19848305" w14:textId="64DF2737" w:rsidR="00D73709" w:rsidRPr="006F0485" w:rsidRDefault="00D73709" w:rsidP="006F0485">
      <w:pPr>
        <w:spacing w:line="360" w:lineRule="auto"/>
        <w:rPr>
          <w:rFonts w:ascii="Arial" w:hAnsi="Arial" w:cs="Arial"/>
        </w:rPr>
      </w:pPr>
      <w:r w:rsidRPr="006F0485">
        <w:rPr>
          <w:rFonts w:ascii="Arial" w:hAnsi="Arial" w:cs="Arial"/>
        </w:rPr>
        <w:t xml:space="preserve"> The five components of the PERMA model—positive emotion, engagement, relationships, meaning, and accomplishment—are used by Seligman (2018) to describe wellbeing. </w:t>
      </w:r>
      <w:r w:rsidR="00373688" w:rsidRPr="006F0485">
        <w:rPr>
          <w:rFonts w:ascii="Arial" w:hAnsi="Arial" w:cs="Arial"/>
        </w:rPr>
        <w:t>Instead,</w:t>
      </w:r>
      <w:r w:rsidRPr="006F0485">
        <w:rPr>
          <w:rFonts w:ascii="Arial" w:hAnsi="Arial" w:cs="Arial"/>
        </w:rPr>
        <w:t xml:space="preserve"> </w:t>
      </w:r>
      <w:r w:rsidR="001970B2" w:rsidRPr="006F0485">
        <w:rPr>
          <w:rFonts w:ascii="Arial" w:hAnsi="Arial" w:cs="Arial"/>
        </w:rPr>
        <w:t>then</w:t>
      </w:r>
      <w:r w:rsidRPr="006F0485">
        <w:rPr>
          <w:rFonts w:ascii="Arial" w:hAnsi="Arial" w:cs="Arial"/>
        </w:rPr>
        <w:t xml:space="preserve"> focusing only on the absence of disease, the approach emphasises flourishing. It emphasises the significance of preserving social ties and a sense of purpose in later life. Despite cognitive or physical decline, the paradigm offers a framework for improving quality of life. It is frequently used to create wellbeing-focused treatments in the health and social care sectors.</w:t>
      </w:r>
    </w:p>
    <w:p w14:paraId="48E43B47" w14:textId="5C7CEC24" w:rsidR="00D73709" w:rsidRPr="006F0485" w:rsidRDefault="00D73709" w:rsidP="006F0485">
      <w:pPr>
        <w:spacing w:line="360" w:lineRule="auto"/>
        <w:rPr>
          <w:rFonts w:ascii="Arial" w:hAnsi="Arial" w:cs="Arial"/>
          <w:b/>
          <w:bCs/>
        </w:rPr>
      </w:pPr>
      <w:r w:rsidRPr="006F0485">
        <w:rPr>
          <w:rFonts w:ascii="Arial" w:hAnsi="Arial" w:cs="Arial"/>
        </w:rPr>
        <w:t xml:space="preserve"> </w:t>
      </w:r>
    </w:p>
    <w:p w14:paraId="1CA7D264" w14:textId="77777777" w:rsidR="00280D84" w:rsidRPr="006F0485" w:rsidRDefault="00280D84" w:rsidP="006F0485">
      <w:pPr>
        <w:spacing w:line="360" w:lineRule="auto"/>
        <w:rPr>
          <w:rFonts w:ascii="Arial" w:hAnsi="Arial" w:cs="Arial"/>
          <w:b/>
          <w:bCs/>
        </w:rPr>
      </w:pPr>
    </w:p>
    <w:p w14:paraId="1186FB5C" w14:textId="29EA4D65" w:rsidR="00D73709" w:rsidRPr="006F0485" w:rsidRDefault="00D73709" w:rsidP="006F0485">
      <w:pPr>
        <w:spacing w:line="360" w:lineRule="auto"/>
        <w:rPr>
          <w:rFonts w:ascii="Arial" w:hAnsi="Arial" w:cs="Arial"/>
          <w:b/>
          <w:bCs/>
        </w:rPr>
      </w:pPr>
      <w:r w:rsidRPr="006F0485">
        <w:rPr>
          <w:rFonts w:ascii="Arial" w:hAnsi="Arial" w:cs="Arial"/>
          <w:b/>
          <w:bCs/>
        </w:rPr>
        <w:lastRenderedPageBreak/>
        <w:t>Critical Comment:</w:t>
      </w:r>
    </w:p>
    <w:p w14:paraId="3C462666" w14:textId="77777777" w:rsidR="00D73709" w:rsidRPr="00D73709" w:rsidRDefault="00D73709" w:rsidP="006F0485">
      <w:pPr>
        <w:spacing w:line="360" w:lineRule="auto"/>
        <w:rPr>
          <w:rFonts w:ascii="Arial" w:hAnsi="Arial" w:cs="Arial"/>
        </w:rPr>
      </w:pPr>
      <w:r w:rsidRPr="00D73709">
        <w:rPr>
          <w:rFonts w:ascii="Arial" w:hAnsi="Arial" w:cs="Arial"/>
        </w:rPr>
        <w:t>The PERMA model's holistic, strengths-based approach to wellbeing makes it extremely valuable. It is easily applicable in care settings due to its practical aspect. It has been attacked, meanwhile, for ignoring structural and health-related obstacles that older individuals face. Furthermore, it might not adequately address the complexity of cognitive decline. Notwithstanding these drawbacks, it is nevertheless very important for advancing person-centred care and enhancing psychological wellness in residential settings.</w:t>
      </w:r>
    </w:p>
    <w:p w14:paraId="1D7B76AC" w14:textId="77777777" w:rsidR="0096417B" w:rsidRPr="006F0485" w:rsidRDefault="0096417B" w:rsidP="006F0485">
      <w:pPr>
        <w:spacing w:line="360" w:lineRule="auto"/>
        <w:rPr>
          <w:rFonts w:ascii="Arial" w:hAnsi="Arial" w:cs="Arial"/>
          <w:b/>
          <w:bCs/>
        </w:rPr>
      </w:pPr>
    </w:p>
    <w:p w14:paraId="5EFAA188" w14:textId="7F98A193" w:rsidR="00D73709" w:rsidRPr="00D73709" w:rsidRDefault="00D73709" w:rsidP="006F0485">
      <w:pPr>
        <w:spacing w:line="360" w:lineRule="auto"/>
        <w:rPr>
          <w:rFonts w:ascii="Arial" w:hAnsi="Arial" w:cs="Arial"/>
          <w:b/>
          <w:bCs/>
        </w:rPr>
      </w:pPr>
      <w:r w:rsidRPr="00D73709">
        <w:rPr>
          <w:rFonts w:ascii="Arial" w:hAnsi="Arial" w:cs="Arial"/>
          <w:b/>
          <w:bCs/>
        </w:rPr>
        <w:t>Source 4 – Positive Psychology Interventions</w:t>
      </w:r>
    </w:p>
    <w:p w14:paraId="5013DA30" w14:textId="03CDB70F" w:rsidR="00D73709" w:rsidRPr="00D73709" w:rsidRDefault="00D73709" w:rsidP="006F0485">
      <w:pPr>
        <w:spacing w:line="360" w:lineRule="auto"/>
        <w:rPr>
          <w:rFonts w:ascii="Arial" w:hAnsi="Arial" w:cs="Arial"/>
        </w:rPr>
      </w:pPr>
      <w:r w:rsidRPr="00D73709">
        <w:rPr>
          <w:rFonts w:ascii="Arial" w:hAnsi="Arial" w:cs="Arial"/>
          <w:b/>
          <w:bCs/>
        </w:rPr>
        <w:t>Reference:</w:t>
      </w:r>
      <w:r w:rsidRPr="00D73709">
        <w:rPr>
          <w:rFonts w:ascii="Arial" w:hAnsi="Arial" w:cs="Arial"/>
        </w:rPr>
        <w:br/>
      </w:r>
      <w:proofErr w:type="spellStart"/>
      <w:r w:rsidRPr="00D73709">
        <w:rPr>
          <w:rFonts w:ascii="Arial" w:hAnsi="Arial" w:cs="Arial"/>
        </w:rPr>
        <w:t>Bolier</w:t>
      </w:r>
      <w:proofErr w:type="spellEnd"/>
      <w:r w:rsidRPr="00D73709">
        <w:rPr>
          <w:rFonts w:ascii="Arial" w:hAnsi="Arial" w:cs="Arial"/>
        </w:rPr>
        <w:t xml:space="preserve">, L. et al. (2020) ‘Positive psychology interventions: a meta-analysis of randomized controlled studies’, </w:t>
      </w:r>
      <w:r w:rsidRPr="00D73709">
        <w:rPr>
          <w:rFonts w:ascii="Arial" w:hAnsi="Arial" w:cs="Arial"/>
          <w:i/>
          <w:iCs/>
        </w:rPr>
        <w:t>BMC Public Health</w:t>
      </w:r>
      <w:r w:rsidRPr="00D73709">
        <w:rPr>
          <w:rFonts w:ascii="Arial" w:hAnsi="Arial" w:cs="Arial"/>
        </w:rPr>
        <w:t xml:space="preserve">, 20, 1536. Available at: </w:t>
      </w:r>
      <w:hyperlink r:id="rId12" w:history="1">
        <w:r w:rsidR="009A61C1" w:rsidRPr="00D73709">
          <w:rPr>
            <w:rStyle w:val="Hyperlink"/>
            <w:rFonts w:ascii="Arial" w:hAnsi="Arial" w:cs="Arial"/>
          </w:rPr>
          <w:t>https://doi.org/10.1186/s12889-020-09699-4</w:t>
        </w:r>
      </w:hyperlink>
      <w:r w:rsidR="009A61C1" w:rsidRPr="006F0485">
        <w:rPr>
          <w:rFonts w:ascii="Arial" w:hAnsi="Arial" w:cs="Arial"/>
        </w:rPr>
        <w:t xml:space="preserve"> </w:t>
      </w:r>
    </w:p>
    <w:p w14:paraId="24A63FFA" w14:textId="77777777" w:rsidR="00D73709" w:rsidRPr="006F0485" w:rsidRDefault="00D73709" w:rsidP="006F0485">
      <w:pPr>
        <w:spacing w:line="360" w:lineRule="auto"/>
        <w:rPr>
          <w:rFonts w:ascii="Arial" w:hAnsi="Arial" w:cs="Arial"/>
          <w:b/>
          <w:bCs/>
        </w:rPr>
      </w:pPr>
      <w:r w:rsidRPr="00D73709">
        <w:rPr>
          <w:rFonts w:ascii="Arial" w:hAnsi="Arial" w:cs="Arial"/>
          <w:b/>
          <w:bCs/>
        </w:rPr>
        <w:t>Summary:</w:t>
      </w:r>
    </w:p>
    <w:p w14:paraId="25B3D900" w14:textId="7F4A0BBF" w:rsidR="0096417B" w:rsidRPr="006F0485" w:rsidRDefault="00295E40" w:rsidP="006F0485">
      <w:pPr>
        <w:spacing w:line="360" w:lineRule="auto"/>
        <w:rPr>
          <w:rFonts w:ascii="Arial" w:hAnsi="Arial" w:cs="Arial"/>
        </w:rPr>
      </w:pPr>
      <w:proofErr w:type="spellStart"/>
      <w:r w:rsidRPr="006F0485">
        <w:rPr>
          <w:rFonts w:ascii="Arial" w:hAnsi="Arial" w:cs="Arial"/>
        </w:rPr>
        <w:t>Bolier</w:t>
      </w:r>
      <w:proofErr w:type="spellEnd"/>
      <w:r w:rsidRPr="006F0485">
        <w:rPr>
          <w:rFonts w:ascii="Arial" w:hAnsi="Arial" w:cs="Arial"/>
        </w:rPr>
        <w:t xml:space="preserve"> et al. (2020) evaluate the effectiveness of positive psychology interventions across a range of populations, including older adults. The study finds that approaches such as gratitude exercises, strengths-based activities, and increased social engagement led to significant improvements in overall wellbeing. These findings provide strong support for the core principles of positive psychology, particularly those outlined in the PERMA model. The research highlights measurable outcomes, including increased life satisfaction and a reduction in depressive symptoms among participants. Furthermore, the study emphasises the adaptability and practicality of these interventions within different care settings, including residential environments. This suggests that positive psychology strategies can be successfully implemented by health and social care professionals to enhance the emotional wellbeing and quality of life of older adults.</w:t>
      </w:r>
    </w:p>
    <w:p w14:paraId="7296889A" w14:textId="12FD97C3" w:rsidR="00D73709" w:rsidRPr="006F0485" w:rsidRDefault="00D73709" w:rsidP="006F0485">
      <w:pPr>
        <w:spacing w:line="360" w:lineRule="auto"/>
        <w:rPr>
          <w:rFonts w:ascii="Arial" w:hAnsi="Arial" w:cs="Arial"/>
          <w:b/>
          <w:bCs/>
        </w:rPr>
      </w:pPr>
      <w:r w:rsidRPr="006F0485">
        <w:rPr>
          <w:rFonts w:ascii="Arial" w:hAnsi="Arial" w:cs="Arial"/>
          <w:b/>
          <w:bCs/>
        </w:rPr>
        <w:t>Critical Comment:</w:t>
      </w:r>
    </w:p>
    <w:p w14:paraId="5DC38CF1" w14:textId="6D0DC431" w:rsidR="00D73709" w:rsidRPr="006F0485" w:rsidRDefault="00F61951" w:rsidP="006F0485">
      <w:pPr>
        <w:spacing w:line="360" w:lineRule="auto"/>
        <w:rPr>
          <w:rFonts w:ascii="Arial" w:hAnsi="Arial" w:cs="Arial"/>
        </w:rPr>
      </w:pPr>
      <w:r w:rsidRPr="006F0485">
        <w:rPr>
          <w:rFonts w:ascii="Arial" w:hAnsi="Arial" w:cs="Arial"/>
        </w:rPr>
        <w:t xml:space="preserve">This study's use of randomised controlled trials, which bolster the validity and dependability of its conclusions, lends it a high degree of trustworthiness. It offers solid empirical evidence in favour of using positive psychology interventions in real-world settings to enhance wellbeing. The very small impact sizes that have been documented, however, imply that these interventions might work better when combined with other methods of care than when used alone. Furthermore, its relevance to older persons with more complicated needs—such as those with advanced cognitive impairment or various health conditions—may be limited </w:t>
      </w:r>
      <w:r w:rsidRPr="006F0485">
        <w:rPr>
          <w:rFonts w:ascii="Arial" w:hAnsi="Arial" w:cs="Arial"/>
        </w:rPr>
        <w:lastRenderedPageBreak/>
        <w:t>using a generalised sample. Notwithstanding these drawbacks, the study provides important evidence in favour of incorporating wellbeing-focused interventions into residential care to improve general quality of life.</w:t>
      </w:r>
    </w:p>
    <w:p w14:paraId="2022B497" w14:textId="77777777" w:rsidR="00D73709" w:rsidRPr="006F0485" w:rsidRDefault="00D73709" w:rsidP="006F0485">
      <w:pPr>
        <w:spacing w:line="360" w:lineRule="auto"/>
        <w:rPr>
          <w:rFonts w:ascii="Arial" w:hAnsi="Arial" w:cs="Arial"/>
        </w:rPr>
      </w:pPr>
    </w:p>
    <w:p w14:paraId="5DE7C2D1" w14:textId="77777777" w:rsidR="00506E1D" w:rsidRPr="006F0485" w:rsidRDefault="00506E1D" w:rsidP="006F0485">
      <w:pPr>
        <w:spacing w:line="360" w:lineRule="auto"/>
        <w:rPr>
          <w:rFonts w:ascii="Arial" w:hAnsi="Arial" w:cs="Arial"/>
          <w:b/>
          <w:bCs/>
        </w:rPr>
      </w:pPr>
    </w:p>
    <w:p w14:paraId="585359C5" w14:textId="77777777" w:rsidR="00B635F6" w:rsidRDefault="00B635F6" w:rsidP="006F0485">
      <w:pPr>
        <w:spacing w:line="360" w:lineRule="auto"/>
        <w:rPr>
          <w:rFonts w:ascii="Arial" w:hAnsi="Arial" w:cs="Arial"/>
          <w:b/>
          <w:bCs/>
        </w:rPr>
      </w:pPr>
    </w:p>
    <w:p w14:paraId="0D59249A" w14:textId="77777777" w:rsidR="00B635F6" w:rsidRDefault="00B635F6" w:rsidP="006F0485">
      <w:pPr>
        <w:spacing w:line="360" w:lineRule="auto"/>
        <w:rPr>
          <w:rFonts w:ascii="Arial" w:hAnsi="Arial" w:cs="Arial"/>
          <w:b/>
          <w:bCs/>
        </w:rPr>
      </w:pPr>
    </w:p>
    <w:p w14:paraId="6EE99C60" w14:textId="77777777" w:rsidR="00B635F6" w:rsidRDefault="00B635F6" w:rsidP="006F0485">
      <w:pPr>
        <w:spacing w:line="360" w:lineRule="auto"/>
        <w:rPr>
          <w:rFonts w:ascii="Arial" w:hAnsi="Arial" w:cs="Arial"/>
          <w:b/>
          <w:bCs/>
        </w:rPr>
      </w:pPr>
    </w:p>
    <w:p w14:paraId="74F63353" w14:textId="77777777" w:rsidR="00B635F6" w:rsidRDefault="00B635F6" w:rsidP="006F0485">
      <w:pPr>
        <w:spacing w:line="360" w:lineRule="auto"/>
        <w:rPr>
          <w:rFonts w:ascii="Arial" w:hAnsi="Arial" w:cs="Arial"/>
          <w:b/>
          <w:bCs/>
        </w:rPr>
      </w:pPr>
    </w:p>
    <w:p w14:paraId="5E9CDF03" w14:textId="77777777" w:rsidR="00B635F6" w:rsidRDefault="00B635F6" w:rsidP="006F0485">
      <w:pPr>
        <w:spacing w:line="360" w:lineRule="auto"/>
        <w:rPr>
          <w:rFonts w:ascii="Arial" w:hAnsi="Arial" w:cs="Arial"/>
          <w:b/>
          <w:bCs/>
        </w:rPr>
      </w:pPr>
    </w:p>
    <w:p w14:paraId="62A5546F" w14:textId="77777777" w:rsidR="00B635F6" w:rsidRDefault="00B635F6" w:rsidP="006F0485">
      <w:pPr>
        <w:spacing w:line="360" w:lineRule="auto"/>
        <w:rPr>
          <w:rFonts w:ascii="Arial" w:hAnsi="Arial" w:cs="Arial"/>
          <w:b/>
          <w:bCs/>
        </w:rPr>
      </w:pPr>
    </w:p>
    <w:p w14:paraId="0645E2F0" w14:textId="77777777" w:rsidR="00B635F6" w:rsidRDefault="00B635F6" w:rsidP="006F0485">
      <w:pPr>
        <w:spacing w:line="360" w:lineRule="auto"/>
        <w:rPr>
          <w:rFonts w:ascii="Arial" w:hAnsi="Arial" w:cs="Arial"/>
          <w:b/>
          <w:bCs/>
        </w:rPr>
      </w:pPr>
    </w:p>
    <w:p w14:paraId="5A12E50C" w14:textId="77777777" w:rsidR="00B635F6" w:rsidRDefault="00B635F6" w:rsidP="006F0485">
      <w:pPr>
        <w:spacing w:line="360" w:lineRule="auto"/>
        <w:rPr>
          <w:rFonts w:ascii="Arial" w:hAnsi="Arial" w:cs="Arial"/>
          <w:b/>
          <w:bCs/>
        </w:rPr>
      </w:pPr>
    </w:p>
    <w:p w14:paraId="235ECC49" w14:textId="77777777" w:rsidR="00B635F6" w:rsidRDefault="00B635F6" w:rsidP="006F0485">
      <w:pPr>
        <w:spacing w:line="360" w:lineRule="auto"/>
        <w:rPr>
          <w:rFonts w:ascii="Arial" w:hAnsi="Arial" w:cs="Arial"/>
          <w:b/>
          <w:bCs/>
        </w:rPr>
      </w:pPr>
    </w:p>
    <w:p w14:paraId="703B2F4C" w14:textId="77777777" w:rsidR="00B635F6" w:rsidRDefault="00B635F6" w:rsidP="006F0485">
      <w:pPr>
        <w:spacing w:line="360" w:lineRule="auto"/>
        <w:rPr>
          <w:rFonts w:ascii="Arial" w:hAnsi="Arial" w:cs="Arial"/>
          <w:b/>
          <w:bCs/>
        </w:rPr>
      </w:pPr>
    </w:p>
    <w:p w14:paraId="73B991BC" w14:textId="77777777" w:rsidR="00B635F6" w:rsidRDefault="00B635F6" w:rsidP="006F0485">
      <w:pPr>
        <w:spacing w:line="360" w:lineRule="auto"/>
        <w:rPr>
          <w:rFonts w:ascii="Arial" w:hAnsi="Arial" w:cs="Arial"/>
          <w:b/>
          <w:bCs/>
        </w:rPr>
      </w:pPr>
    </w:p>
    <w:p w14:paraId="22A1A68F" w14:textId="77777777" w:rsidR="00B635F6" w:rsidRDefault="00B635F6" w:rsidP="006F0485">
      <w:pPr>
        <w:spacing w:line="360" w:lineRule="auto"/>
        <w:rPr>
          <w:rFonts w:ascii="Arial" w:hAnsi="Arial" w:cs="Arial"/>
          <w:b/>
          <w:bCs/>
        </w:rPr>
      </w:pPr>
    </w:p>
    <w:p w14:paraId="6EC4E203" w14:textId="77777777" w:rsidR="00B635F6" w:rsidRDefault="00B635F6" w:rsidP="006F0485">
      <w:pPr>
        <w:spacing w:line="360" w:lineRule="auto"/>
        <w:rPr>
          <w:rFonts w:ascii="Arial" w:hAnsi="Arial" w:cs="Arial"/>
          <w:b/>
          <w:bCs/>
        </w:rPr>
      </w:pPr>
    </w:p>
    <w:p w14:paraId="5B3AD8EE" w14:textId="77777777" w:rsidR="00B635F6" w:rsidRDefault="00B635F6" w:rsidP="006F0485">
      <w:pPr>
        <w:spacing w:line="360" w:lineRule="auto"/>
        <w:rPr>
          <w:rFonts w:ascii="Arial" w:hAnsi="Arial" w:cs="Arial"/>
          <w:b/>
          <w:bCs/>
        </w:rPr>
      </w:pPr>
    </w:p>
    <w:p w14:paraId="6E03D937" w14:textId="77777777" w:rsidR="00B635F6" w:rsidRDefault="00B635F6" w:rsidP="006F0485">
      <w:pPr>
        <w:spacing w:line="360" w:lineRule="auto"/>
        <w:rPr>
          <w:rFonts w:ascii="Arial" w:hAnsi="Arial" w:cs="Arial"/>
          <w:b/>
          <w:bCs/>
        </w:rPr>
      </w:pPr>
    </w:p>
    <w:p w14:paraId="34ECA9D8" w14:textId="77777777" w:rsidR="00B635F6" w:rsidRDefault="00B635F6" w:rsidP="006F0485">
      <w:pPr>
        <w:spacing w:line="360" w:lineRule="auto"/>
        <w:rPr>
          <w:rFonts w:ascii="Arial" w:hAnsi="Arial" w:cs="Arial"/>
          <w:b/>
          <w:bCs/>
        </w:rPr>
      </w:pPr>
    </w:p>
    <w:p w14:paraId="0CFEA1CD" w14:textId="77777777" w:rsidR="00B635F6" w:rsidRDefault="00B635F6" w:rsidP="006F0485">
      <w:pPr>
        <w:spacing w:line="360" w:lineRule="auto"/>
        <w:rPr>
          <w:rFonts w:ascii="Arial" w:hAnsi="Arial" w:cs="Arial"/>
          <w:b/>
          <w:bCs/>
        </w:rPr>
      </w:pPr>
    </w:p>
    <w:p w14:paraId="39861C43" w14:textId="77777777" w:rsidR="00B635F6" w:rsidRDefault="00B635F6" w:rsidP="006F0485">
      <w:pPr>
        <w:spacing w:line="360" w:lineRule="auto"/>
        <w:rPr>
          <w:rFonts w:ascii="Arial" w:hAnsi="Arial" w:cs="Arial"/>
          <w:b/>
          <w:bCs/>
        </w:rPr>
      </w:pPr>
    </w:p>
    <w:p w14:paraId="6A42BA39" w14:textId="77777777" w:rsidR="00B635F6" w:rsidRDefault="00B635F6" w:rsidP="006F0485">
      <w:pPr>
        <w:spacing w:line="360" w:lineRule="auto"/>
        <w:rPr>
          <w:rFonts w:ascii="Arial" w:hAnsi="Arial" w:cs="Arial"/>
          <w:b/>
          <w:bCs/>
        </w:rPr>
      </w:pPr>
    </w:p>
    <w:p w14:paraId="1B93EF90" w14:textId="77777777" w:rsidR="00B635F6" w:rsidRDefault="00B635F6" w:rsidP="006F0485">
      <w:pPr>
        <w:spacing w:line="360" w:lineRule="auto"/>
        <w:rPr>
          <w:rFonts w:ascii="Arial" w:hAnsi="Arial" w:cs="Arial"/>
          <w:b/>
          <w:bCs/>
        </w:rPr>
      </w:pPr>
    </w:p>
    <w:p w14:paraId="3CC848CC" w14:textId="77777777" w:rsidR="00B635F6" w:rsidRDefault="00B635F6" w:rsidP="006F0485">
      <w:pPr>
        <w:spacing w:line="360" w:lineRule="auto"/>
        <w:rPr>
          <w:rFonts w:ascii="Arial" w:hAnsi="Arial" w:cs="Arial"/>
          <w:b/>
          <w:bCs/>
        </w:rPr>
      </w:pPr>
    </w:p>
    <w:p w14:paraId="43AEAFE3" w14:textId="155A1AF1" w:rsidR="00B17C09" w:rsidRPr="00B17C09" w:rsidRDefault="00B17C09" w:rsidP="006F0485">
      <w:pPr>
        <w:spacing w:line="360" w:lineRule="auto"/>
        <w:rPr>
          <w:rFonts w:ascii="Arial" w:hAnsi="Arial" w:cs="Arial"/>
          <w:b/>
          <w:bCs/>
        </w:rPr>
      </w:pPr>
      <w:r w:rsidRPr="00B17C09">
        <w:rPr>
          <w:rFonts w:ascii="Arial" w:hAnsi="Arial" w:cs="Arial"/>
          <w:b/>
          <w:bCs/>
        </w:rPr>
        <w:lastRenderedPageBreak/>
        <w:t>Part B: Short Report</w:t>
      </w:r>
    </w:p>
    <w:p w14:paraId="1F9E66AB" w14:textId="411F42BA" w:rsidR="00B17C09" w:rsidRPr="00E05A45" w:rsidRDefault="00B17C09" w:rsidP="00E05A45">
      <w:pPr>
        <w:spacing w:line="360" w:lineRule="auto"/>
        <w:rPr>
          <w:rFonts w:ascii="Arial" w:hAnsi="Arial" w:cs="Arial"/>
          <w:b/>
          <w:bCs/>
        </w:rPr>
      </w:pPr>
      <w:r w:rsidRPr="00E05A45">
        <w:rPr>
          <w:rFonts w:ascii="Arial" w:hAnsi="Arial" w:cs="Arial"/>
          <w:b/>
          <w:bCs/>
        </w:rPr>
        <w:t>Introduction</w:t>
      </w:r>
    </w:p>
    <w:p w14:paraId="65BA0F31" w14:textId="65D69DB8" w:rsidR="00B17C09" w:rsidRPr="002925E3" w:rsidRDefault="00B17C09" w:rsidP="002925E3">
      <w:pPr>
        <w:spacing w:after="0" w:line="360" w:lineRule="auto"/>
        <w:rPr>
          <w:rFonts w:ascii="Arial" w:eastAsia="Times New Roman" w:hAnsi="Arial" w:cs="Arial"/>
          <w:kern w:val="0"/>
          <w:lang w:eastAsia="en-GB"/>
          <w14:ligatures w14:val="none"/>
        </w:rPr>
      </w:pPr>
      <w:r w:rsidRPr="002925E3">
        <w:rPr>
          <w:rFonts w:ascii="Arial" w:eastAsia="Times New Roman" w:hAnsi="Arial" w:cs="Arial"/>
          <w:kern w:val="0"/>
          <w:lang w:eastAsia="en-GB"/>
          <w14:ligatures w14:val="none"/>
        </w:rPr>
        <w:t xml:space="preserve">The purpose of this paper is to give social workers and health care providers an evidence-based understanding of how psychological theory might improve the wellness of senior citizens receiving residential care. It </w:t>
      </w:r>
      <w:r w:rsidR="007442FE" w:rsidRPr="002925E3">
        <w:rPr>
          <w:rFonts w:ascii="Arial" w:eastAsia="Times New Roman" w:hAnsi="Arial" w:cs="Arial"/>
          <w:kern w:val="0"/>
          <w:lang w:eastAsia="en-GB"/>
          <w14:ligatures w14:val="none"/>
        </w:rPr>
        <w:t>centres</w:t>
      </w:r>
      <w:r w:rsidRPr="002925E3">
        <w:rPr>
          <w:rFonts w:ascii="Arial" w:eastAsia="Times New Roman" w:hAnsi="Arial" w:cs="Arial"/>
          <w:kern w:val="0"/>
          <w:lang w:eastAsia="en-GB"/>
          <w14:ligatures w14:val="none"/>
        </w:rPr>
        <w:t xml:space="preserve"> on the stage of ego integrity vs despair in Erikson's psychosocial theory. As people consider their lives and look for purpose, this stage is crucial to later-life development. By putting this principle into practice, one can enhance mental health, lessen suffering, and uphold dignity. Its use, including useful tactics and difficulties in care home settings, is critically examined in this research.</w:t>
      </w:r>
    </w:p>
    <w:p w14:paraId="3973E4D5" w14:textId="77777777" w:rsidR="00B17C09" w:rsidRPr="006F0485" w:rsidRDefault="00B17C09" w:rsidP="006F0485">
      <w:pPr>
        <w:pStyle w:val="ListParagraph"/>
        <w:spacing w:line="360" w:lineRule="auto"/>
        <w:rPr>
          <w:rFonts w:ascii="Arial" w:hAnsi="Arial" w:cs="Arial"/>
        </w:rPr>
      </w:pPr>
    </w:p>
    <w:p w14:paraId="4C67B1DD" w14:textId="6A9D8B41" w:rsidR="00B17C09" w:rsidRPr="002925E3" w:rsidRDefault="00B17C09" w:rsidP="002925E3">
      <w:pPr>
        <w:spacing w:line="360" w:lineRule="auto"/>
        <w:rPr>
          <w:rFonts w:ascii="Arial" w:hAnsi="Arial" w:cs="Arial"/>
          <w:b/>
          <w:bCs/>
        </w:rPr>
      </w:pPr>
      <w:r w:rsidRPr="002925E3">
        <w:rPr>
          <w:rFonts w:ascii="Arial" w:hAnsi="Arial" w:cs="Arial"/>
          <w:b/>
          <w:bCs/>
        </w:rPr>
        <w:t>Explanation of the Theory</w:t>
      </w:r>
    </w:p>
    <w:p w14:paraId="17166F10" w14:textId="77777777" w:rsidR="00A01D46" w:rsidRPr="002925E3" w:rsidRDefault="00A01D46" w:rsidP="002925E3">
      <w:pPr>
        <w:spacing w:line="360" w:lineRule="auto"/>
        <w:rPr>
          <w:rFonts w:ascii="Arial" w:hAnsi="Arial" w:cs="Arial"/>
        </w:rPr>
      </w:pPr>
      <w:r w:rsidRPr="002925E3">
        <w:rPr>
          <w:rFonts w:ascii="Arial" w:hAnsi="Arial" w:cs="Arial"/>
        </w:rPr>
        <w:t>According to Erikson's psychosocial theory, human development occurs in eight different stages, each of which has a primary psychological conflict that needs to be addressed. The main struggle in senior adulthood is between despair and ego integrity. When people look back on their lives with a sense of acceptance, coherence, and contentment and acknowledge both successes and regrets as significant parts of their life path, they have acquired ego integrity. On the other hand, despair, which is frequently accompanied by a fear of dying, develops when people feel regret, discontent, or a sense that their existence has no meaning.</w:t>
      </w:r>
    </w:p>
    <w:p w14:paraId="3609E8D6" w14:textId="77777777" w:rsidR="00B01AFB" w:rsidRPr="002925E3" w:rsidRDefault="00B01AFB" w:rsidP="002925E3">
      <w:pPr>
        <w:spacing w:line="360" w:lineRule="auto"/>
        <w:rPr>
          <w:rFonts w:ascii="Arial" w:hAnsi="Arial" w:cs="Arial"/>
        </w:rPr>
      </w:pPr>
      <w:r w:rsidRPr="002925E3">
        <w:rPr>
          <w:rFonts w:ascii="Arial" w:hAnsi="Arial" w:cs="Arial"/>
        </w:rPr>
        <w:t>The significance of this step is supported by empirical research, which shows that successful resolution is linked to increased life satisfaction, better psychological wellness, and lower levels of depression (Knight and Wahl, 2019). The hypothesis is consistent with more general viewpoints on lifespan development, which highlight that psychological development and adaptation do not cease in early adulthood but rather continue throughout later life. Erikson's model has been critiqued, meanwhile, for its linear structure and scant attention to environmental and societal elements that could affect people's experiences as they mature.</w:t>
      </w:r>
    </w:p>
    <w:p w14:paraId="67F71D90" w14:textId="77777777" w:rsidR="00C15EA7" w:rsidRPr="002925E3" w:rsidRDefault="00C15EA7" w:rsidP="002925E3">
      <w:pPr>
        <w:spacing w:line="360" w:lineRule="auto"/>
        <w:rPr>
          <w:rFonts w:ascii="Arial" w:hAnsi="Arial" w:cs="Arial"/>
        </w:rPr>
      </w:pPr>
      <w:r w:rsidRPr="002925E3">
        <w:rPr>
          <w:rFonts w:ascii="Arial" w:hAnsi="Arial" w:cs="Arial"/>
        </w:rPr>
        <w:t>The idea is nonetheless quite useful for comprehending emotional processes in later life, despite these drawbacks. This stage is especially important in residential care settings because clients frequently deal with issues including identity changes, relocation, and loss of independence. Therefore, encouraging introspection, affirmation, and meaningful interaction might improve people's psychological health and general quality of life.</w:t>
      </w:r>
    </w:p>
    <w:p w14:paraId="678F8EFA" w14:textId="77777777" w:rsidR="00B17C09" w:rsidRPr="006F0485" w:rsidRDefault="00B17C09" w:rsidP="006F0485">
      <w:pPr>
        <w:pStyle w:val="ListParagraph"/>
        <w:spacing w:line="360" w:lineRule="auto"/>
        <w:rPr>
          <w:rFonts w:ascii="Arial" w:hAnsi="Arial" w:cs="Arial"/>
        </w:rPr>
      </w:pPr>
    </w:p>
    <w:p w14:paraId="1AEAF243" w14:textId="77777777" w:rsidR="00B635F6" w:rsidRDefault="00B17C09" w:rsidP="006F0485">
      <w:pPr>
        <w:spacing w:line="360" w:lineRule="auto"/>
        <w:rPr>
          <w:rFonts w:ascii="Arial" w:hAnsi="Arial" w:cs="Arial"/>
          <w:b/>
          <w:bCs/>
        </w:rPr>
      </w:pPr>
      <w:r w:rsidRPr="006F0485">
        <w:rPr>
          <w:rFonts w:ascii="Arial" w:hAnsi="Arial" w:cs="Arial"/>
          <w:b/>
          <w:bCs/>
        </w:rPr>
        <w:t xml:space="preserve"> </w:t>
      </w:r>
    </w:p>
    <w:p w14:paraId="47A67251" w14:textId="5943D90F" w:rsidR="005C7F50" w:rsidRDefault="00277E63" w:rsidP="006F0485">
      <w:pPr>
        <w:spacing w:line="360" w:lineRule="auto"/>
        <w:rPr>
          <w:rFonts w:ascii="Arial" w:eastAsia="Times New Roman" w:hAnsi="Arial" w:cs="Arial"/>
          <w:b/>
          <w:bCs/>
          <w:kern w:val="0"/>
          <w:lang w:eastAsia="en-GB"/>
          <w14:ligatures w14:val="none"/>
        </w:rPr>
      </w:pPr>
      <w:r w:rsidRPr="006F0485">
        <w:rPr>
          <w:rFonts w:ascii="Arial" w:eastAsia="Times New Roman" w:hAnsi="Arial" w:cs="Arial"/>
          <w:b/>
          <w:bCs/>
          <w:kern w:val="0"/>
          <w:lang w:eastAsia="en-GB"/>
          <w14:ligatures w14:val="none"/>
        </w:rPr>
        <w:lastRenderedPageBreak/>
        <w:t>A</w:t>
      </w:r>
      <w:r w:rsidR="003F5AAE" w:rsidRPr="006F0485">
        <w:rPr>
          <w:rFonts w:ascii="Arial" w:eastAsia="Times New Roman" w:hAnsi="Arial" w:cs="Arial"/>
          <w:b/>
          <w:bCs/>
          <w:kern w:val="0"/>
          <w:lang w:eastAsia="en-GB"/>
          <w14:ligatures w14:val="none"/>
        </w:rPr>
        <w:t>p</w:t>
      </w:r>
      <w:r w:rsidR="009E797D" w:rsidRPr="006F0485">
        <w:rPr>
          <w:rFonts w:ascii="Arial" w:eastAsia="Times New Roman" w:hAnsi="Arial" w:cs="Arial"/>
          <w:b/>
          <w:bCs/>
          <w:kern w:val="0"/>
          <w:lang w:eastAsia="en-GB"/>
          <w14:ligatures w14:val="none"/>
        </w:rPr>
        <w:t>plication to Residential Care</w:t>
      </w:r>
    </w:p>
    <w:p w14:paraId="0597C079" w14:textId="739C20E2" w:rsidR="002C5C53" w:rsidRPr="002925E3" w:rsidRDefault="00D01B6A" w:rsidP="006F0485">
      <w:pPr>
        <w:spacing w:line="360" w:lineRule="auto"/>
        <w:rPr>
          <w:rFonts w:ascii="Arial" w:eastAsia="Times New Roman" w:hAnsi="Arial" w:cs="Arial"/>
          <w:b/>
          <w:bCs/>
          <w:kern w:val="0"/>
          <w:lang w:eastAsia="en-GB"/>
          <w14:ligatures w14:val="none"/>
        </w:rPr>
      </w:pPr>
      <w:r w:rsidRPr="006F0485">
        <w:rPr>
          <w:rFonts w:ascii="Arial" w:eastAsia="Times New Roman" w:hAnsi="Arial" w:cs="Arial"/>
          <w:kern w:val="0"/>
          <w:lang w:eastAsia="en-GB"/>
          <w14:ligatures w14:val="none"/>
        </w:rPr>
        <w:t xml:space="preserve"> </w:t>
      </w:r>
      <w:r w:rsidR="00980D2E" w:rsidRPr="006F0485">
        <w:rPr>
          <w:rFonts w:ascii="Arial" w:eastAsia="Times New Roman" w:hAnsi="Arial" w:cs="Arial"/>
          <w:kern w:val="0"/>
          <w:lang w:eastAsia="en-GB"/>
          <w14:ligatures w14:val="none"/>
        </w:rPr>
        <w:t>To</w:t>
      </w:r>
      <w:r w:rsidRPr="006F0485">
        <w:rPr>
          <w:rFonts w:ascii="Arial" w:eastAsia="Times New Roman" w:hAnsi="Arial" w:cs="Arial"/>
          <w:kern w:val="0"/>
          <w:lang w:eastAsia="en-GB"/>
          <w14:ligatures w14:val="none"/>
        </w:rPr>
        <w:t xml:space="preserve"> implement Erikson's psychosocial theory in residential care, it is necessary to actively assist senior citizens in reflecting on their life experiences and creating a sense of purpose and meaning. This is especially crucial during the ego integrity versus despair stage, when people try to understand their past and find emotional closure. Life review therapy is one of the best evidence-based methods for supporting this process. According to Westerhof and </w:t>
      </w:r>
      <w:proofErr w:type="spellStart"/>
      <w:r w:rsidRPr="006F0485">
        <w:rPr>
          <w:rFonts w:ascii="Arial" w:eastAsia="Times New Roman" w:hAnsi="Arial" w:cs="Arial"/>
          <w:kern w:val="0"/>
          <w:lang w:eastAsia="en-GB"/>
          <w14:ligatures w14:val="none"/>
        </w:rPr>
        <w:t>Bohlmeijer</w:t>
      </w:r>
      <w:proofErr w:type="spellEnd"/>
      <w:r w:rsidRPr="006F0485">
        <w:rPr>
          <w:rFonts w:ascii="Arial" w:eastAsia="Times New Roman" w:hAnsi="Arial" w:cs="Arial"/>
          <w:kern w:val="0"/>
          <w:lang w:eastAsia="en-GB"/>
          <w14:ligatures w14:val="none"/>
        </w:rPr>
        <w:t xml:space="preserve"> (2020), this intervention encourages people to order their memories, revisit important life events, and create a cohesive life narrative. According to research, this approach can improve life happiness, fortify identity, and lessen depressive symptoms in senior citizens.</w:t>
      </w:r>
      <w:r w:rsidR="002C5C53" w:rsidRPr="006F0485">
        <w:rPr>
          <w:rFonts w:ascii="Arial" w:eastAsia="Times New Roman" w:hAnsi="Arial" w:cs="Arial"/>
          <w:kern w:val="0"/>
          <w:lang w:eastAsia="en-GB"/>
          <w14:ligatures w14:val="none"/>
        </w:rPr>
        <w:t xml:space="preserve"> A variety of person-centred techniques can be used in practice by social workers and health care providers to facilitate this introspective process. Reminiscence workshops, for instance, promote social interaction and self-expression by allowing residents to relate personal recollections in a safe group setting. A tangible tool that strengthens identification and continuity, memory books or life narrative work can also be used to record significant events, accomplishments, and connections. Individual or group storytelling exercises help seniors feel heard, appreciated, and respected.</w:t>
      </w:r>
    </w:p>
    <w:p w14:paraId="0AB079DA" w14:textId="43439418" w:rsidR="000E6FDD" w:rsidRPr="000E6FDD" w:rsidRDefault="000E6FDD" w:rsidP="006F0485">
      <w:pPr>
        <w:spacing w:line="360" w:lineRule="auto"/>
        <w:rPr>
          <w:rFonts w:ascii="Arial" w:eastAsia="Times New Roman" w:hAnsi="Arial" w:cs="Arial"/>
          <w:kern w:val="0"/>
          <w:lang w:eastAsia="en-GB"/>
          <w14:ligatures w14:val="none"/>
        </w:rPr>
      </w:pPr>
      <w:r w:rsidRPr="000E6FDD">
        <w:rPr>
          <w:rFonts w:ascii="Arial" w:eastAsia="Times New Roman" w:hAnsi="Arial" w:cs="Arial"/>
          <w:kern w:val="0"/>
          <w:lang w:eastAsia="en-GB"/>
          <w14:ligatures w14:val="none"/>
        </w:rPr>
        <w:t xml:space="preserve">The total efficacy of therapies can be improved by using positive psychology concepts in addition to these methods. For example, Seligman's (2018) emphasis on wellbeing and thriving is consistent with encouraging residents to concentrate on meaningful relationships, personal strengths, and pleasant experiences. Combining these strategies fosters a sense of purpose and belonging in addition to supporting emotional development. </w:t>
      </w:r>
    </w:p>
    <w:p w14:paraId="3F69E9C7" w14:textId="6BB9F14F" w:rsidR="005E2283" w:rsidRPr="008B08B0" w:rsidRDefault="005E2283" w:rsidP="008B08B0">
      <w:pPr>
        <w:spacing w:after="0" w:line="360" w:lineRule="auto"/>
        <w:rPr>
          <w:rFonts w:ascii="Arial" w:eastAsia="Times New Roman" w:hAnsi="Arial" w:cs="Arial"/>
          <w:b/>
          <w:bCs/>
          <w:kern w:val="0"/>
          <w:lang w:eastAsia="en-GB"/>
          <w14:ligatures w14:val="none"/>
        </w:rPr>
      </w:pPr>
    </w:p>
    <w:p w14:paraId="3A0BDFA5" w14:textId="1359AB1B" w:rsidR="00DA58F2" w:rsidRPr="00CE4426" w:rsidRDefault="009472A9" w:rsidP="00E05A45">
      <w:pPr>
        <w:spacing w:line="360" w:lineRule="auto"/>
        <w:rPr>
          <w:rFonts w:ascii="Arial" w:eastAsia="Times New Roman" w:hAnsi="Arial" w:cs="Arial"/>
          <w:b/>
          <w:bCs/>
          <w:kern w:val="0"/>
          <w:lang w:eastAsia="en-GB"/>
          <w14:ligatures w14:val="none"/>
        </w:rPr>
      </w:pPr>
      <w:r w:rsidRPr="00CE4426">
        <w:rPr>
          <w:rFonts w:ascii="Arial" w:eastAsia="Times New Roman" w:hAnsi="Arial" w:cs="Arial"/>
          <w:b/>
          <w:bCs/>
          <w:kern w:val="0"/>
          <w:lang w:eastAsia="en-GB"/>
          <w14:ligatures w14:val="none"/>
        </w:rPr>
        <w:t>C</w:t>
      </w:r>
      <w:r w:rsidR="00CE4426" w:rsidRPr="00CE4426">
        <w:rPr>
          <w:rFonts w:ascii="Arial" w:eastAsia="Times New Roman" w:hAnsi="Arial" w:cs="Arial"/>
          <w:b/>
          <w:bCs/>
          <w:kern w:val="0"/>
          <w:lang w:eastAsia="en-GB"/>
          <w14:ligatures w14:val="none"/>
        </w:rPr>
        <w:t>ase Scenario:</w:t>
      </w:r>
    </w:p>
    <w:p w14:paraId="2F210C92" w14:textId="4567CC0D" w:rsidR="005E2283" w:rsidRPr="00E05A45" w:rsidRDefault="005E2283" w:rsidP="00E05A45">
      <w:pPr>
        <w:spacing w:line="360" w:lineRule="auto"/>
        <w:rPr>
          <w:rFonts w:ascii="Arial" w:eastAsia="Times New Roman" w:hAnsi="Arial" w:cs="Arial"/>
          <w:kern w:val="0"/>
          <w:lang w:eastAsia="en-GB"/>
          <w14:ligatures w14:val="none"/>
        </w:rPr>
      </w:pPr>
      <w:r w:rsidRPr="00E05A45">
        <w:rPr>
          <w:rFonts w:ascii="Arial" w:eastAsia="Times New Roman" w:hAnsi="Arial" w:cs="Arial"/>
          <w:kern w:val="0"/>
          <w:lang w:eastAsia="en-GB"/>
          <w14:ligatures w14:val="none"/>
        </w:rPr>
        <w:t>After entering a care facility, Mr. Ahmed, a 79-year-old resident, becomes depressed and withdraws. Using pictures and culturally appropriate prompts, staff members present a life review program. He considers his relationships and accomplishments during this process, which gives him a fresh sense of self. His emotional health improves and he becomes more socially engaged.</w:t>
      </w:r>
      <w:r w:rsidRPr="00E05A45">
        <w:rPr>
          <w:rFonts w:ascii="Arial" w:eastAsia="Times New Roman" w:hAnsi="Arial" w:cs="Arial"/>
          <w:kern w:val="0"/>
          <w:lang w:eastAsia="en-GB"/>
          <w14:ligatures w14:val="none"/>
        </w:rPr>
        <w:br/>
        <w:t>This illustration shows how theory can be put into practice. It also emphasises how crucial culturally aware methods are to helping a diverse population.</w:t>
      </w:r>
    </w:p>
    <w:p w14:paraId="6BD0A579" w14:textId="77777777" w:rsidR="005E2283" w:rsidRPr="006F0485" w:rsidRDefault="005E2283" w:rsidP="006F0485">
      <w:pPr>
        <w:pStyle w:val="ListParagraph"/>
        <w:spacing w:after="0" w:line="360" w:lineRule="auto"/>
        <w:rPr>
          <w:rFonts w:ascii="Arial" w:eastAsia="Times New Roman" w:hAnsi="Arial" w:cs="Arial"/>
          <w:kern w:val="0"/>
          <w:lang w:eastAsia="en-GB"/>
          <w14:ligatures w14:val="none"/>
        </w:rPr>
      </w:pPr>
    </w:p>
    <w:p w14:paraId="2F92830E" w14:textId="77777777" w:rsidR="0096417B" w:rsidRPr="006F0485" w:rsidRDefault="0096417B" w:rsidP="006F0485">
      <w:pPr>
        <w:pStyle w:val="ListParagraph"/>
        <w:spacing w:after="0" w:line="360" w:lineRule="auto"/>
        <w:rPr>
          <w:rFonts w:ascii="Arial" w:eastAsia="Times New Roman" w:hAnsi="Arial" w:cs="Arial"/>
          <w:b/>
          <w:bCs/>
          <w:kern w:val="0"/>
          <w:lang w:eastAsia="en-GB"/>
          <w14:ligatures w14:val="none"/>
        </w:rPr>
      </w:pPr>
    </w:p>
    <w:p w14:paraId="0DF51C19" w14:textId="77777777" w:rsidR="00CF4D27" w:rsidRDefault="00CF4D27" w:rsidP="000537C2">
      <w:pPr>
        <w:spacing w:after="0" w:line="360" w:lineRule="auto"/>
        <w:rPr>
          <w:rFonts w:ascii="Arial" w:eastAsia="Times New Roman" w:hAnsi="Arial" w:cs="Arial"/>
          <w:b/>
          <w:bCs/>
          <w:kern w:val="0"/>
          <w:lang w:eastAsia="en-GB"/>
          <w14:ligatures w14:val="none"/>
        </w:rPr>
      </w:pPr>
    </w:p>
    <w:p w14:paraId="33348272" w14:textId="77777777" w:rsidR="00CF4D27" w:rsidRDefault="00CF4D27" w:rsidP="000537C2">
      <w:pPr>
        <w:spacing w:after="0" w:line="360" w:lineRule="auto"/>
        <w:rPr>
          <w:rFonts w:ascii="Arial" w:eastAsia="Times New Roman" w:hAnsi="Arial" w:cs="Arial"/>
          <w:b/>
          <w:bCs/>
          <w:kern w:val="0"/>
          <w:lang w:eastAsia="en-GB"/>
          <w14:ligatures w14:val="none"/>
        </w:rPr>
      </w:pPr>
    </w:p>
    <w:p w14:paraId="5ADF951C" w14:textId="77777777" w:rsidR="00DA58F2" w:rsidRDefault="00DA58F2" w:rsidP="000537C2">
      <w:pPr>
        <w:spacing w:after="0" w:line="360" w:lineRule="auto"/>
        <w:rPr>
          <w:rFonts w:ascii="Arial" w:eastAsia="Times New Roman" w:hAnsi="Arial" w:cs="Arial"/>
          <w:b/>
          <w:bCs/>
          <w:kern w:val="0"/>
          <w:lang w:eastAsia="en-GB"/>
          <w14:ligatures w14:val="none"/>
        </w:rPr>
      </w:pPr>
    </w:p>
    <w:p w14:paraId="663EB8E1" w14:textId="6B69F4C2" w:rsidR="005E2283" w:rsidRPr="000537C2" w:rsidRDefault="00424B56" w:rsidP="000537C2">
      <w:pPr>
        <w:spacing w:after="0"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 xml:space="preserve">4. </w:t>
      </w:r>
      <w:r w:rsidR="005E2283" w:rsidRPr="000537C2">
        <w:rPr>
          <w:rFonts w:ascii="Arial" w:eastAsia="Times New Roman" w:hAnsi="Arial" w:cs="Arial"/>
          <w:b/>
          <w:bCs/>
          <w:kern w:val="0"/>
          <w:lang w:eastAsia="en-GB"/>
          <w14:ligatures w14:val="none"/>
        </w:rPr>
        <w:t>Challenge and Strategy</w:t>
      </w:r>
    </w:p>
    <w:p w14:paraId="0FF50259" w14:textId="77777777" w:rsidR="00DA58F2" w:rsidRDefault="00DA58F2" w:rsidP="00424B56">
      <w:pPr>
        <w:spacing w:after="0" w:line="360" w:lineRule="auto"/>
        <w:rPr>
          <w:rFonts w:ascii="Arial" w:eastAsia="Times New Roman" w:hAnsi="Arial" w:cs="Arial"/>
          <w:kern w:val="0"/>
          <w:lang w:eastAsia="en-GB"/>
          <w14:ligatures w14:val="none"/>
        </w:rPr>
      </w:pPr>
    </w:p>
    <w:p w14:paraId="3B67EF3C" w14:textId="4E683CE5" w:rsidR="00A04A33" w:rsidRPr="006F0485" w:rsidRDefault="00A04A33" w:rsidP="00424B56">
      <w:pPr>
        <w:spacing w:after="0" w:line="360" w:lineRule="auto"/>
        <w:rPr>
          <w:rFonts w:ascii="Arial" w:eastAsia="Times New Roman" w:hAnsi="Arial" w:cs="Arial"/>
          <w:kern w:val="0"/>
          <w:lang w:eastAsia="en-GB"/>
          <w14:ligatures w14:val="none"/>
        </w:rPr>
      </w:pPr>
      <w:r w:rsidRPr="006F0485">
        <w:rPr>
          <w:rFonts w:ascii="Arial" w:eastAsia="Times New Roman" w:hAnsi="Arial" w:cs="Arial"/>
          <w:kern w:val="0"/>
          <w:lang w:eastAsia="en-GB"/>
          <w14:ligatures w14:val="none"/>
        </w:rPr>
        <w:t xml:space="preserve">The existence of cognitive impairments, such as dementia, which might restrict an individual's capacity to engage in introspective processes, presents a substantial difficulty when implementing psychosocial interventions with older persons. Conventional methods, such as life review therapy, may therefore be less successful or need to be modified. Care providers can address this problem by implementing customised tactics that improve memory recall and engagement </w:t>
      </w:r>
      <w:r w:rsidR="004235E5" w:rsidRPr="006F0485">
        <w:rPr>
          <w:rFonts w:ascii="Arial" w:eastAsia="Times New Roman" w:hAnsi="Arial" w:cs="Arial"/>
          <w:kern w:val="0"/>
          <w:lang w:eastAsia="en-GB"/>
          <w14:ligatures w14:val="none"/>
        </w:rPr>
        <w:t>with</w:t>
      </w:r>
      <w:r w:rsidRPr="006F0485">
        <w:rPr>
          <w:rFonts w:ascii="Arial" w:eastAsia="Times New Roman" w:hAnsi="Arial" w:cs="Arial"/>
          <w:kern w:val="0"/>
          <w:lang w:eastAsia="en-GB"/>
          <w14:ligatures w14:val="none"/>
        </w:rPr>
        <w:t xml:space="preserve"> visual materials, photos, music, and other sensory cues. Research indicates that customised, customised interventions can greatly enhance psychological outcomes and participation (</w:t>
      </w:r>
      <w:proofErr w:type="spellStart"/>
      <w:r w:rsidRPr="006F0485">
        <w:rPr>
          <w:rFonts w:ascii="Arial" w:eastAsia="Times New Roman" w:hAnsi="Arial" w:cs="Arial"/>
          <w:kern w:val="0"/>
          <w:lang w:eastAsia="en-GB"/>
          <w14:ligatures w14:val="none"/>
        </w:rPr>
        <w:t>Bolier</w:t>
      </w:r>
      <w:proofErr w:type="spellEnd"/>
      <w:r w:rsidRPr="006F0485">
        <w:rPr>
          <w:rFonts w:ascii="Arial" w:eastAsia="Times New Roman" w:hAnsi="Arial" w:cs="Arial"/>
          <w:kern w:val="0"/>
          <w:lang w:eastAsia="en-GB"/>
          <w14:ligatures w14:val="none"/>
        </w:rPr>
        <w:t xml:space="preserve"> et al., 2020). Additionally, thorough staff training is necessary to guarantee that these methods are applied sensitively and appropriately. These modifications allow people with cognitive disabilities to get psychosocial support and encourage inclusive, person-centred care.</w:t>
      </w:r>
    </w:p>
    <w:p w14:paraId="382002A2" w14:textId="77777777" w:rsidR="0074286E" w:rsidRPr="00285F3D" w:rsidRDefault="0074286E" w:rsidP="00285F3D">
      <w:pPr>
        <w:spacing w:after="0" w:line="360" w:lineRule="auto"/>
        <w:rPr>
          <w:rFonts w:ascii="Arial" w:eastAsia="Times New Roman" w:hAnsi="Arial" w:cs="Arial"/>
          <w:b/>
          <w:bCs/>
          <w:kern w:val="0"/>
          <w:lang w:eastAsia="en-GB"/>
          <w14:ligatures w14:val="none"/>
        </w:rPr>
      </w:pPr>
    </w:p>
    <w:p w14:paraId="6C9FAC38" w14:textId="77777777" w:rsidR="00285F3D" w:rsidRDefault="00285F3D" w:rsidP="00DA58F2">
      <w:pPr>
        <w:pStyle w:val="ListParagraph"/>
        <w:spacing w:line="360" w:lineRule="auto"/>
        <w:rPr>
          <w:rFonts w:ascii="Arial" w:eastAsia="Times New Roman" w:hAnsi="Arial" w:cs="Arial"/>
          <w:kern w:val="0"/>
          <w:lang w:eastAsia="en-GB"/>
          <w14:ligatures w14:val="none"/>
        </w:rPr>
      </w:pPr>
    </w:p>
    <w:p w14:paraId="32697BE4" w14:textId="27E66138" w:rsidR="004E5144" w:rsidRPr="00AE13C8" w:rsidRDefault="001570E8" w:rsidP="00AE13C8">
      <w:pPr>
        <w:spacing w:line="360" w:lineRule="auto"/>
        <w:rPr>
          <w:rFonts w:ascii="Arial" w:eastAsia="Times New Roman" w:hAnsi="Arial" w:cs="Arial"/>
          <w:kern w:val="0"/>
          <w:lang w:eastAsia="en-GB"/>
          <w14:ligatures w14:val="none"/>
        </w:rPr>
      </w:pPr>
      <w:r w:rsidRPr="00AE13C8">
        <w:rPr>
          <w:rFonts w:ascii="Arial" w:eastAsia="Times New Roman" w:hAnsi="Arial" w:cs="Arial"/>
          <w:b/>
          <w:bCs/>
          <w:kern w:val="0"/>
          <w:lang w:eastAsia="en-GB"/>
          <w14:ligatures w14:val="none"/>
        </w:rPr>
        <w:t>5</w:t>
      </w:r>
      <w:r w:rsidR="00515CB4" w:rsidRPr="00AE13C8">
        <w:rPr>
          <w:rFonts w:ascii="Arial" w:eastAsia="Times New Roman" w:hAnsi="Arial" w:cs="Arial"/>
          <w:b/>
          <w:bCs/>
          <w:kern w:val="0"/>
          <w:lang w:eastAsia="en-GB"/>
          <w14:ligatures w14:val="none"/>
        </w:rPr>
        <w:t xml:space="preserve">. </w:t>
      </w:r>
      <w:r w:rsidR="005E2283" w:rsidRPr="00AE13C8">
        <w:rPr>
          <w:rFonts w:ascii="Arial" w:eastAsia="Times New Roman" w:hAnsi="Arial" w:cs="Arial"/>
          <w:b/>
          <w:bCs/>
          <w:kern w:val="0"/>
          <w:lang w:eastAsia="en-GB"/>
          <w14:ligatures w14:val="none"/>
        </w:rPr>
        <w:t xml:space="preserve">Conclusion </w:t>
      </w:r>
    </w:p>
    <w:p w14:paraId="3F465AB1" w14:textId="5D7D7E77" w:rsidR="004E5144" w:rsidRPr="001570E8" w:rsidRDefault="004E5144" w:rsidP="001570E8">
      <w:pPr>
        <w:spacing w:line="360" w:lineRule="auto"/>
        <w:rPr>
          <w:rFonts w:ascii="Arial" w:eastAsia="Times New Roman" w:hAnsi="Arial" w:cs="Arial"/>
          <w:b/>
          <w:bCs/>
          <w:kern w:val="0"/>
          <w:lang w:eastAsia="en-GB"/>
          <w14:ligatures w14:val="none"/>
        </w:rPr>
      </w:pPr>
      <w:r w:rsidRPr="001570E8">
        <w:rPr>
          <w:rFonts w:ascii="Arial" w:eastAsia="Times New Roman" w:hAnsi="Arial" w:cs="Arial"/>
          <w:kern w:val="0"/>
          <w:lang w:eastAsia="en-GB"/>
          <w14:ligatures w14:val="none"/>
        </w:rPr>
        <w:t>Erikson's psychosocial theory offers a useful framework for promoting older individuals' emotional health. When put into practice, it can improve one's sense of self, purpose, and general quality of life. Despite obstacles such cognitive impairment, the idea is nonetheless useful in residential care settings thanks to person-centred and customised approaches.</w:t>
      </w:r>
    </w:p>
    <w:p w14:paraId="579A497B" w14:textId="77777777" w:rsidR="005E2283" w:rsidRPr="005E2283" w:rsidRDefault="005E2283" w:rsidP="006F0485">
      <w:pPr>
        <w:pStyle w:val="ListParagraph"/>
        <w:spacing w:line="360" w:lineRule="auto"/>
        <w:rPr>
          <w:rFonts w:ascii="Arial" w:eastAsia="Times New Roman" w:hAnsi="Arial" w:cs="Arial"/>
          <w:kern w:val="0"/>
          <w:lang w:eastAsia="en-GB"/>
          <w14:ligatures w14:val="none"/>
        </w:rPr>
      </w:pPr>
    </w:p>
    <w:p w14:paraId="16D38D17" w14:textId="77777777" w:rsidR="005E2283" w:rsidRPr="006F0485" w:rsidRDefault="005E2283" w:rsidP="006F0485">
      <w:pPr>
        <w:pStyle w:val="ListParagraph"/>
        <w:spacing w:after="0" w:line="360" w:lineRule="auto"/>
        <w:rPr>
          <w:rFonts w:ascii="Arial" w:eastAsia="Times New Roman" w:hAnsi="Arial" w:cs="Arial"/>
          <w:kern w:val="0"/>
          <w:lang w:eastAsia="en-GB"/>
          <w14:ligatures w14:val="none"/>
        </w:rPr>
      </w:pPr>
    </w:p>
    <w:p w14:paraId="5DCC5703" w14:textId="77777777" w:rsidR="00AE13C8" w:rsidRDefault="00AE13C8" w:rsidP="006F0485">
      <w:pPr>
        <w:pStyle w:val="NormalWeb"/>
        <w:shd w:val="clear" w:color="auto" w:fill="FFFFFF"/>
        <w:spacing w:line="360" w:lineRule="auto"/>
        <w:rPr>
          <w:rFonts w:ascii="Arial" w:hAnsi="Arial" w:cs="Arial"/>
          <w:b/>
          <w:bCs/>
          <w:sz w:val="22"/>
          <w:szCs w:val="22"/>
        </w:rPr>
      </w:pPr>
    </w:p>
    <w:p w14:paraId="577ED303" w14:textId="77777777" w:rsidR="00AE13C8" w:rsidRDefault="00AE13C8" w:rsidP="006F0485">
      <w:pPr>
        <w:pStyle w:val="NormalWeb"/>
        <w:shd w:val="clear" w:color="auto" w:fill="FFFFFF"/>
        <w:spacing w:line="360" w:lineRule="auto"/>
        <w:rPr>
          <w:rFonts w:ascii="Arial" w:hAnsi="Arial" w:cs="Arial"/>
          <w:b/>
          <w:bCs/>
          <w:sz w:val="22"/>
          <w:szCs w:val="22"/>
        </w:rPr>
      </w:pPr>
    </w:p>
    <w:p w14:paraId="2DAA0BF8" w14:textId="77777777" w:rsidR="00AE13C8" w:rsidRDefault="00AE13C8" w:rsidP="006F0485">
      <w:pPr>
        <w:pStyle w:val="NormalWeb"/>
        <w:shd w:val="clear" w:color="auto" w:fill="FFFFFF"/>
        <w:spacing w:line="360" w:lineRule="auto"/>
        <w:rPr>
          <w:rFonts w:ascii="Arial" w:hAnsi="Arial" w:cs="Arial"/>
          <w:b/>
          <w:bCs/>
          <w:sz w:val="22"/>
          <w:szCs w:val="22"/>
        </w:rPr>
      </w:pPr>
    </w:p>
    <w:p w14:paraId="7EFFC411" w14:textId="77777777" w:rsidR="00AE13C8" w:rsidRDefault="00AE13C8" w:rsidP="006F0485">
      <w:pPr>
        <w:pStyle w:val="NormalWeb"/>
        <w:shd w:val="clear" w:color="auto" w:fill="FFFFFF"/>
        <w:spacing w:line="360" w:lineRule="auto"/>
        <w:rPr>
          <w:rFonts w:ascii="Arial" w:hAnsi="Arial" w:cs="Arial"/>
          <w:b/>
          <w:bCs/>
          <w:sz w:val="22"/>
          <w:szCs w:val="22"/>
        </w:rPr>
      </w:pPr>
    </w:p>
    <w:p w14:paraId="043F244D" w14:textId="77777777" w:rsidR="00AE13C8" w:rsidRDefault="00AE13C8" w:rsidP="006F0485">
      <w:pPr>
        <w:pStyle w:val="NormalWeb"/>
        <w:shd w:val="clear" w:color="auto" w:fill="FFFFFF"/>
        <w:spacing w:line="360" w:lineRule="auto"/>
        <w:rPr>
          <w:rFonts w:ascii="Arial" w:hAnsi="Arial" w:cs="Arial"/>
          <w:b/>
          <w:bCs/>
          <w:sz w:val="22"/>
          <w:szCs w:val="22"/>
        </w:rPr>
      </w:pPr>
    </w:p>
    <w:p w14:paraId="5A94A0C9" w14:textId="77777777" w:rsidR="00AE13C8" w:rsidRDefault="00AE13C8" w:rsidP="006F0485">
      <w:pPr>
        <w:pStyle w:val="NormalWeb"/>
        <w:shd w:val="clear" w:color="auto" w:fill="FFFFFF"/>
        <w:spacing w:line="360" w:lineRule="auto"/>
        <w:rPr>
          <w:rFonts w:ascii="Arial" w:hAnsi="Arial" w:cs="Arial"/>
          <w:b/>
          <w:bCs/>
          <w:sz w:val="22"/>
          <w:szCs w:val="22"/>
        </w:rPr>
      </w:pPr>
    </w:p>
    <w:p w14:paraId="0F9F3E3A" w14:textId="77777777" w:rsidR="008E2803" w:rsidRDefault="008E2803" w:rsidP="006F0485">
      <w:pPr>
        <w:pStyle w:val="NormalWeb"/>
        <w:shd w:val="clear" w:color="auto" w:fill="FFFFFF"/>
        <w:spacing w:line="360" w:lineRule="auto"/>
        <w:rPr>
          <w:rFonts w:ascii="Arial" w:hAnsi="Arial" w:cs="Arial"/>
          <w:b/>
          <w:bCs/>
          <w:sz w:val="22"/>
          <w:szCs w:val="22"/>
        </w:rPr>
      </w:pPr>
    </w:p>
    <w:p w14:paraId="3547D1A3" w14:textId="77777777" w:rsidR="008E2803" w:rsidRDefault="008E2803" w:rsidP="006F0485">
      <w:pPr>
        <w:pStyle w:val="NormalWeb"/>
        <w:shd w:val="clear" w:color="auto" w:fill="FFFFFF"/>
        <w:spacing w:line="360" w:lineRule="auto"/>
        <w:rPr>
          <w:rFonts w:ascii="Arial" w:hAnsi="Arial" w:cs="Arial"/>
          <w:b/>
          <w:bCs/>
          <w:sz w:val="22"/>
          <w:szCs w:val="22"/>
        </w:rPr>
      </w:pPr>
    </w:p>
    <w:p w14:paraId="2DAA59E9" w14:textId="6B22E8BF" w:rsidR="00110F40" w:rsidRPr="00110F40" w:rsidRDefault="005E2283" w:rsidP="006F0485">
      <w:pPr>
        <w:pStyle w:val="NormalWeb"/>
        <w:shd w:val="clear" w:color="auto" w:fill="FFFFFF"/>
        <w:spacing w:line="360" w:lineRule="auto"/>
        <w:rPr>
          <w:rFonts w:ascii="Arial" w:hAnsi="Arial" w:cs="Arial"/>
          <w:color w:val="0D0D0D"/>
          <w:sz w:val="22"/>
          <w:szCs w:val="22"/>
        </w:rPr>
      </w:pPr>
      <w:r w:rsidRPr="006F0485">
        <w:rPr>
          <w:rFonts w:ascii="Arial" w:hAnsi="Arial" w:cs="Arial"/>
          <w:b/>
          <w:bCs/>
          <w:sz w:val="22"/>
          <w:szCs w:val="22"/>
        </w:rPr>
        <w:t>Reference List</w:t>
      </w:r>
    </w:p>
    <w:p w14:paraId="58A18866" w14:textId="77777777" w:rsidR="005E2283" w:rsidRPr="005E2283" w:rsidRDefault="005E2283" w:rsidP="006F0485">
      <w:pPr>
        <w:spacing w:line="360" w:lineRule="auto"/>
        <w:rPr>
          <w:rFonts w:ascii="Arial" w:hAnsi="Arial" w:cs="Arial"/>
        </w:rPr>
      </w:pPr>
      <w:r w:rsidRPr="005E2283">
        <w:rPr>
          <w:rFonts w:ascii="Arial" w:hAnsi="Arial" w:cs="Arial"/>
        </w:rPr>
        <w:t xml:space="preserve">Baltes, P.B. and Baltes, M.M. (1990) ‘Psychological perspectives on successful aging: The model of selective optimization with compensation’, in Baltes, P.B. and Baltes, M.M. (eds.) </w:t>
      </w:r>
      <w:r w:rsidRPr="005E2283">
        <w:rPr>
          <w:rFonts w:ascii="Arial" w:hAnsi="Arial" w:cs="Arial"/>
          <w:i/>
          <w:iCs/>
        </w:rPr>
        <w:t xml:space="preserve">Successful Aging: Perspectives from the </w:t>
      </w:r>
      <w:proofErr w:type="spellStart"/>
      <w:r w:rsidRPr="005E2283">
        <w:rPr>
          <w:rFonts w:ascii="Arial" w:hAnsi="Arial" w:cs="Arial"/>
          <w:i/>
          <w:iCs/>
        </w:rPr>
        <w:t>Behavioral</w:t>
      </w:r>
      <w:proofErr w:type="spellEnd"/>
      <w:r w:rsidRPr="005E2283">
        <w:rPr>
          <w:rFonts w:ascii="Arial" w:hAnsi="Arial" w:cs="Arial"/>
          <w:i/>
          <w:iCs/>
        </w:rPr>
        <w:t xml:space="preserve"> Sciences</w:t>
      </w:r>
      <w:r w:rsidRPr="005E2283">
        <w:rPr>
          <w:rFonts w:ascii="Arial" w:hAnsi="Arial" w:cs="Arial"/>
        </w:rPr>
        <w:t>. Cambridge: Cambridge University Press, pp. 1–34.</w:t>
      </w:r>
    </w:p>
    <w:p w14:paraId="47FA8EB7" w14:textId="5282BFD5" w:rsidR="005E2283" w:rsidRPr="005E2283" w:rsidRDefault="005E2283" w:rsidP="006F0485">
      <w:pPr>
        <w:spacing w:line="360" w:lineRule="auto"/>
        <w:rPr>
          <w:rFonts w:ascii="Arial" w:hAnsi="Arial" w:cs="Arial"/>
        </w:rPr>
      </w:pPr>
      <w:proofErr w:type="spellStart"/>
      <w:r w:rsidRPr="005E2283">
        <w:rPr>
          <w:rFonts w:ascii="Arial" w:hAnsi="Arial" w:cs="Arial"/>
        </w:rPr>
        <w:t>Bolier</w:t>
      </w:r>
      <w:proofErr w:type="spellEnd"/>
      <w:r w:rsidRPr="005E2283">
        <w:rPr>
          <w:rFonts w:ascii="Arial" w:hAnsi="Arial" w:cs="Arial"/>
        </w:rPr>
        <w:t xml:space="preserve">, L. et al. (2020) ‘Positive psychology interventions: a meta-analysis of randomized controlled studies’, </w:t>
      </w:r>
      <w:r w:rsidRPr="005E2283">
        <w:rPr>
          <w:rFonts w:ascii="Arial" w:hAnsi="Arial" w:cs="Arial"/>
          <w:i/>
          <w:iCs/>
        </w:rPr>
        <w:t>BMC Public Health</w:t>
      </w:r>
      <w:r w:rsidRPr="005E2283">
        <w:rPr>
          <w:rFonts w:ascii="Arial" w:hAnsi="Arial" w:cs="Arial"/>
        </w:rPr>
        <w:t xml:space="preserve">, 20, 1536. Available at: </w:t>
      </w:r>
      <w:hyperlink r:id="rId13" w:history="1">
        <w:r w:rsidR="00DE50E3" w:rsidRPr="005E2283">
          <w:rPr>
            <w:rStyle w:val="Hyperlink"/>
            <w:rFonts w:ascii="Arial" w:hAnsi="Arial" w:cs="Arial"/>
          </w:rPr>
          <w:t>https://doi.org/10.1186/s12889-020-09699-4</w:t>
        </w:r>
      </w:hyperlink>
      <w:r w:rsidR="00DE50E3">
        <w:rPr>
          <w:rFonts w:ascii="Arial" w:hAnsi="Arial" w:cs="Arial"/>
        </w:rPr>
        <w:t xml:space="preserve"> </w:t>
      </w:r>
    </w:p>
    <w:p w14:paraId="7241DE44" w14:textId="77777777" w:rsidR="005E2283" w:rsidRPr="005E2283" w:rsidRDefault="005E2283" w:rsidP="006F0485">
      <w:pPr>
        <w:spacing w:line="360" w:lineRule="auto"/>
        <w:rPr>
          <w:rFonts w:ascii="Arial" w:hAnsi="Arial" w:cs="Arial"/>
        </w:rPr>
      </w:pPr>
      <w:r w:rsidRPr="005E2283">
        <w:rPr>
          <w:rFonts w:ascii="Arial" w:hAnsi="Arial" w:cs="Arial"/>
        </w:rPr>
        <w:t xml:space="preserve">Carstensen, L.L. (2021) ‘Socioemotional selectivity theory: The role of perceived time in emotional experience’, </w:t>
      </w:r>
      <w:r w:rsidRPr="005E2283">
        <w:rPr>
          <w:rFonts w:ascii="Arial" w:hAnsi="Arial" w:cs="Arial"/>
          <w:i/>
          <w:iCs/>
        </w:rPr>
        <w:t>Current Opinion in Psychology</w:t>
      </w:r>
      <w:r w:rsidRPr="005E2283">
        <w:rPr>
          <w:rFonts w:ascii="Arial" w:hAnsi="Arial" w:cs="Arial"/>
        </w:rPr>
        <w:t>, 45, pp. 101–105.</w:t>
      </w:r>
    </w:p>
    <w:p w14:paraId="63F8C419" w14:textId="614A4832" w:rsidR="005E2283" w:rsidRPr="005E2283" w:rsidRDefault="005E2283" w:rsidP="006F0485">
      <w:pPr>
        <w:spacing w:line="360" w:lineRule="auto"/>
        <w:rPr>
          <w:rFonts w:ascii="Arial" w:hAnsi="Arial" w:cs="Arial"/>
        </w:rPr>
      </w:pPr>
      <w:r w:rsidRPr="005E2283">
        <w:rPr>
          <w:rFonts w:ascii="Arial" w:hAnsi="Arial" w:cs="Arial"/>
        </w:rPr>
        <w:t xml:space="preserve">Knight, B.G. and Wahl, H.-W. (2019) ‘Perspectives on psychological theories of aging’, </w:t>
      </w:r>
      <w:r w:rsidRPr="005E2283">
        <w:rPr>
          <w:rFonts w:ascii="Arial" w:hAnsi="Arial" w:cs="Arial"/>
          <w:i/>
          <w:iCs/>
        </w:rPr>
        <w:t>Journal of Gerontology: Psychological Sciences</w:t>
      </w:r>
      <w:r w:rsidRPr="005E2283">
        <w:rPr>
          <w:rFonts w:ascii="Arial" w:hAnsi="Arial" w:cs="Arial"/>
        </w:rPr>
        <w:t xml:space="preserve">, 74(8), pp. 1235–1245. Available at: </w:t>
      </w:r>
      <w:hyperlink r:id="rId14" w:history="1">
        <w:r w:rsidR="00DE50E3" w:rsidRPr="005E2283">
          <w:rPr>
            <w:rStyle w:val="Hyperlink"/>
            <w:rFonts w:ascii="Arial" w:hAnsi="Arial" w:cs="Arial"/>
          </w:rPr>
          <w:t>https://doi.org/10.1093/geronb/gby078</w:t>
        </w:r>
      </w:hyperlink>
      <w:r w:rsidR="00DE50E3">
        <w:rPr>
          <w:rFonts w:ascii="Arial" w:hAnsi="Arial" w:cs="Arial"/>
        </w:rPr>
        <w:t xml:space="preserve"> </w:t>
      </w:r>
    </w:p>
    <w:p w14:paraId="5987D46A" w14:textId="77777777" w:rsidR="005E2283" w:rsidRPr="005E2283" w:rsidRDefault="005E2283" w:rsidP="006F0485">
      <w:pPr>
        <w:spacing w:line="360" w:lineRule="auto"/>
        <w:rPr>
          <w:rFonts w:ascii="Arial" w:hAnsi="Arial" w:cs="Arial"/>
        </w:rPr>
      </w:pPr>
      <w:r w:rsidRPr="005E2283">
        <w:rPr>
          <w:rFonts w:ascii="Arial" w:hAnsi="Arial" w:cs="Arial"/>
        </w:rPr>
        <w:t xml:space="preserve">Seligman, M.E.P. (2018) </w:t>
      </w:r>
      <w:r w:rsidRPr="005E2283">
        <w:rPr>
          <w:rFonts w:ascii="Arial" w:hAnsi="Arial" w:cs="Arial"/>
          <w:i/>
          <w:iCs/>
        </w:rPr>
        <w:t>The PERMA Model: Positive Psychology Theory and Practice</w:t>
      </w:r>
      <w:r w:rsidRPr="005E2283">
        <w:rPr>
          <w:rFonts w:ascii="Arial" w:hAnsi="Arial" w:cs="Arial"/>
        </w:rPr>
        <w:t>. New York: Free Press.</w:t>
      </w:r>
    </w:p>
    <w:p w14:paraId="4AECBE79" w14:textId="4FBFB397" w:rsidR="005E2283" w:rsidRPr="005E2283" w:rsidRDefault="005E2283" w:rsidP="006F0485">
      <w:pPr>
        <w:spacing w:line="360" w:lineRule="auto"/>
        <w:rPr>
          <w:rFonts w:ascii="Arial" w:hAnsi="Arial" w:cs="Arial"/>
        </w:rPr>
      </w:pPr>
      <w:r w:rsidRPr="005E2283">
        <w:rPr>
          <w:rFonts w:ascii="Arial" w:hAnsi="Arial" w:cs="Arial"/>
        </w:rPr>
        <w:t xml:space="preserve">Westerhof, G.J. and </w:t>
      </w:r>
      <w:proofErr w:type="spellStart"/>
      <w:r w:rsidRPr="005E2283">
        <w:rPr>
          <w:rFonts w:ascii="Arial" w:hAnsi="Arial" w:cs="Arial"/>
        </w:rPr>
        <w:t>Bohlmeijer</w:t>
      </w:r>
      <w:proofErr w:type="spellEnd"/>
      <w:r w:rsidRPr="005E2283">
        <w:rPr>
          <w:rFonts w:ascii="Arial" w:hAnsi="Arial" w:cs="Arial"/>
        </w:rPr>
        <w:t xml:space="preserve">, E.T. (2020) ‘Life review and life-story interventions in aging: A meta-analysis’, </w:t>
      </w:r>
      <w:r w:rsidRPr="005E2283">
        <w:rPr>
          <w:rFonts w:ascii="Arial" w:hAnsi="Arial" w:cs="Arial"/>
          <w:i/>
          <w:iCs/>
        </w:rPr>
        <w:t>Clinical Psychology Review</w:t>
      </w:r>
      <w:r w:rsidRPr="005E2283">
        <w:rPr>
          <w:rFonts w:ascii="Arial" w:hAnsi="Arial" w:cs="Arial"/>
        </w:rPr>
        <w:t xml:space="preserve">, 75, 101816. Available at: </w:t>
      </w:r>
      <w:hyperlink r:id="rId15" w:history="1">
        <w:r w:rsidR="004B4972" w:rsidRPr="005E2283">
          <w:rPr>
            <w:rStyle w:val="Hyperlink"/>
            <w:rFonts w:ascii="Arial" w:hAnsi="Arial" w:cs="Arial"/>
          </w:rPr>
          <w:t>https://doi.org/10.1016/j.cpr.2019.101816</w:t>
        </w:r>
      </w:hyperlink>
      <w:r w:rsidR="004B4972">
        <w:rPr>
          <w:rFonts w:ascii="Arial" w:hAnsi="Arial" w:cs="Arial"/>
        </w:rPr>
        <w:t xml:space="preserve"> </w:t>
      </w:r>
    </w:p>
    <w:p w14:paraId="232EBD18" w14:textId="77777777" w:rsidR="00110F40" w:rsidRPr="00110F40" w:rsidRDefault="00110F40" w:rsidP="006F0485">
      <w:pPr>
        <w:spacing w:line="360" w:lineRule="auto"/>
        <w:rPr>
          <w:rFonts w:ascii="Arial" w:hAnsi="Arial" w:cs="Arial"/>
        </w:rPr>
      </w:pPr>
    </w:p>
    <w:p w14:paraId="3FB494E3" w14:textId="77777777" w:rsidR="00110F40" w:rsidRPr="00110F40" w:rsidRDefault="00110F40" w:rsidP="006F0485">
      <w:pPr>
        <w:spacing w:line="360" w:lineRule="auto"/>
        <w:rPr>
          <w:rFonts w:ascii="Arial" w:hAnsi="Arial" w:cs="Arial"/>
        </w:rPr>
      </w:pPr>
    </w:p>
    <w:p w14:paraId="43F6D7D6" w14:textId="77777777" w:rsidR="00DA5D8B" w:rsidRPr="006F0485" w:rsidRDefault="00DA5D8B" w:rsidP="006F0485">
      <w:pPr>
        <w:spacing w:line="360" w:lineRule="auto"/>
        <w:rPr>
          <w:rFonts w:ascii="Arial" w:hAnsi="Arial" w:cs="Arial"/>
        </w:rPr>
      </w:pPr>
    </w:p>
    <w:sectPr w:rsidR="00DA5D8B" w:rsidRPr="006F048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21067" w14:textId="77777777" w:rsidR="004C2FCC" w:rsidRDefault="004C2FCC" w:rsidP="000A2D94">
      <w:pPr>
        <w:spacing w:after="0" w:line="240" w:lineRule="auto"/>
      </w:pPr>
      <w:r>
        <w:separator/>
      </w:r>
    </w:p>
  </w:endnote>
  <w:endnote w:type="continuationSeparator" w:id="0">
    <w:p w14:paraId="515242C7" w14:textId="77777777" w:rsidR="004C2FCC" w:rsidRDefault="004C2FCC" w:rsidP="000A2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887873"/>
      <w:docPartObj>
        <w:docPartGallery w:val="Page Numbers (Bottom of Page)"/>
        <w:docPartUnique/>
      </w:docPartObj>
    </w:sdtPr>
    <w:sdtContent>
      <w:p w14:paraId="09C322E2" w14:textId="14D3CF23" w:rsidR="000A2D94" w:rsidRDefault="000A2D94">
        <w:pPr>
          <w:pStyle w:val="Footer"/>
          <w:jc w:val="center"/>
        </w:pPr>
        <w:r>
          <w:fldChar w:fldCharType="begin"/>
        </w:r>
        <w:r>
          <w:instrText>PAGE   \* MERGEFORMAT</w:instrText>
        </w:r>
        <w:r>
          <w:fldChar w:fldCharType="separate"/>
        </w:r>
        <w:r>
          <w:t>2</w:t>
        </w:r>
        <w:r>
          <w:fldChar w:fldCharType="end"/>
        </w:r>
      </w:p>
    </w:sdtContent>
  </w:sdt>
  <w:p w14:paraId="14EA6BF1" w14:textId="77777777" w:rsidR="000A2D94" w:rsidRDefault="000A2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9EA77" w14:textId="77777777" w:rsidR="004C2FCC" w:rsidRDefault="004C2FCC" w:rsidP="000A2D94">
      <w:pPr>
        <w:spacing w:after="0" w:line="240" w:lineRule="auto"/>
      </w:pPr>
      <w:r>
        <w:separator/>
      </w:r>
    </w:p>
  </w:footnote>
  <w:footnote w:type="continuationSeparator" w:id="0">
    <w:p w14:paraId="4F8A72F3" w14:textId="77777777" w:rsidR="004C2FCC" w:rsidRDefault="004C2FCC" w:rsidP="000A2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97711"/>
    <w:multiLevelType w:val="hybridMultilevel"/>
    <w:tmpl w:val="F6B87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820BD6"/>
    <w:multiLevelType w:val="hybridMultilevel"/>
    <w:tmpl w:val="4C98F5A6"/>
    <w:lvl w:ilvl="0" w:tplc="6BDC3FEA">
      <w:start w:val="4"/>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num w:numId="1" w16cid:durableId="5522856">
    <w:abstractNumId w:val="0"/>
  </w:num>
  <w:num w:numId="2" w16cid:durableId="1355224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F40"/>
    <w:rsid w:val="000537C2"/>
    <w:rsid w:val="000A2D94"/>
    <w:rsid w:val="000D576F"/>
    <w:rsid w:val="000E1968"/>
    <w:rsid w:val="000E6FDD"/>
    <w:rsid w:val="00110F40"/>
    <w:rsid w:val="00111BE7"/>
    <w:rsid w:val="001570E8"/>
    <w:rsid w:val="001970B2"/>
    <w:rsid w:val="00202EB9"/>
    <w:rsid w:val="00230CB6"/>
    <w:rsid w:val="00255ADA"/>
    <w:rsid w:val="00256E9E"/>
    <w:rsid w:val="002740DB"/>
    <w:rsid w:val="00277E63"/>
    <w:rsid w:val="00280D84"/>
    <w:rsid w:val="00285F3D"/>
    <w:rsid w:val="002925E3"/>
    <w:rsid w:val="00295E40"/>
    <w:rsid w:val="002965AD"/>
    <w:rsid w:val="002C0E99"/>
    <w:rsid w:val="002C5C53"/>
    <w:rsid w:val="002E3AF4"/>
    <w:rsid w:val="002E5F99"/>
    <w:rsid w:val="00373688"/>
    <w:rsid w:val="003818B1"/>
    <w:rsid w:val="003D0490"/>
    <w:rsid w:val="003D4283"/>
    <w:rsid w:val="003F5AAE"/>
    <w:rsid w:val="004235E5"/>
    <w:rsid w:val="00424B56"/>
    <w:rsid w:val="004B4972"/>
    <w:rsid w:val="004C2FCC"/>
    <w:rsid w:val="004D58F9"/>
    <w:rsid w:val="004E5144"/>
    <w:rsid w:val="00506E1D"/>
    <w:rsid w:val="00515CB4"/>
    <w:rsid w:val="005643C7"/>
    <w:rsid w:val="005721A6"/>
    <w:rsid w:val="005C3FC6"/>
    <w:rsid w:val="005C6EC3"/>
    <w:rsid w:val="005C7F50"/>
    <w:rsid w:val="005E2283"/>
    <w:rsid w:val="005E7B79"/>
    <w:rsid w:val="00601E1E"/>
    <w:rsid w:val="00660BDE"/>
    <w:rsid w:val="00661828"/>
    <w:rsid w:val="006C4E26"/>
    <w:rsid w:val="006C72D1"/>
    <w:rsid w:val="006F0485"/>
    <w:rsid w:val="00726016"/>
    <w:rsid w:val="0074286E"/>
    <w:rsid w:val="007442FE"/>
    <w:rsid w:val="00753629"/>
    <w:rsid w:val="00791620"/>
    <w:rsid w:val="007C1188"/>
    <w:rsid w:val="007D7C3A"/>
    <w:rsid w:val="007E4623"/>
    <w:rsid w:val="007E6010"/>
    <w:rsid w:val="00810F44"/>
    <w:rsid w:val="00880141"/>
    <w:rsid w:val="008B08B0"/>
    <w:rsid w:val="008E2803"/>
    <w:rsid w:val="008F49F1"/>
    <w:rsid w:val="00905EF9"/>
    <w:rsid w:val="009472A9"/>
    <w:rsid w:val="0096417B"/>
    <w:rsid w:val="009736DC"/>
    <w:rsid w:val="00980D2E"/>
    <w:rsid w:val="009A05F5"/>
    <w:rsid w:val="009A61C1"/>
    <w:rsid w:val="009E797D"/>
    <w:rsid w:val="00A01D46"/>
    <w:rsid w:val="00A04A33"/>
    <w:rsid w:val="00A14D47"/>
    <w:rsid w:val="00A20533"/>
    <w:rsid w:val="00A2735F"/>
    <w:rsid w:val="00A32D00"/>
    <w:rsid w:val="00A54CA3"/>
    <w:rsid w:val="00A6484D"/>
    <w:rsid w:val="00A700B4"/>
    <w:rsid w:val="00A836DE"/>
    <w:rsid w:val="00AE13C8"/>
    <w:rsid w:val="00B015DB"/>
    <w:rsid w:val="00B01AFB"/>
    <w:rsid w:val="00B17C09"/>
    <w:rsid w:val="00B24E89"/>
    <w:rsid w:val="00B635F6"/>
    <w:rsid w:val="00BB057B"/>
    <w:rsid w:val="00C00DC0"/>
    <w:rsid w:val="00C15EA7"/>
    <w:rsid w:val="00C435C7"/>
    <w:rsid w:val="00C658A7"/>
    <w:rsid w:val="00C72C64"/>
    <w:rsid w:val="00C814E3"/>
    <w:rsid w:val="00CA6C25"/>
    <w:rsid w:val="00CB1715"/>
    <w:rsid w:val="00CC1EB8"/>
    <w:rsid w:val="00CE4426"/>
    <w:rsid w:val="00CF4D27"/>
    <w:rsid w:val="00D01B6A"/>
    <w:rsid w:val="00D17E6C"/>
    <w:rsid w:val="00D24D1D"/>
    <w:rsid w:val="00D73709"/>
    <w:rsid w:val="00DA58F2"/>
    <w:rsid w:val="00DA5D8B"/>
    <w:rsid w:val="00DA6302"/>
    <w:rsid w:val="00DE50E3"/>
    <w:rsid w:val="00DF3CC1"/>
    <w:rsid w:val="00E05A45"/>
    <w:rsid w:val="00E31812"/>
    <w:rsid w:val="00E85B42"/>
    <w:rsid w:val="00E96868"/>
    <w:rsid w:val="00EB16D4"/>
    <w:rsid w:val="00EE5784"/>
    <w:rsid w:val="00EF181D"/>
    <w:rsid w:val="00F070F5"/>
    <w:rsid w:val="00F20A80"/>
    <w:rsid w:val="00F24B39"/>
    <w:rsid w:val="00F514C0"/>
    <w:rsid w:val="00F61951"/>
    <w:rsid w:val="00F84156"/>
    <w:rsid w:val="00F859BF"/>
    <w:rsid w:val="00FC325D"/>
    <w:rsid w:val="00FE7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E9368"/>
  <w15:chartTrackingRefBased/>
  <w15:docId w15:val="{5831672D-4866-45AB-ADA1-240F6A891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0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0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0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0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F40"/>
    <w:rPr>
      <w:rFonts w:eastAsiaTheme="majorEastAsia" w:cstheme="majorBidi"/>
      <w:color w:val="272727" w:themeColor="text1" w:themeTint="D8"/>
    </w:rPr>
  </w:style>
  <w:style w:type="paragraph" w:styleId="Title">
    <w:name w:val="Title"/>
    <w:basedOn w:val="Normal"/>
    <w:next w:val="Normal"/>
    <w:link w:val="TitleChar"/>
    <w:uiPriority w:val="10"/>
    <w:qFormat/>
    <w:rsid w:val="00110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F40"/>
    <w:pPr>
      <w:spacing w:before="160"/>
      <w:jc w:val="center"/>
    </w:pPr>
    <w:rPr>
      <w:i/>
      <w:iCs/>
      <w:color w:val="404040" w:themeColor="text1" w:themeTint="BF"/>
    </w:rPr>
  </w:style>
  <w:style w:type="character" w:customStyle="1" w:styleId="QuoteChar">
    <w:name w:val="Quote Char"/>
    <w:basedOn w:val="DefaultParagraphFont"/>
    <w:link w:val="Quote"/>
    <w:uiPriority w:val="29"/>
    <w:rsid w:val="00110F40"/>
    <w:rPr>
      <w:i/>
      <w:iCs/>
      <w:color w:val="404040" w:themeColor="text1" w:themeTint="BF"/>
    </w:rPr>
  </w:style>
  <w:style w:type="paragraph" w:styleId="ListParagraph">
    <w:name w:val="List Paragraph"/>
    <w:basedOn w:val="Normal"/>
    <w:uiPriority w:val="34"/>
    <w:qFormat/>
    <w:rsid w:val="00110F40"/>
    <w:pPr>
      <w:ind w:left="720"/>
      <w:contextualSpacing/>
    </w:pPr>
  </w:style>
  <w:style w:type="character" w:styleId="IntenseEmphasis">
    <w:name w:val="Intense Emphasis"/>
    <w:basedOn w:val="DefaultParagraphFont"/>
    <w:uiPriority w:val="21"/>
    <w:qFormat/>
    <w:rsid w:val="00110F40"/>
    <w:rPr>
      <w:i/>
      <w:iCs/>
      <w:color w:val="0F4761" w:themeColor="accent1" w:themeShade="BF"/>
    </w:rPr>
  </w:style>
  <w:style w:type="paragraph" w:styleId="IntenseQuote">
    <w:name w:val="Intense Quote"/>
    <w:basedOn w:val="Normal"/>
    <w:next w:val="Normal"/>
    <w:link w:val="IntenseQuoteChar"/>
    <w:uiPriority w:val="30"/>
    <w:qFormat/>
    <w:rsid w:val="00110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F40"/>
    <w:rPr>
      <w:i/>
      <w:iCs/>
      <w:color w:val="0F4761" w:themeColor="accent1" w:themeShade="BF"/>
    </w:rPr>
  </w:style>
  <w:style w:type="character" w:styleId="IntenseReference">
    <w:name w:val="Intense Reference"/>
    <w:basedOn w:val="DefaultParagraphFont"/>
    <w:uiPriority w:val="32"/>
    <w:qFormat/>
    <w:rsid w:val="00110F40"/>
    <w:rPr>
      <w:b/>
      <w:bCs/>
      <w:smallCaps/>
      <w:color w:val="0F4761" w:themeColor="accent1" w:themeShade="BF"/>
      <w:spacing w:val="5"/>
    </w:rPr>
  </w:style>
  <w:style w:type="paragraph" w:styleId="NormalWeb">
    <w:name w:val="Normal (Web)"/>
    <w:basedOn w:val="Normal"/>
    <w:uiPriority w:val="99"/>
    <w:unhideWhenUsed/>
    <w:rsid w:val="00B17C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6484D"/>
    <w:rPr>
      <w:color w:val="467886" w:themeColor="hyperlink"/>
      <w:u w:val="single"/>
    </w:rPr>
  </w:style>
  <w:style w:type="character" w:styleId="UnresolvedMention">
    <w:name w:val="Unresolved Mention"/>
    <w:basedOn w:val="DefaultParagraphFont"/>
    <w:uiPriority w:val="99"/>
    <w:semiHidden/>
    <w:unhideWhenUsed/>
    <w:rsid w:val="00A6484D"/>
    <w:rPr>
      <w:color w:val="605E5C"/>
      <w:shd w:val="clear" w:color="auto" w:fill="E1DFDD"/>
    </w:rPr>
  </w:style>
  <w:style w:type="paragraph" w:styleId="Header">
    <w:name w:val="header"/>
    <w:basedOn w:val="Normal"/>
    <w:link w:val="HeaderChar"/>
    <w:uiPriority w:val="99"/>
    <w:unhideWhenUsed/>
    <w:rsid w:val="000A2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D94"/>
  </w:style>
  <w:style w:type="paragraph" w:styleId="Footer">
    <w:name w:val="footer"/>
    <w:basedOn w:val="Normal"/>
    <w:link w:val="FooterChar"/>
    <w:uiPriority w:val="99"/>
    <w:unhideWhenUsed/>
    <w:rsid w:val="000A2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86/s12889-020-09699-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186/s12889-020-09699-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cpr" TargetMode="External"/><Relationship Id="rId5" Type="http://schemas.openxmlformats.org/officeDocument/2006/relationships/styles" Target="styles.xml"/><Relationship Id="rId15" Type="http://schemas.openxmlformats.org/officeDocument/2006/relationships/hyperlink" Target="https://doi.org/10.1016/j.cpr.2019.101816" TargetMode="External"/><Relationship Id="rId10" Type="http://schemas.openxmlformats.org/officeDocument/2006/relationships/hyperlink" Target="https://doi.org/10.1093/geronb/gby07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93/geronb/gby0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1d1778d-a818-455a-8cd4-46a2d86b45f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F7A81DB2712C44963F24CDB781C727" ma:contentTypeVersion="9" ma:contentTypeDescription="Create a new document." ma:contentTypeScope="" ma:versionID="fd361f556444e0cb0579423111bdae28">
  <xsd:schema xmlns:xsd="http://www.w3.org/2001/XMLSchema" xmlns:xs="http://www.w3.org/2001/XMLSchema" xmlns:p="http://schemas.microsoft.com/office/2006/metadata/properties" xmlns:ns3="c1d1778d-a818-455a-8cd4-46a2d86b45f1" targetNamespace="http://schemas.microsoft.com/office/2006/metadata/properties" ma:root="true" ma:fieldsID="c7e24d7347bb7cdb7898a0324af15ec0" ns3:_="">
    <xsd:import namespace="c1d1778d-a818-455a-8cd4-46a2d86b45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778d-a818-455a-8cd4-46a2d86b4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733B1A-6F66-4DA2-926F-8198E8AE3BA4}">
  <ds:schemaRefs>
    <ds:schemaRef ds:uri="http://schemas.microsoft.com/sharepoint/v3/contenttype/forms"/>
  </ds:schemaRefs>
</ds:datastoreItem>
</file>

<file path=customXml/itemProps2.xml><?xml version="1.0" encoding="utf-8"?>
<ds:datastoreItem xmlns:ds="http://schemas.openxmlformats.org/officeDocument/2006/customXml" ds:itemID="{32CE8ED9-5548-4F83-B82B-20AC52BF48FD}">
  <ds:schemaRefs>
    <ds:schemaRef ds:uri="http://schemas.microsoft.com/office/2006/metadata/properties"/>
    <ds:schemaRef ds:uri="http://schemas.microsoft.com/office/infopath/2007/PartnerControls"/>
    <ds:schemaRef ds:uri="c1d1778d-a818-455a-8cd4-46a2d86b45f1"/>
  </ds:schemaRefs>
</ds:datastoreItem>
</file>

<file path=customXml/itemProps3.xml><?xml version="1.0" encoding="utf-8"?>
<ds:datastoreItem xmlns:ds="http://schemas.openxmlformats.org/officeDocument/2006/customXml" ds:itemID="{BC5B3E93-4750-4B5B-ACD7-72402CA8E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1778d-a818-455a-8cd4-46a2d86b4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9</Pages>
  <Words>1882</Words>
  <Characters>11928</Characters>
  <Application>Microsoft Office Word</Application>
  <DocSecurity>0</DocSecurity>
  <Lines>267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Ogadimma (2435763)</dc:creator>
  <cp:keywords/>
  <dc:description/>
  <cp:lastModifiedBy>Martin Ogadimma (2435763)</cp:lastModifiedBy>
  <cp:revision>113</cp:revision>
  <dcterms:created xsi:type="dcterms:W3CDTF">2026-03-21T11:13:00Z</dcterms:created>
  <dcterms:modified xsi:type="dcterms:W3CDTF">2026-03-23T10:32:00Z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