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FE00B" w14:textId="11F5D2C7" w:rsidR="00AC6E3D" w:rsidRDefault="00AC6E3D" w:rsidP="00AC6E3D">
      <w:pPr>
        <w:spacing w:line="360" w:lineRule="auto"/>
        <w:jc w:val="center"/>
        <w:rPr>
          <w:rStyle w:val="IntenseEmphasis"/>
          <w:sz w:val="36"/>
          <w:szCs w:val="32"/>
        </w:rPr>
      </w:pPr>
      <w:r>
        <w:rPr>
          <w:rStyle w:val="IntenseEmphasis"/>
          <w:sz w:val="36"/>
          <w:szCs w:val="32"/>
        </w:rPr>
        <w:t xml:space="preserve">Nike’s Inclusive Brand Community Strategy and Future Developments in Women’s Sport Marketing </w:t>
      </w:r>
      <w:r w:rsidR="00A42CB2">
        <w:rPr>
          <w:rStyle w:val="IntenseEmphasis"/>
          <w:sz w:val="36"/>
          <w:szCs w:val="32"/>
        </w:rPr>
        <w:t xml:space="preserve"> </w:t>
      </w:r>
    </w:p>
    <w:p w14:paraId="0C62BFFE" w14:textId="77777777" w:rsidR="00AC6E3D" w:rsidRDefault="00AC6E3D" w:rsidP="00AC6E3D">
      <w:pPr>
        <w:spacing w:line="360" w:lineRule="auto"/>
        <w:jc w:val="center"/>
      </w:pPr>
      <w:r>
        <w:t>Module: Managing Marketing Change</w:t>
      </w:r>
    </w:p>
    <w:p w14:paraId="436C3D61" w14:textId="77777777" w:rsidR="00AC6E3D" w:rsidRDefault="00AC6E3D" w:rsidP="00AC6E3D">
      <w:pPr>
        <w:spacing w:line="360" w:lineRule="auto"/>
        <w:jc w:val="center"/>
      </w:pPr>
      <w:r>
        <w:t>Module Code: BMMB7026</w:t>
      </w:r>
    </w:p>
    <w:p w14:paraId="2A7B7E5E" w14:textId="77777777" w:rsidR="00AC6E3D" w:rsidRDefault="00AC6E3D" w:rsidP="00AC6E3D">
      <w:pPr>
        <w:spacing w:line="360" w:lineRule="auto"/>
        <w:jc w:val="center"/>
      </w:pPr>
      <w:r>
        <w:t>Assignment Title: Future Developments in the Field of Marketing</w:t>
      </w:r>
    </w:p>
    <w:p w14:paraId="5EABA49A" w14:textId="77777777" w:rsidR="00AC6E3D" w:rsidRDefault="00AC6E3D" w:rsidP="00AC6E3D">
      <w:pPr>
        <w:spacing w:line="360" w:lineRule="auto"/>
        <w:jc w:val="center"/>
      </w:pPr>
      <w:r>
        <w:t>Company: Nike, Inc.</w:t>
      </w:r>
    </w:p>
    <w:p w14:paraId="79D69A95" w14:textId="77777777" w:rsidR="00AC6E3D" w:rsidRDefault="00AC6E3D" w:rsidP="00AC6E3D">
      <w:pPr>
        <w:spacing w:line="360" w:lineRule="auto"/>
        <w:jc w:val="center"/>
      </w:pPr>
      <w:r>
        <w:t>Report Focus: Inclusive Brand Community and Women’s Sport Marketing</w:t>
      </w:r>
    </w:p>
    <w:p w14:paraId="392A82A2" w14:textId="5AF2192D" w:rsidR="009716AD" w:rsidRDefault="009716AD" w:rsidP="009716AD">
      <w:pPr>
        <w:spacing w:line="360" w:lineRule="auto"/>
        <w:jc w:val="center"/>
      </w:pPr>
      <w:r>
        <w:t>Student Name: Smit Bharatkumar Barot</w:t>
      </w:r>
    </w:p>
    <w:p w14:paraId="5EC15018" w14:textId="7B49D80B" w:rsidR="009716AD" w:rsidRDefault="009716AD" w:rsidP="009716AD">
      <w:pPr>
        <w:spacing w:line="360" w:lineRule="auto"/>
        <w:jc w:val="center"/>
      </w:pPr>
      <w:r>
        <w:t>Student ID: 2526323</w:t>
      </w:r>
    </w:p>
    <w:p w14:paraId="38F542E3" w14:textId="16823F3A" w:rsidR="00AC6E3D" w:rsidRDefault="00AC6E3D" w:rsidP="00AC6E3D">
      <w:pPr>
        <w:spacing w:line="360" w:lineRule="auto"/>
        <w:jc w:val="center"/>
      </w:pPr>
      <w:r>
        <w:t xml:space="preserve">Word Count: 4183 words, excluding Cover </w:t>
      </w:r>
      <w:r w:rsidR="00D70D79">
        <w:t>P</w:t>
      </w:r>
      <w:r>
        <w:t>age, Executive Summary, References and Appendices</w:t>
      </w:r>
      <w:r>
        <w:br w:type="page"/>
      </w:r>
      <w:r w:rsidRPr="004C02A7">
        <w:rPr>
          <w:rStyle w:val="Heading1Char"/>
        </w:rPr>
        <w:lastRenderedPageBreak/>
        <w:t xml:space="preserve">  Executive Summary</w:t>
      </w:r>
      <w:r>
        <w:rPr>
          <w:szCs w:val="36"/>
        </w:rPr>
        <w:t xml:space="preserve">  </w:t>
      </w:r>
    </w:p>
    <w:p w14:paraId="3413C293" w14:textId="77777777" w:rsidR="00AC6E3D" w:rsidRDefault="00AC6E3D" w:rsidP="00AC6E3D">
      <w:pPr>
        <w:spacing w:line="360" w:lineRule="auto"/>
      </w:pPr>
      <w:r>
        <w:t>This report critically evaluates Nike’s inclusive brand community strategy, with particular focus on women’s sport marketing and the future development of customer communities. Inclusion has become a significant driver of marketing change because consumers increasingly expect global brands to represent diverse athletes, reduce barriers to sport and create participatory brand experiences rather than only broadcast inspirational messages. Nike has strong brand assets in this area, including athlete storytelling, women’s sport campaigns, the Nike Community Impact Fund, youth sport access initiatives, NikeSKIMS and digital channels that support community engagement.</w:t>
      </w:r>
    </w:p>
    <w:p w14:paraId="751C5F82" w14:textId="77777777" w:rsidR="00AC6E3D" w:rsidRDefault="00AC6E3D" w:rsidP="00AC6E3D">
      <w:pPr>
        <w:spacing w:line="360" w:lineRule="auto"/>
      </w:pPr>
      <w:r>
        <w:t>The report argues that Nike’s marketing department plays a strategically important role in translating inclusion into brand meaning, customer value and organisational growth. However, Nike’s current approach has shortcomings. Some inclusive marketing remains campaign-led and celebrity-centred rather than consistently community-led. The connection between elite women’s sport campaigns, grassroots participation, product inclusivity and customer retention is not always clear. Nike also faces authenticity risk because inclusive representation must be supported by practical access, suitable products, measurable community outcomes and internal organisational alignment.</w:t>
      </w:r>
    </w:p>
    <w:p w14:paraId="5C8903D3" w14:textId="77777777" w:rsidR="00AC6E3D" w:rsidRDefault="00AC6E3D" w:rsidP="00AC6E3D">
      <w:pPr>
        <w:spacing w:line="360" w:lineRule="auto"/>
      </w:pPr>
      <w:r>
        <w:t>The report recommends that Nike builds a women’s sport community ecosystem, expands co-created storytelling with grassroots athletes, aligns inclusive messaging with product design and fit, develops an inclusion marketing dashboard, and strengthens cross-functional change management. These recommendations are feasible because they build on Nike’s existing marketing scale, athlete network, digital infrastructure and community investment. They would help Nike move from inclusive representation towards inclusive participation and measurable brand community value.</w:t>
      </w:r>
    </w:p>
    <w:p w14:paraId="0F648A66" w14:textId="77777777" w:rsidR="00AC6E3D" w:rsidRDefault="00AC6E3D" w:rsidP="00AC6E3D">
      <w:pPr>
        <w:spacing w:line="360" w:lineRule="auto"/>
      </w:pPr>
      <w:r>
        <w:br w:type="page"/>
      </w:r>
    </w:p>
    <w:sdt>
      <w:sdtPr>
        <w:rPr>
          <w:rFonts w:ascii="Times New Roman" w:eastAsia="Times New Roman" w:hAnsi="Times New Roman" w:cstheme="minorBidi"/>
          <w:color w:val="auto"/>
          <w:sz w:val="24"/>
          <w:szCs w:val="22"/>
        </w:rPr>
        <w:id w:val="1571457483"/>
        <w:docPartObj>
          <w:docPartGallery w:val="Table of Contents"/>
          <w:docPartUnique/>
        </w:docPartObj>
      </w:sdtPr>
      <w:sdtContent>
        <w:p w14:paraId="1F1E2F3E" w14:textId="77777777" w:rsidR="00AC6E3D" w:rsidRDefault="00AC6E3D" w:rsidP="00AC6E3D">
          <w:pPr>
            <w:pStyle w:val="TOCHeading"/>
          </w:pPr>
          <w:r>
            <w:t>Contents</w:t>
          </w:r>
        </w:p>
        <w:p w14:paraId="0CCBDA33" w14:textId="0B717391" w:rsidR="004C02A7" w:rsidRDefault="00AC6E3D">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34572162" w:history="1">
            <w:r w:rsidR="004C02A7" w:rsidRPr="00640F06">
              <w:rPr>
                <w:rStyle w:val="Hyperlink"/>
                <w:noProof/>
              </w:rPr>
              <w:t>1. Introduction</w:t>
            </w:r>
            <w:r w:rsidR="004C02A7">
              <w:rPr>
                <w:noProof/>
                <w:webHidden/>
              </w:rPr>
              <w:tab/>
            </w:r>
            <w:r w:rsidR="004C02A7">
              <w:rPr>
                <w:noProof/>
                <w:webHidden/>
              </w:rPr>
              <w:fldChar w:fldCharType="begin"/>
            </w:r>
            <w:r w:rsidR="004C02A7">
              <w:rPr>
                <w:noProof/>
                <w:webHidden/>
              </w:rPr>
              <w:instrText xml:space="preserve"> PAGEREF _Toc234572162 \h </w:instrText>
            </w:r>
            <w:r w:rsidR="004C02A7">
              <w:rPr>
                <w:noProof/>
                <w:webHidden/>
              </w:rPr>
            </w:r>
            <w:r w:rsidR="004C02A7">
              <w:rPr>
                <w:noProof/>
                <w:webHidden/>
              </w:rPr>
              <w:fldChar w:fldCharType="separate"/>
            </w:r>
            <w:r w:rsidR="004C02A7">
              <w:rPr>
                <w:noProof/>
                <w:webHidden/>
              </w:rPr>
              <w:t>4</w:t>
            </w:r>
            <w:r w:rsidR="004C02A7">
              <w:rPr>
                <w:noProof/>
                <w:webHidden/>
              </w:rPr>
              <w:fldChar w:fldCharType="end"/>
            </w:r>
          </w:hyperlink>
        </w:p>
        <w:p w14:paraId="037E8031" w14:textId="213B844E" w:rsidR="004C02A7" w:rsidRDefault="004C02A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4572163" w:history="1">
            <w:r w:rsidRPr="00640F06">
              <w:rPr>
                <w:rStyle w:val="Hyperlink"/>
                <w:noProof/>
              </w:rPr>
              <w:t>2. Main Findings</w:t>
            </w:r>
            <w:r>
              <w:rPr>
                <w:noProof/>
                <w:webHidden/>
              </w:rPr>
              <w:tab/>
            </w:r>
            <w:r>
              <w:rPr>
                <w:noProof/>
                <w:webHidden/>
              </w:rPr>
              <w:fldChar w:fldCharType="begin"/>
            </w:r>
            <w:r>
              <w:rPr>
                <w:noProof/>
                <w:webHidden/>
              </w:rPr>
              <w:instrText xml:space="preserve"> PAGEREF _Toc234572163 \h </w:instrText>
            </w:r>
            <w:r>
              <w:rPr>
                <w:noProof/>
                <w:webHidden/>
              </w:rPr>
            </w:r>
            <w:r>
              <w:rPr>
                <w:noProof/>
                <w:webHidden/>
              </w:rPr>
              <w:fldChar w:fldCharType="separate"/>
            </w:r>
            <w:r>
              <w:rPr>
                <w:noProof/>
                <w:webHidden/>
              </w:rPr>
              <w:t>6</w:t>
            </w:r>
            <w:r>
              <w:rPr>
                <w:noProof/>
                <w:webHidden/>
              </w:rPr>
              <w:fldChar w:fldCharType="end"/>
            </w:r>
          </w:hyperlink>
        </w:p>
        <w:p w14:paraId="27088AFB" w14:textId="15C619CA"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64" w:history="1">
            <w:r w:rsidRPr="00640F06">
              <w:rPr>
                <w:rStyle w:val="Hyperlink"/>
                <w:noProof/>
              </w:rPr>
              <w:t>2.1 Nike’s Marketing Context and Inclusion as a Marketing Change Driver</w:t>
            </w:r>
            <w:r>
              <w:rPr>
                <w:noProof/>
                <w:webHidden/>
              </w:rPr>
              <w:tab/>
            </w:r>
            <w:r>
              <w:rPr>
                <w:noProof/>
                <w:webHidden/>
              </w:rPr>
              <w:fldChar w:fldCharType="begin"/>
            </w:r>
            <w:r>
              <w:rPr>
                <w:noProof/>
                <w:webHidden/>
              </w:rPr>
              <w:instrText xml:space="preserve"> PAGEREF _Toc234572164 \h </w:instrText>
            </w:r>
            <w:r>
              <w:rPr>
                <w:noProof/>
                <w:webHidden/>
              </w:rPr>
            </w:r>
            <w:r>
              <w:rPr>
                <w:noProof/>
                <w:webHidden/>
              </w:rPr>
              <w:fldChar w:fldCharType="separate"/>
            </w:r>
            <w:r>
              <w:rPr>
                <w:noProof/>
                <w:webHidden/>
              </w:rPr>
              <w:t>6</w:t>
            </w:r>
            <w:r>
              <w:rPr>
                <w:noProof/>
                <w:webHidden/>
              </w:rPr>
              <w:fldChar w:fldCharType="end"/>
            </w:r>
          </w:hyperlink>
        </w:p>
        <w:p w14:paraId="0DC874FC" w14:textId="5C30C73B"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65" w:history="1">
            <w:r w:rsidRPr="00640F06">
              <w:rPr>
                <w:rStyle w:val="Hyperlink"/>
                <w:noProof/>
              </w:rPr>
              <w:t>2.2 Macro and Micro Marketing Environment</w:t>
            </w:r>
            <w:r>
              <w:rPr>
                <w:noProof/>
                <w:webHidden/>
              </w:rPr>
              <w:tab/>
            </w:r>
            <w:r>
              <w:rPr>
                <w:noProof/>
                <w:webHidden/>
              </w:rPr>
              <w:fldChar w:fldCharType="begin"/>
            </w:r>
            <w:r>
              <w:rPr>
                <w:noProof/>
                <w:webHidden/>
              </w:rPr>
              <w:instrText xml:space="preserve"> PAGEREF _Toc234572165 \h </w:instrText>
            </w:r>
            <w:r>
              <w:rPr>
                <w:noProof/>
                <w:webHidden/>
              </w:rPr>
            </w:r>
            <w:r>
              <w:rPr>
                <w:noProof/>
                <w:webHidden/>
              </w:rPr>
              <w:fldChar w:fldCharType="separate"/>
            </w:r>
            <w:r>
              <w:rPr>
                <w:noProof/>
                <w:webHidden/>
              </w:rPr>
              <w:t>7</w:t>
            </w:r>
            <w:r>
              <w:rPr>
                <w:noProof/>
                <w:webHidden/>
              </w:rPr>
              <w:fldChar w:fldCharType="end"/>
            </w:r>
          </w:hyperlink>
        </w:p>
        <w:p w14:paraId="5E3CAB0E" w14:textId="0B55B9FF"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66" w:history="1">
            <w:r w:rsidRPr="00640F06">
              <w:rPr>
                <w:rStyle w:val="Hyperlink"/>
                <w:noProof/>
              </w:rPr>
              <w:t>2.3 Target Market, Segmentation and Positioning</w:t>
            </w:r>
            <w:r>
              <w:rPr>
                <w:noProof/>
                <w:webHidden/>
              </w:rPr>
              <w:tab/>
            </w:r>
            <w:r>
              <w:rPr>
                <w:noProof/>
                <w:webHidden/>
              </w:rPr>
              <w:fldChar w:fldCharType="begin"/>
            </w:r>
            <w:r>
              <w:rPr>
                <w:noProof/>
                <w:webHidden/>
              </w:rPr>
              <w:instrText xml:space="preserve"> PAGEREF _Toc234572166 \h </w:instrText>
            </w:r>
            <w:r>
              <w:rPr>
                <w:noProof/>
                <w:webHidden/>
              </w:rPr>
            </w:r>
            <w:r>
              <w:rPr>
                <w:noProof/>
                <w:webHidden/>
              </w:rPr>
              <w:fldChar w:fldCharType="separate"/>
            </w:r>
            <w:r>
              <w:rPr>
                <w:noProof/>
                <w:webHidden/>
              </w:rPr>
              <w:t>8</w:t>
            </w:r>
            <w:r>
              <w:rPr>
                <w:noProof/>
                <w:webHidden/>
              </w:rPr>
              <w:fldChar w:fldCharType="end"/>
            </w:r>
          </w:hyperlink>
        </w:p>
        <w:p w14:paraId="587B2B2D" w14:textId="44FE0CE0"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67" w:history="1">
            <w:r w:rsidRPr="00640F06">
              <w:rPr>
                <w:rStyle w:val="Hyperlink"/>
                <w:noProof/>
              </w:rPr>
              <w:t>2.4 Evaluation of Nike’s Inclusive Marketing Mix and Brand Community Activities</w:t>
            </w:r>
            <w:r>
              <w:rPr>
                <w:noProof/>
                <w:webHidden/>
              </w:rPr>
              <w:tab/>
            </w:r>
            <w:r>
              <w:rPr>
                <w:noProof/>
                <w:webHidden/>
              </w:rPr>
              <w:fldChar w:fldCharType="begin"/>
            </w:r>
            <w:r>
              <w:rPr>
                <w:noProof/>
                <w:webHidden/>
              </w:rPr>
              <w:instrText xml:space="preserve"> PAGEREF _Toc234572167 \h </w:instrText>
            </w:r>
            <w:r>
              <w:rPr>
                <w:noProof/>
                <w:webHidden/>
              </w:rPr>
            </w:r>
            <w:r>
              <w:rPr>
                <w:noProof/>
                <w:webHidden/>
              </w:rPr>
              <w:fldChar w:fldCharType="separate"/>
            </w:r>
            <w:r>
              <w:rPr>
                <w:noProof/>
                <w:webHidden/>
              </w:rPr>
              <w:t>9</w:t>
            </w:r>
            <w:r>
              <w:rPr>
                <w:noProof/>
                <w:webHidden/>
              </w:rPr>
              <w:fldChar w:fldCharType="end"/>
            </w:r>
          </w:hyperlink>
        </w:p>
        <w:p w14:paraId="08343731" w14:textId="0DEAD1DD"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68" w:history="1">
            <w:r w:rsidRPr="00640F06">
              <w:rPr>
                <w:rStyle w:val="Hyperlink"/>
                <w:noProof/>
              </w:rPr>
              <w:t>2.5 Media Selection, Customer Journey and Campaign Effectiveness</w:t>
            </w:r>
            <w:r>
              <w:rPr>
                <w:noProof/>
                <w:webHidden/>
              </w:rPr>
              <w:tab/>
            </w:r>
            <w:r>
              <w:rPr>
                <w:noProof/>
                <w:webHidden/>
              </w:rPr>
              <w:fldChar w:fldCharType="begin"/>
            </w:r>
            <w:r>
              <w:rPr>
                <w:noProof/>
                <w:webHidden/>
              </w:rPr>
              <w:instrText xml:space="preserve"> PAGEREF _Toc234572168 \h </w:instrText>
            </w:r>
            <w:r>
              <w:rPr>
                <w:noProof/>
                <w:webHidden/>
              </w:rPr>
            </w:r>
            <w:r>
              <w:rPr>
                <w:noProof/>
                <w:webHidden/>
              </w:rPr>
              <w:fldChar w:fldCharType="separate"/>
            </w:r>
            <w:r>
              <w:rPr>
                <w:noProof/>
                <w:webHidden/>
              </w:rPr>
              <w:t>11</w:t>
            </w:r>
            <w:r>
              <w:rPr>
                <w:noProof/>
                <w:webHidden/>
              </w:rPr>
              <w:fldChar w:fldCharType="end"/>
            </w:r>
          </w:hyperlink>
        </w:p>
        <w:p w14:paraId="5635FE1C" w14:textId="7EAE6575"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69" w:history="1">
            <w:r w:rsidRPr="00640F06">
              <w:rPr>
                <w:rStyle w:val="Hyperlink"/>
                <w:noProof/>
              </w:rPr>
              <w:t>2.6 Marketing Control, Measurement and Evidence Limitations</w:t>
            </w:r>
            <w:r>
              <w:rPr>
                <w:noProof/>
                <w:webHidden/>
              </w:rPr>
              <w:tab/>
            </w:r>
            <w:r>
              <w:rPr>
                <w:noProof/>
                <w:webHidden/>
              </w:rPr>
              <w:fldChar w:fldCharType="begin"/>
            </w:r>
            <w:r>
              <w:rPr>
                <w:noProof/>
                <w:webHidden/>
              </w:rPr>
              <w:instrText xml:space="preserve"> PAGEREF _Toc234572169 \h </w:instrText>
            </w:r>
            <w:r>
              <w:rPr>
                <w:noProof/>
                <w:webHidden/>
              </w:rPr>
            </w:r>
            <w:r>
              <w:rPr>
                <w:noProof/>
                <w:webHidden/>
              </w:rPr>
              <w:fldChar w:fldCharType="separate"/>
            </w:r>
            <w:r>
              <w:rPr>
                <w:noProof/>
                <w:webHidden/>
              </w:rPr>
              <w:t>12</w:t>
            </w:r>
            <w:r>
              <w:rPr>
                <w:noProof/>
                <w:webHidden/>
              </w:rPr>
              <w:fldChar w:fldCharType="end"/>
            </w:r>
          </w:hyperlink>
        </w:p>
        <w:p w14:paraId="7062518F" w14:textId="122C8CA3" w:rsidR="004C02A7" w:rsidRDefault="004C02A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4572170" w:history="1">
            <w:r w:rsidRPr="00640F06">
              <w:rPr>
                <w:rStyle w:val="Hyperlink"/>
                <w:noProof/>
              </w:rPr>
              <w:t>3. Conclusion</w:t>
            </w:r>
            <w:r>
              <w:rPr>
                <w:noProof/>
                <w:webHidden/>
              </w:rPr>
              <w:tab/>
            </w:r>
            <w:r>
              <w:rPr>
                <w:noProof/>
                <w:webHidden/>
              </w:rPr>
              <w:fldChar w:fldCharType="begin"/>
            </w:r>
            <w:r>
              <w:rPr>
                <w:noProof/>
                <w:webHidden/>
              </w:rPr>
              <w:instrText xml:space="preserve"> PAGEREF _Toc234572170 \h </w:instrText>
            </w:r>
            <w:r>
              <w:rPr>
                <w:noProof/>
                <w:webHidden/>
              </w:rPr>
            </w:r>
            <w:r>
              <w:rPr>
                <w:noProof/>
                <w:webHidden/>
              </w:rPr>
              <w:fldChar w:fldCharType="separate"/>
            </w:r>
            <w:r>
              <w:rPr>
                <w:noProof/>
                <w:webHidden/>
              </w:rPr>
              <w:t>14</w:t>
            </w:r>
            <w:r>
              <w:rPr>
                <w:noProof/>
                <w:webHidden/>
              </w:rPr>
              <w:fldChar w:fldCharType="end"/>
            </w:r>
          </w:hyperlink>
        </w:p>
        <w:p w14:paraId="06DFCF8B" w14:textId="1AAAD695" w:rsidR="004C02A7" w:rsidRDefault="004C02A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4572171" w:history="1">
            <w:r w:rsidRPr="00640F06">
              <w:rPr>
                <w:rStyle w:val="Hyperlink"/>
                <w:noProof/>
              </w:rPr>
              <w:t>4. Recommendations</w:t>
            </w:r>
            <w:r>
              <w:rPr>
                <w:noProof/>
                <w:webHidden/>
              </w:rPr>
              <w:tab/>
            </w:r>
            <w:r>
              <w:rPr>
                <w:noProof/>
                <w:webHidden/>
              </w:rPr>
              <w:fldChar w:fldCharType="begin"/>
            </w:r>
            <w:r>
              <w:rPr>
                <w:noProof/>
                <w:webHidden/>
              </w:rPr>
              <w:instrText xml:space="preserve"> PAGEREF _Toc234572171 \h </w:instrText>
            </w:r>
            <w:r>
              <w:rPr>
                <w:noProof/>
                <w:webHidden/>
              </w:rPr>
            </w:r>
            <w:r>
              <w:rPr>
                <w:noProof/>
                <w:webHidden/>
              </w:rPr>
              <w:fldChar w:fldCharType="separate"/>
            </w:r>
            <w:r>
              <w:rPr>
                <w:noProof/>
                <w:webHidden/>
              </w:rPr>
              <w:t>15</w:t>
            </w:r>
            <w:r>
              <w:rPr>
                <w:noProof/>
                <w:webHidden/>
              </w:rPr>
              <w:fldChar w:fldCharType="end"/>
            </w:r>
          </w:hyperlink>
        </w:p>
        <w:p w14:paraId="5329ACE2" w14:textId="65A86A3A"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72" w:history="1">
            <w:r w:rsidRPr="00640F06">
              <w:rPr>
                <w:rStyle w:val="Hyperlink"/>
                <w:noProof/>
              </w:rPr>
              <w:t>4.1 Build a Women’s Sport Community Ecosystem</w:t>
            </w:r>
            <w:r>
              <w:rPr>
                <w:noProof/>
                <w:webHidden/>
              </w:rPr>
              <w:tab/>
            </w:r>
            <w:r>
              <w:rPr>
                <w:noProof/>
                <w:webHidden/>
              </w:rPr>
              <w:fldChar w:fldCharType="begin"/>
            </w:r>
            <w:r>
              <w:rPr>
                <w:noProof/>
                <w:webHidden/>
              </w:rPr>
              <w:instrText xml:space="preserve"> PAGEREF _Toc234572172 \h </w:instrText>
            </w:r>
            <w:r>
              <w:rPr>
                <w:noProof/>
                <w:webHidden/>
              </w:rPr>
            </w:r>
            <w:r>
              <w:rPr>
                <w:noProof/>
                <w:webHidden/>
              </w:rPr>
              <w:fldChar w:fldCharType="separate"/>
            </w:r>
            <w:r>
              <w:rPr>
                <w:noProof/>
                <w:webHidden/>
              </w:rPr>
              <w:t>15</w:t>
            </w:r>
            <w:r>
              <w:rPr>
                <w:noProof/>
                <w:webHidden/>
              </w:rPr>
              <w:fldChar w:fldCharType="end"/>
            </w:r>
          </w:hyperlink>
        </w:p>
        <w:p w14:paraId="00DA4C72" w14:textId="645A9D07"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73" w:history="1">
            <w:r w:rsidRPr="00640F06">
              <w:rPr>
                <w:rStyle w:val="Hyperlink"/>
                <w:noProof/>
              </w:rPr>
              <w:t>4.2 Expand Co-Created Storytelling with Grassroots Athletes</w:t>
            </w:r>
            <w:r>
              <w:rPr>
                <w:noProof/>
                <w:webHidden/>
              </w:rPr>
              <w:tab/>
            </w:r>
            <w:r>
              <w:rPr>
                <w:noProof/>
                <w:webHidden/>
              </w:rPr>
              <w:fldChar w:fldCharType="begin"/>
            </w:r>
            <w:r>
              <w:rPr>
                <w:noProof/>
                <w:webHidden/>
              </w:rPr>
              <w:instrText xml:space="preserve"> PAGEREF _Toc234572173 \h </w:instrText>
            </w:r>
            <w:r>
              <w:rPr>
                <w:noProof/>
                <w:webHidden/>
              </w:rPr>
            </w:r>
            <w:r>
              <w:rPr>
                <w:noProof/>
                <w:webHidden/>
              </w:rPr>
              <w:fldChar w:fldCharType="separate"/>
            </w:r>
            <w:r>
              <w:rPr>
                <w:noProof/>
                <w:webHidden/>
              </w:rPr>
              <w:t>15</w:t>
            </w:r>
            <w:r>
              <w:rPr>
                <w:noProof/>
                <w:webHidden/>
              </w:rPr>
              <w:fldChar w:fldCharType="end"/>
            </w:r>
          </w:hyperlink>
        </w:p>
        <w:p w14:paraId="51B36BEF" w14:textId="55349EEF"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74" w:history="1">
            <w:r w:rsidRPr="00640F06">
              <w:rPr>
                <w:rStyle w:val="Hyperlink"/>
                <w:noProof/>
              </w:rPr>
              <w:t>4.3 Align Inclusive Marketing with Product Inclusivity</w:t>
            </w:r>
            <w:r>
              <w:rPr>
                <w:noProof/>
                <w:webHidden/>
              </w:rPr>
              <w:tab/>
            </w:r>
            <w:r>
              <w:rPr>
                <w:noProof/>
                <w:webHidden/>
              </w:rPr>
              <w:fldChar w:fldCharType="begin"/>
            </w:r>
            <w:r>
              <w:rPr>
                <w:noProof/>
                <w:webHidden/>
              </w:rPr>
              <w:instrText xml:space="preserve"> PAGEREF _Toc234572174 \h </w:instrText>
            </w:r>
            <w:r>
              <w:rPr>
                <w:noProof/>
                <w:webHidden/>
              </w:rPr>
            </w:r>
            <w:r>
              <w:rPr>
                <w:noProof/>
                <w:webHidden/>
              </w:rPr>
              <w:fldChar w:fldCharType="separate"/>
            </w:r>
            <w:r>
              <w:rPr>
                <w:noProof/>
                <w:webHidden/>
              </w:rPr>
              <w:t>16</w:t>
            </w:r>
            <w:r>
              <w:rPr>
                <w:noProof/>
                <w:webHidden/>
              </w:rPr>
              <w:fldChar w:fldCharType="end"/>
            </w:r>
          </w:hyperlink>
        </w:p>
        <w:p w14:paraId="6B408458" w14:textId="578A40F9"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75" w:history="1">
            <w:r w:rsidRPr="00640F06">
              <w:rPr>
                <w:rStyle w:val="Hyperlink"/>
                <w:noProof/>
              </w:rPr>
              <w:t>4.4 Develop an Inclusive Brand Community Dashboard</w:t>
            </w:r>
            <w:r>
              <w:rPr>
                <w:noProof/>
                <w:webHidden/>
              </w:rPr>
              <w:tab/>
            </w:r>
            <w:r>
              <w:rPr>
                <w:noProof/>
                <w:webHidden/>
              </w:rPr>
              <w:fldChar w:fldCharType="begin"/>
            </w:r>
            <w:r>
              <w:rPr>
                <w:noProof/>
                <w:webHidden/>
              </w:rPr>
              <w:instrText xml:space="preserve"> PAGEREF _Toc234572175 \h </w:instrText>
            </w:r>
            <w:r>
              <w:rPr>
                <w:noProof/>
                <w:webHidden/>
              </w:rPr>
            </w:r>
            <w:r>
              <w:rPr>
                <w:noProof/>
                <w:webHidden/>
              </w:rPr>
              <w:fldChar w:fldCharType="separate"/>
            </w:r>
            <w:r>
              <w:rPr>
                <w:noProof/>
                <w:webHidden/>
              </w:rPr>
              <w:t>16</w:t>
            </w:r>
            <w:r>
              <w:rPr>
                <w:noProof/>
                <w:webHidden/>
              </w:rPr>
              <w:fldChar w:fldCharType="end"/>
            </w:r>
          </w:hyperlink>
        </w:p>
        <w:p w14:paraId="25220514" w14:textId="7CC9A6B9"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76" w:history="1">
            <w:r w:rsidRPr="00640F06">
              <w:rPr>
                <w:rStyle w:val="Hyperlink"/>
                <w:noProof/>
              </w:rPr>
              <w:t>4.5 Strengthen Cross-Functional Change Management</w:t>
            </w:r>
            <w:r>
              <w:rPr>
                <w:noProof/>
                <w:webHidden/>
              </w:rPr>
              <w:tab/>
            </w:r>
            <w:r>
              <w:rPr>
                <w:noProof/>
                <w:webHidden/>
              </w:rPr>
              <w:fldChar w:fldCharType="begin"/>
            </w:r>
            <w:r>
              <w:rPr>
                <w:noProof/>
                <w:webHidden/>
              </w:rPr>
              <w:instrText xml:space="preserve"> PAGEREF _Toc234572176 \h </w:instrText>
            </w:r>
            <w:r>
              <w:rPr>
                <w:noProof/>
                <w:webHidden/>
              </w:rPr>
            </w:r>
            <w:r>
              <w:rPr>
                <w:noProof/>
                <w:webHidden/>
              </w:rPr>
              <w:fldChar w:fldCharType="separate"/>
            </w:r>
            <w:r>
              <w:rPr>
                <w:noProof/>
                <w:webHidden/>
              </w:rPr>
              <w:t>16</w:t>
            </w:r>
            <w:r>
              <w:rPr>
                <w:noProof/>
                <w:webHidden/>
              </w:rPr>
              <w:fldChar w:fldCharType="end"/>
            </w:r>
          </w:hyperlink>
        </w:p>
        <w:p w14:paraId="25299354" w14:textId="39A388DB" w:rsidR="004C02A7" w:rsidRDefault="004C02A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4572177" w:history="1">
            <w:r w:rsidRPr="00640F06">
              <w:rPr>
                <w:rStyle w:val="Hyperlink"/>
                <w:noProof/>
              </w:rPr>
              <w:t>References</w:t>
            </w:r>
            <w:r>
              <w:rPr>
                <w:noProof/>
                <w:webHidden/>
              </w:rPr>
              <w:tab/>
            </w:r>
            <w:r>
              <w:rPr>
                <w:noProof/>
                <w:webHidden/>
              </w:rPr>
              <w:fldChar w:fldCharType="begin"/>
            </w:r>
            <w:r>
              <w:rPr>
                <w:noProof/>
                <w:webHidden/>
              </w:rPr>
              <w:instrText xml:space="preserve"> PAGEREF _Toc234572177 \h </w:instrText>
            </w:r>
            <w:r>
              <w:rPr>
                <w:noProof/>
                <w:webHidden/>
              </w:rPr>
            </w:r>
            <w:r>
              <w:rPr>
                <w:noProof/>
                <w:webHidden/>
              </w:rPr>
              <w:fldChar w:fldCharType="separate"/>
            </w:r>
            <w:r>
              <w:rPr>
                <w:noProof/>
                <w:webHidden/>
              </w:rPr>
              <w:t>18</w:t>
            </w:r>
            <w:r>
              <w:rPr>
                <w:noProof/>
                <w:webHidden/>
              </w:rPr>
              <w:fldChar w:fldCharType="end"/>
            </w:r>
          </w:hyperlink>
        </w:p>
        <w:p w14:paraId="4705C6CC" w14:textId="3605ABB0" w:rsidR="004C02A7" w:rsidRDefault="004C02A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4572178" w:history="1">
            <w:r w:rsidRPr="00640F06">
              <w:rPr>
                <w:rStyle w:val="Hyperlink"/>
                <w:noProof/>
              </w:rPr>
              <w:t>Appendices</w:t>
            </w:r>
            <w:r>
              <w:rPr>
                <w:noProof/>
                <w:webHidden/>
              </w:rPr>
              <w:tab/>
            </w:r>
            <w:r>
              <w:rPr>
                <w:noProof/>
                <w:webHidden/>
              </w:rPr>
              <w:fldChar w:fldCharType="begin"/>
            </w:r>
            <w:r>
              <w:rPr>
                <w:noProof/>
                <w:webHidden/>
              </w:rPr>
              <w:instrText xml:space="preserve"> PAGEREF _Toc234572178 \h </w:instrText>
            </w:r>
            <w:r>
              <w:rPr>
                <w:noProof/>
                <w:webHidden/>
              </w:rPr>
            </w:r>
            <w:r>
              <w:rPr>
                <w:noProof/>
                <w:webHidden/>
              </w:rPr>
              <w:fldChar w:fldCharType="separate"/>
            </w:r>
            <w:r>
              <w:rPr>
                <w:noProof/>
                <w:webHidden/>
              </w:rPr>
              <w:t>21</w:t>
            </w:r>
            <w:r>
              <w:rPr>
                <w:noProof/>
                <w:webHidden/>
              </w:rPr>
              <w:fldChar w:fldCharType="end"/>
            </w:r>
          </w:hyperlink>
        </w:p>
        <w:p w14:paraId="43A84C50" w14:textId="75512CFA"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79" w:history="1">
            <w:r w:rsidRPr="00640F06">
              <w:rPr>
                <w:rStyle w:val="Hyperlink"/>
                <w:noProof/>
              </w:rPr>
              <w:t>Appendix A: Suggested inclusive brand community dashboard</w:t>
            </w:r>
            <w:r>
              <w:rPr>
                <w:noProof/>
                <w:webHidden/>
              </w:rPr>
              <w:tab/>
            </w:r>
            <w:r>
              <w:rPr>
                <w:noProof/>
                <w:webHidden/>
              </w:rPr>
              <w:fldChar w:fldCharType="begin"/>
            </w:r>
            <w:r>
              <w:rPr>
                <w:noProof/>
                <w:webHidden/>
              </w:rPr>
              <w:instrText xml:space="preserve"> PAGEREF _Toc234572179 \h </w:instrText>
            </w:r>
            <w:r>
              <w:rPr>
                <w:noProof/>
                <w:webHidden/>
              </w:rPr>
            </w:r>
            <w:r>
              <w:rPr>
                <w:noProof/>
                <w:webHidden/>
              </w:rPr>
              <w:fldChar w:fldCharType="separate"/>
            </w:r>
            <w:r>
              <w:rPr>
                <w:noProof/>
                <w:webHidden/>
              </w:rPr>
              <w:t>21</w:t>
            </w:r>
            <w:r>
              <w:rPr>
                <w:noProof/>
                <w:webHidden/>
              </w:rPr>
              <w:fldChar w:fldCharType="end"/>
            </w:r>
          </w:hyperlink>
        </w:p>
        <w:p w14:paraId="2A84687D" w14:textId="568CB2CA"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80" w:history="1">
            <w:r w:rsidRPr="00640F06">
              <w:rPr>
                <w:rStyle w:val="Hyperlink"/>
                <w:noProof/>
              </w:rPr>
              <w:t>Appendix B: Example customer journey for inclusive women’s sport marketing</w:t>
            </w:r>
            <w:r>
              <w:rPr>
                <w:noProof/>
                <w:webHidden/>
              </w:rPr>
              <w:tab/>
            </w:r>
            <w:r>
              <w:rPr>
                <w:noProof/>
                <w:webHidden/>
              </w:rPr>
              <w:fldChar w:fldCharType="begin"/>
            </w:r>
            <w:r>
              <w:rPr>
                <w:noProof/>
                <w:webHidden/>
              </w:rPr>
              <w:instrText xml:space="preserve"> PAGEREF _Toc234572180 \h </w:instrText>
            </w:r>
            <w:r>
              <w:rPr>
                <w:noProof/>
                <w:webHidden/>
              </w:rPr>
            </w:r>
            <w:r>
              <w:rPr>
                <w:noProof/>
                <w:webHidden/>
              </w:rPr>
              <w:fldChar w:fldCharType="separate"/>
            </w:r>
            <w:r>
              <w:rPr>
                <w:noProof/>
                <w:webHidden/>
              </w:rPr>
              <w:t>21</w:t>
            </w:r>
            <w:r>
              <w:rPr>
                <w:noProof/>
                <w:webHidden/>
              </w:rPr>
              <w:fldChar w:fldCharType="end"/>
            </w:r>
          </w:hyperlink>
        </w:p>
        <w:p w14:paraId="34A94B91" w14:textId="01020F7B" w:rsidR="004C02A7" w:rsidRDefault="004C02A7">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4572181" w:history="1">
            <w:r w:rsidRPr="00640F06">
              <w:rPr>
                <w:rStyle w:val="Hyperlink"/>
                <w:noProof/>
              </w:rPr>
              <w:t>Appendix C: Inclusive campaign approval checklist</w:t>
            </w:r>
            <w:r>
              <w:rPr>
                <w:noProof/>
                <w:webHidden/>
              </w:rPr>
              <w:tab/>
            </w:r>
            <w:r>
              <w:rPr>
                <w:noProof/>
                <w:webHidden/>
              </w:rPr>
              <w:fldChar w:fldCharType="begin"/>
            </w:r>
            <w:r>
              <w:rPr>
                <w:noProof/>
                <w:webHidden/>
              </w:rPr>
              <w:instrText xml:space="preserve"> PAGEREF _Toc234572181 \h </w:instrText>
            </w:r>
            <w:r>
              <w:rPr>
                <w:noProof/>
                <w:webHidden/>
              </w:rPr>
            </w:r>
            <w:r>
              <w:rPr>
                <w:noProof/>
                <w:webHidden/>
              </w:rPr>
              <w:fldChar w:fldCharType="separate"/>
            </w:r>
            <w:r>
              <w:rPr>
                <w:noProof/>
                <w:webHidden/>
              </w:rPr>
              <w:t>21</w:t>
            </w:r>
            <w:r>
              <w:rPr>
                <w:noProof/>
                <w:webHidden/>
              </w:rPr>
              <w:fldChar w:fldCharType="end"/>
            </w:r>
          </w:hyperlink>
        </w:p>
        <w:p w14:paraId="4C3D9273" w14:textId="5DC4D071" w:rsidR="00AC6E3D" w:rsidRDefault="00AC6E3D" w:rsidP="00AC6E3D">
          <w:r>
            <w:rPr>
              <w:b/>
              <w:bCs/>
              <w:noProof/>
            </w:rPr>
            <w:fldChar w:fldCharType="end"/>
          </w:r>
        </w:p>
      </w:sdtContent>
    </w:sdt>
    <w:p w14:paraId="71281653" w14:textId="77777777" w:rsidR="00AC6E3D" w:rsidRDefault="00AC6E3D" w:rsidP="00AC6E3D">
      <w:pPr>
        <w:spacing w:after="160"/>
        <w:rPr>
          <w:rFonts w:asciiTheme="majorHAnsi" w:eastAsiaTheme="majorEastAsia" w:hAnsiTheme="majorHAnsi" w:cstheme="majorBidi"/>
          <w:color w:val="0F4761" w:themeColor="accent1" w:themeShade="BF"/>
          <w:sz w:val="40"/>
          <w:szCs w:val="40"/>
        </w:rPr>
      </w:pPr>
      <w:r>
        <w:br w:type="page"/>
      </w:r>
    </w:p>
    <w:p w14:paraId="29ED521C" w14:textId="77777777" w:rsidR="00AC6E3D" w:rsidRDefault="00AC6E3D" w:rsidP="00AC6E3D">
      <w:pPr>
        <w:pStyle w:val="Heading1"/>
      </w:pPr>
      <w:bookmarkStart w:id="0" w:name="_Toc234572162"/>
      <w:r>
        <w:lastRenderedPageBreak/>
        <w:t>1. Introduction</w:t>
      </w:r>
      <w:bookmarkEnd w:id="0"/>
    </w:p>
    <w:p w14:paraId="1073BBA4" w14:textId="77777777" w:rsidR="00AC6E3D" w:rsidRDefault="00AC6E3D" w:rsidP="00AC6E3D">
      <w:pPr>
        <w:spacing w:line="360" w:lineRule="auto"/>
      </w:pPr>
      <w:r>
        <w:t>Nike, Inc. is one of the world’s most influential sportswear companies, operating across footwear, apparel, equipment, retail, digital commerce and membership services. Its marketing has historically been built around performance, aspiration, emotional storytelling and athlete endorsement. However, the external marketing environment has changed significantly. Consumers no longer respond only to product performance and celebrity status; they also expect brands to represent diverse identities, support access to sport and build communities that feel authentic. For Nike, inclusive brand community is therefore a major driver of marketing change.</w:t>
      </w:r>
    </w:p>
    <w:p w14:paraId="42F23049" w14:textId="77777777" w:rsidR="00AC6E3D" w:rsidRDefault="00AC6E3D" w:rsidP="00AC6E3D">
      <w:pPr>
        <w:spacing w:line="360" w:lineRule="auto"/>
      </w:pPr>
      <w:r>
        <w:t>This report focuses on Nike’s inclusive brand community strategy, especially women’s sport marketing, youth sport access and community-based engagement. The central issue is whether Nike can convert its inclusive brand purpose into meaningful customer value. Nike’s mission, including the idea that “if you have a body, you are an athlete”, creates a broad platform for including professional athletes, everyday exercisers, women, girls, disabled athletes and underrepresented communities within the same brand universe (Nike, Inc., 2026a).</w:t>
      </w:r>
    </w:p>
    <w:p w14:paraId="603332B7" w14:textId="77777777" w:rsidR="00AC6E3D" w:rsidRDefault="00AC6E3D" w:rsidP="00AC6E3D">
      <w:pPr>
        <w:spacing w:line="360" w:lineRule="auto"/>
      </w:pPr>
      <w:r>
        <w:t>Nevertheless, inclusive marketing also creates risk. If representation is limited to campaign imagery, celebrity endorsement or social media storytelling, consumers may view it as performative rather than authentic. In a market where women’s sport is growing rapidly and consumers are increasingly critical of brand purpose claims, Nike must demonstrate that inclusion is supported by products, participation, access and measurable community impact. Deloitte (2026) predicts that global revenues in women’s elite sport will reach at least US$3 billion in 2026, showing that women’s sport is not a niche social cause but a commercially significant market. At the same time, inclusive marketing must be handled carefully because issues of gender, body image, disability, race, identity and community access are culturally sensitive.</w:t>
      </w:r>
    </w:p>
    <w:p w14:paraId="272D7A49" w14:textId="77777777" w:rsidR="00AC6E3D" w:rsidRDefault="00AC6E3D" w:rsidP="00AC6E3D">
      <w:pPr>
        <w:spacing w:line="360" w:lineRule="auto"/>
      </w:pPr>
      <w:r>
        <w:t xml:space="preserve">The purpose of this report is to critically evaluate Nike’s marketing department in relation to inclusive brand community. It assesses current activities, identifies shortcomings and proposes future marketing developments. The analysis applies STP, positioning, brand community theory, customer engagement, customer journey thinking and Kotter’s change model. It uses publicly available evidence from Nike’s annual reports, campaign pages, impact resources, industry reports and academic literature. A limitation is that Nike does not </w:t>
      </w:r>
      <w:r>
        <w:lastRenderedPageBreak/>
        <w:t>publish full campaign-level data on community participation, retention or inclusive marketing ROI; therefore, the evaluation uses available evidence and reasoned judgement.</w:t>
      </w:r>
    </w:p>
    <w:p w14:paraId="16B91A43" w14:textId="77777777" w:rsidR="00AC6E3D" w:rsidRDefault="00AC6E3D" w:rsidP="00AC6E3D">
      <w:pPr>
        <w:spacing w:after="160"/>
        <w:rPr>
          <w:rFonts w:asciiTheme="majorHAnsi" w:eastAsiaTheme="majorEastAsia" w:hAnsiTheme="majorHAnsi" w:cstheme="majorBidi"/>
          <w:color w:val="0F4761" w:themeColor="accent1" w:themeShade="BF"/>
          <w:sz w:val="40"/>
          <w:szCs w:val="40"/>
        </w:rPr>
      </w:pPr>
      <w:r>
        <w:br w:type="page"/>
      </w:r>
    </w:p>
    <w:p w14:paraId="56314AB7" w14:textId="77777777" w:rsidR="00AC6E3D" w:rsidRDefault="00AC6E3D" w:rsidP="00AC6E3D">
      <w:pPr>
        <w:pStyle w:val="Heading1"/>
        <w:spacing w:line="360" w:lineRule="auto"/>
      </w:pPr>
      <w:bookmarkStart w:id="1" w:name="_Toc234572163"/>
      <w:r>
        <w:lastRenderedPageBreak/>
        <w:t>2. Main Findings</w:t>
      </w:r>
      <w:bookmarkEnd w:id="1"/>
    </w:p>
    <w:p w14:paraId="3C0C282C" w14:textId="77777777" w:rsidR="00AC6E3D" w:rsidRDefault="00AC6E3D" w:rsidP="00AC6E3D">
      <w:pPr>
        <w:pStyle w:val="Heading2"/>
        <w:spacing w:line="360" w:lineRule="auto"/>
      </w:pPr>
      <w:bookmarkStart w:id="2" w:name="_Toc234572164"/>
      <w:r>
        <w:t>2.1 Nike’s Marketing Context and Inclusion as a Marketing Change Driver</w:t>
      </w:r>
      <w:bookmarkEnd w:id="2"/>
    </w:p>
    <w:p w14:paraId="396DE3B8" w14:textId="77777777" w:rsidR="00AC6E3D" w:rsidRDefault="00AC6E3D" w:rsidP="00AC6E3D">
      <w:pPr>
        <w:spacing w:line="360" w:lineRule="auto"/>
      </w:pPr>
      <w:r>
        <w:t>Nike’s inclusive brand community strategy must be understood within its wider commercial context. In fiscal 2025, Nike reported revenue of US$46.3 billion, a decline of 10 per cent on a reported basis. Nike Direct revenue declined by 13 per cent, Nike Brand Digital declined by 20 per cent, and demand creation expense increased by 9 per cent to US$4.7 billion (Nike, Inc., 2025a; 2025b). These figures suggest that Nike remains a highly powerful brand but is operating in a more pressured growth environment. Marketing investment is still substantial, yet the company needs stronger customer connection, not simply higher promotional spending.</w:t>
      </w:r>
    </w:p>
    <w:p w14:paraId="47C5EB7A" w14:textId="77777777" w:rsidR="00AC6E3D" w:rsidRDefault="00AC6E3D" w:rsidP="00AC6E3D">
      <w:pPr>
        <w:spacing w:line="360" w:lineRule="auto"/>
      </w:pPr>
      <w:r>
        <w:t>Inclusive brand community can support this challenge because it creates emotional loyalty and social meaning. Brand community theory argues that consumers form relationships with brands and with other consumers who share meanings, rituals and values (Muniz and O’Guinn, 2001; McAlexander, Schouten and Koenig, 2002). Nike has a natural advantage because sport is social and identity-based. Running clubs, football fandom, digital fitness communities, athlete followings and youth programmes all create value beyond the product itself.</w:t>
      </w:r>
    </w:p>
    <w:p w14:paraId="0EE774CD" w14:textId="77777777" w:rsidR="00AC6E3D" w:rsidRDefault="00AC6E3D" w:rsidP="00AC6E3D">
      <w:pPr>
        <w:spacing w:line="360" w:lineRule="auto"/>
      </w:pPr>
      <w:r>
        <w:t>Nike has used inclusion as part of its brand identity for many years. Campaigns and initiatives have promoted female athletes, diverse bodies, youth access to play and the idea that sport belongs to everyone. Nike’s Community Impact Fund invests in local organisations and schools that make play possible for youth (Nike, Inc., 2026b). Nike also states that it is working to improve sport access for all youth, with particular attention to girls because they do not participate at the same rates (Nike, Inc., 2026a). These activities indicate that inclusion is connected to community investment, not only messaging.</w:t>
      </w:r>
    </w:p>
    <w:p w14:paraId="607888E7" w14:textId="77777777" w:rsidR="00AC6E3D" w:rsidRDefault="00AC6E3D" w:rsidP="00AC6E3D">
      <w:pPr>
        <w:spacing w:line="360" w:lineRule="auto"/>
      </w:pPr>
      <w:r>
        <w:t>However, the marketing challenge is to translate these activities into a coherent customer journey. Nike’s current inclusive activity has many strong parts, but they may be experienced as separate initiatives: a women’s football film, a grant programme, a product collaboration or a local event. The strategic opportunity is to connect them into a visible ecosystem that strengthens belonging, participation and long-term loyalty.</w:t>
      </w:r>
    </w:p>
    <w:p w14:paraId="0B28FB1C" w14:textId="77777777" w:rsidR="00AC6E3D" w:rsidRDefault="00AC6E3D" w:rsidP="00AC6E3D">
      <w:pPr>
        <w:spacing w:line="360" w:lineRule="auto"/>
      </w:pPr>
      <w:r>
        <w:lastRenderedPageBreak/>
        <w:t>Inclusion is also commercially important because women’s sport and women’s activewear are expanding. Deloitte (2025) estimated that global women’s elite sport revenue reached US$1.88 billion in 2024 and predicted at least US$2.35 billion in 2025; Deloitte (2026) later predicted at least US$3 billion in 2026. This increases the value of women’s sport, but also raises expectations. Nike must demonstrate that it understands women athletes as performers, fans, consumers and community members.</w:t>
      </w:r>
    </w:p>
    <w:p w14:paraId="3E3617F2" w14:textId="77777777" w:rsidR="00AC6E3D" w:rsidRDefault="00AC6E3D" w:rsidP="00AC6E3D">
      <w:pPr>
        <w:pStyle w:val="Heading2"/>
        <w:spacing w:line="360" w:lineRule="auto"/>
      </w:pPr>
      <w:bookmarkStart w:id="3" w:name="_Toc234572165"/>
      <w:r>
        <w:t>2.2 Macro and Micro Marketing Environment</w:t>
      </w:r>
      <w:bookmarkEnd w:id="3"/>
    </w:p>
    <w:p w14:paraId="3C417049" w14:textId="77777777" w:rsidR="00AC6E3D" w:rsidRDefault="00AC6E3D" w:rsidP="00AC6E3D">
      <w:pPr>
        <w:spacing w:line="360" w:lineRule="auto"/>
      </w:pPr>
      <w:r>
        <w:t>Nike’s inclusive brand community strategy is shaped by several macro-environmental factors. Socially, consumer expectations of representation have changed. Many consumers, especially younger audiences, expect brands to include different genders, body types, abilities, ethnic backgrounds and lifestyles. Consumer culture theory suggests that consumption is connected to identity, meaning and social belonging (Arnould and Thompson, 2005). Nike’s brand is therefore not evaluated only through product quality; it is also judged by whether consumers feel recognised and included.</w:t>
      </w:r>
    </w:p>
    <w:p w14:paraId="357D8466" w14:textId="77777777" w:rsidR="00AC6E3D" w:rsidRDefault="00AC6E3D" w:rsidP="00AC6E3D">
      <w:pPr>
        <w:spacing w:line="360" w:lineRule="auto"/>
      </w:pPr>
      <w:r>
        <w:t>Technological change also matters. Digital platforms allow Nike to reach global audiences through campaigns, apps, social media, email and community content. However, digital communication also makes brand claims more open to criticism. If audiences perceive representation as tokenistic, a campaign can invite backlash. For Nike, inclusive content must therefore do more than attract attention; it needs to create participation, conversation and trust (Hollebeek, Glynn and Brodie, 2014).</w:t>
      </w:r>
    </w:p>
    <w:p w14:paraId="2B4D1BC4" w14:textId="77777777" w:rsidR="00AC6E3D" w:rsidRDefault="00AC6E3D" w:rsidP="00AC6E3D">
      <w:pPr>
        <w:spacing w:line="360" w:lineRule="auto"/>
      </w:pPr>
      <w:r>
        <w:t>Economically, women’s elite sport is becoming a larger commercial market through sponsorship, broadcasting, attendance and merchandise (Deloitte, 2026). This supports Nike’s focus on women’s sport marketing, including “What The Football” and NikeSKIMS. NikeSKIMS combines Nike’s performance expertise with SKIMS’ focus on women’s bodies, fit and style (Nike, Inc., 2025c), responding to the growing activewear market and the need for women-centred products.</w:t>
      </w:r>
    </w:p>
    <w:p w14:paraId="482EF875" w14:textId="77777777" w:rsidR="00AC6E3D" w:rsidRDefault="00AC6E3D" w:rsidP="00AC6E3D">
      <w:pPr>
        <w:spacing w:line="360" w:lineRule="auto"/>
      </w:pPr>
      <w:r>
        <w:t>However, inclusive marketing can become controversial if consumers believe a company is using social identity mainly for sales. Consumers develop stronger attachments when brand meanings align with self-concept and reference groups (Escalas and Bettman, 2005). If Nike communicates inclusion but fails to address practical barriers such as affordability, access, product fit or local sport opportunities, the emotional promise may weaken.</w:t>
      </w:r>
    </w:p>
    <w:p w14:paraId="4CFE7A91" w14:textId="77777777" w:rsidR="00AC6E3D" w:rsidRDefault="00AC6E3D" w:rsidP="00AC6E3D">
      <w:pPr>
        <w:spacing w:line="360" w:lineRule="auto"/>
      </w:pPr>
      <w:r>
        <w:lastRenderedPageBreak/>
        <w:t>The micro-environment is also competitive. Lululemon, Adidas, Puma, Athleta, On, Hoka and newer activewear brands all compete for women, fitness consumers and lifestyle athletes. Many of these brands emphasise community, wellbeing, inclusivity or female-focused design. Nike has stronger global scale and athlete endorsement assets, but some competitors may appear closer to everyday communities or more specialised in women’s activewear. This creates a positioning challenge. Nike must show that inclusive sport is not only a communications theme but a practical advantage expressed through product design, community access and customer experience.</w:t>
      </w:r>
    </w:p>
    <w:p w14:paraId="59B0F340" w14:textId="77777777" w:rsidR="00AC6E3D" w:rsidRDefault="00AC6E3D" w:rsidP="00AC6E3D">
      <w:pPr>
        <w:spacing w:line="360" w:lineRule="auto"/>
      </w:pPr>
      <w:r>
        <w:t>There is also an internal stakeholder issue. Nike’s DEI page identifies four pillars: diversity, equity, inclusion and accessibility (Nike, Inc., 2026c). This supports credibility, but also creates accountability. If consumers or employees perceive a gap between external representation and internal practice, inclusive marketing may be weakened. Nike’s marketing department must therefore work with product, HR, community impact, retail and digital teams.</w:t>
      </w:r>
    </w:p>
    <w:p w14:paraId="7470D1A3" w14:textId="77777777" w:rsidR="00AC6E3D" w:rsidRDefault="00AC6E3D" w:rsidP="00AC6E3D">
      <w:pPr>
        <w:pStyle w:val="Heading2"/>
        <w:spacing w:line="360" w:lineRule="auto"/>
      </w:pPr>
      <w:bookmarkStart w:id="4" w:name="_Toc234572166"/>
      <w:r>
        <w:t>2.3 Target Market, Segmentation and Positioning</w:t>
      </w:r>
      <w:bookmarkEnd w:id="4"/>
    </w:p>
    <w:p w14:paraId="27274FEE" w14:textId="77777777" w:rsidR="00AC6E3D" w:rsidRDefault="00AC6E3D" w:rsidP="00AC6E3D">
      <w:pPr>
        <w:spacing w:line="360" w:lineRule="auto"/>
      </w:pPr>
      <w:r>
        <w:t>Nike’s inclusive brand community strategy targets women athletes, girls and youth participants, Gen Z and millennial consumers, digital fitness users, sports fans and everyday exercisers who want to feel that sport is for them. From an STP perspective, Nike’s segmentation is behavioural, demographic and psychographic: it is based on values, identity, motivation and participation, not only age, gender or sport type.</w:t>
      </w:r>
    </w:p>
    <w:p w14:paraId="2A321EBA" w14:textId="77777777" w:rsidR="00AC6E3D" w:rsidRDefault="00AC6E3D" w:rsidP="00AC6E3D">
      <w:pPr>
        <w:spacing w:line="360" w:lineRule="auto"/>
      </w:pPr>
      <w:r>
        <w:t>The primary target in this report is women and girls in sport. This is strategically strong because women’s sport is growing commercially while participation barriers remain. Nike recognises that girls are not participating at the same rates as boys, and it aims to address barriers, shift perceptions and increase trained coaches who represent their communities (Nike, Inc., 2026a). This gives Nike a credible basis because the target includes not only current consumers, but also future athletes and fans.</w:t>
      </w:r>
    </w:p>
    <w:p w14:paraId="5FD18110" w14:textId="77777777" w:rsidR="00AC6E3D" w:rsidRDefault="00AC6E3D" w:rsidP="00AC6E3D">
      <w:pPr>
        <w:spacing w:line="360" w:lineRule="auto"/>
      </w:pPr>
      <w:r>
        <w:t>Nike also targets digital communities. Nike Run Club, Nike Training Club, Nike.com, Nike apps and social media channels allow Nike to engage consumers beyond the moment of purchase. Brodie et al. (2013) argue that virtual brand communities can create customer engagement through interactive experiences and shared value. Nike’s digital ecosystem provides the infrastructure for this, although the inclusive community experience is not always fully connected to campaigns and product launches.</w:t>
      </w:r>
    </w:p>
    <w:p w14:paraId="03512533" w14:textId="77777777" w:rsidR="00AC6E3D" w:rsidRDefault="00AC6E3D" w:rsidP="00AC6E3D">
      <w:pPr>
        <w:spacing w:line="360" w:lineRule="auto"/>
      </w:pPr>
      <w:r>
        <w:lastRenderedPageBreak/>
        <w:t>Positioning is central to the strategy. Nike’s traditional positioning is performance-led and inspirational, while inclusive brand community adds a second layer: sport belongs to everyone. This supports customer-based brand equity because it strengthens brand associations and emotional responses (Keller, 1993; 2013). If consumers associate Nike with confidence, empowerment and belonging, the brand becomes more than a sportswear supplier.</w:t>
      </w:r>
    </w:p>
    <w:p w14:paraId="5B0CB598" w14:textId="77777777" w:rsidR="00AC6E3D" w:rsidRDefault="00AC6E3D" w:rsidP="00AC6E3D">
      <w:pPr>
        <w:spacing w:line="360" w:lineRule="auto"/>
      </w:pPr>
      <w:r>
        <w:t>However, there is a strategic tension. Nike’s inclusive positioning often uses elite athletes and high-production campaigns, while inclusion also requires everyday access and grassroots participation. “What The Football”, for example, championed female footballers globally and featured elite Nike athletes such as Ada Hegerberg, Alex Morgan, Asisat Oshoala, Chloe Kelly, Megan Rapinoe, Sam Kerr and Wang Shuang (Nike, Inc., 2023). The campaign helped raise visibility for women’s football, but elite visibility alone does not automatically create community participation. The marketing department must connect elite inspiration to ordinary consumers’ ability to join, play, train, buy suitable products and feel represented.</w:t>
      </w:r>
    </w:p>
    <w:p w14:paraId="119F7E89" w14:textId="77777777" w:rsidR="00AC6E3D" w:rsidRDefault="00AC6E3D" w:rsidP="00AC6E3D">
      <w:pPr>
        <w:spacing w:line="360" w:lineRule="auto"/>
      </w:pPr>
      <w:r>
        <w:t>NikeSKIMS also demonstrates both opportunity and risk. The collaboration aims to meet women athletes’ needs through training apparel, footwear and accessories (Nike, Inc., 2025c). It may help Nike compete in women’s activewear, where fit, confidence and style are important. However, if consumers perceive the positioning as too fashion-led or celebrity-led, the performance and inclusivity message could be diluted. Reuters (2025) reported that Nike delayed the launch to refine the product offering, suggesting that execution quality is important.</w:t>
      </w:r>
    </w:p>
    <w:p w14:paraId="2EC610FB" w14:textId="77777777" w:rsidR="00AC6E3D" w:rsidRDefault="00AC6E3D" w:rsidP="00AC6E3D">
      <w:pPr>
        <w:spacing w:line="360" w:lineRule="auto"/>
      </w:pPr>
      <w:r>
        <w:t>Overall, Nike’s segmentation and positioning are commercially logical. The weakness is not the choice of target market, but the need to link representation, participation, product performance and community impact more consistently.</w:t>
      </w:r>
    </w:p>
    <w:p w14:paraId="7F864466" w14:textId="77777777" w:rsidR="00AC6E3D" w:rsidRDefault="00AC6E3D" w:rsidP="00AC6E3D">
      <w:pPr>
        <w:pStyle w:val="Heading2"/>
        <w:spacing w:line="360" w:lineRule="auto"/>
      </w:pPr>
      <w:bookmarkStart w:id="5" w:name="_Toc234572167"/>
      <w:r>
        <w:t>2.4 Evaluation of Nike’s Inclusive Marketing Mix and Brand Community Activities</w:t>
      </w:r>
      <w:bookmarkEnd w:id="5"/>
    </w:p>
    <w:p w14:paraId="5CFAE760" w14:textId="77777777" w:rsidR="00AC6E3D" w:rsidRDefault="00AC6E3D" w:rsidP="00AC6E3D">
      <w:pPr>
        <w:spacing w:line="360" w:lineRule="auto"/>
      </w:pPr>
      <w:r>
        <w:t xml:space="preserve">Nike’s inclusive brand community activities can be evaluated through the marketing mix (Kotler, Keller and Chernev, 2022) and brand community theory. For the marketing department, this links inclusion to product evidence, promotion, access and pricing. In product terms, inclusive marketing becomes more credible when design supports different bodies, abilities and use contexts. NikeSKIMS is relevant because it focuses on women’s </w:t>
      </w:r>
      <w:r>
        <w:lastRenderedPageBreak/>
        <w:t>training apparel and combines performance with body-conscious design (Nike, Inc., 2025c; Nike, Inc., 2026d). However, inclusive product strategy must extend beyond one collaboration. Nike should integrate women-specific design, size availability, comfort, accessibility and sport-specific needs across core categories.</w:t>
      </w:r>
    </w:p>
    <w:p w14:paraId="208B447D" w14:textId="77777777" w:rsidR="00AC6E3D" w:rsidRDefault="00AC6E3D" w:rsidP="00AC6E3D">
      <w:pPr>
        <w:spacing w:line="360" w:lineRule="auto"/>
      </w:pPr>
      <w:r>
        <w:t>Promotion is one of Nike’s strongest capabilities. “What The Football” championed female footballers during a period of growing attention to women’s football (Nike, Inc., 2023). From an emotional branding perspective, this is effective because it connects consumers with achievement, identity and cultural change. As consumers form relationships with brands that carry symbolic meaning (Fournier, 1998), Nike’s women’s sport storytelling can deepen brand attachment.</w:t>
      </w:r>
    </w:p>
    <w:p w14:paraId="19CF377E" w14:textId="77777777" w:rsidR="00AC6E3D" w:rsidRDefault="00AC6E3D" w:rsidP="00AC6E3D">
      <w:pPr>
        <w:spacing w:line="360" w:lineRule="auto"/>
      </w:pPr>
      <w:r>
        <w:t>However, Nike’s campaign-led approach can be criticised for over-reliance on elite athlete narratives. Athlete endorsement is powerful, but inclusive brand community requires more than admiration. Schau, Muniz and Arnould (2009) argue that brand community value is created through practices such as social networking, impression management, community engagement and brand use. This means Nike should not only show inspiring athletes; it should create ways for consumers to participate, contribute stories, join local sport communities and see themselves within the brand.</w:t>
      </w:r>
    </w:p>
    <w:p w14:paraId="3D90AC93" w14:textId="77777777" w:rsidR="00AC6E3D" w:rsidRDefault="00AC6E3D" w:rsidP="00AC6E3D">
      <w:pPr>
        <w:spacing w:line="360" w:lineRule="auto"/>
      </w:pPr>
      <w:r>
        <w:t>Place and distribution also shape inclusivity. Nike’s online platforms, apps and stores allow global access to products and content, but inclusive community may be uneven across markets. Consumers in major cities may experience Nike through events and clubs, while others may see only online content. Nike’s Community Impact Fund addresses this partly through local organisations and schools, but its consumer visibility is lower than major campaigns.</w:t>
      </w:r>
    </w:p>
    <w:p w14:paraId="72394809" w14:textId="77777777" w:rsidR="00AC6E3D" w:rsidRDefault="00AC6E3D" w:rsidP="00AC6E3D">
      <w:pPr>
        <w:spacing w:line="360" w:lineRule="auto"/>
      </w:pPr>
      <w:r>
        <w:t>Price is a potential weakness. Nike is a premium brand, so inclusive sport access can be limited if products or experiences feel expensive or exclusive. This does not mean Nike must become low-cost, but inclusive marketing should be supported by accessible participation opportunities, product donations, community grants or entry-level products. Nike’s product donations through partners such as Good360, Soles4Souls and Good Sports help reduce barriers to youth play (Nike, Inc., 2026e), but the connection between donations and consumer-facing brand community remains underdeveloped.</w:t>
      </w:r>
    </w:p>
    <w:p w14:paraId="1A8D69CC" w14:textId="77777777" w:rsidR="00AC6E3D" w:rsidRDefault="00AC6E3D" w:rsidP="00AC6E3D">
      <w:pPr>
        <w:spacing w:line="360" w:lineRule="auto"/>
      </w:pPr>
      <w:r>
        <w:t xml:space="preserve">People, process and physical evidence are also important. Store employees, coaches, community partners, athletes and digital moderators all affect whether Nike’s inclusive </w:t>
      </w:r>
      <w:r>
        <w:lastRenderedPageBreak/>
        <w:t>promise feels real. Processes such as partnership selection, campaign approval, product fit testing and event design must support inclusion. Nike’s weakness is that evidence of inclusion is sometimes scattered across purpose pages, campaign pages, product pages and community initiatives rather than presented as one integrated customer experience.</w:t>
      </w:r>
    </w:p>
    <w:p w14:paraId="3E207992" w14:textId="77777777" w:rsidR="00AC6E3D" w:rsidRDefault="00AC6E3D" w:rsidP="00AC6E3D">
      <w:pPr>
        <w:spacing w:line="360" w:lineRule="auto"/>
      </w:pPr>
      <w:r>
        <w:t>In summary, Nike’s inclusive brand community activities are effective in visibility, emotional storytelling and brand relevance. They are weaker in continuity, measurable community participation and the integration of elite campaigns with grassroots access and product inclusivity.</w:t>
      </w:r>
    </w:p>
    <w:p w14:paraId="7EE4B44C" w14:textId="77777777" w:rsidR="00AC6E3D" w:rsidRDefault="00AC6E3D" w:rsidP="00AC6E3D">
      <w:pPr>
        <w:pStyle w:val="Heading2"/>
        <w:spacing w:line="360" w:lineRule="auto"/>
      </w:pPr>
      <w:bookmarkStart w:id="6" w:name="_Toc234572168"/>
      <w:r>
        <w:t>2.5 Media Selection, Customer Journey and Campaign Effectiveness</w:t>
      </w:r>
      <w:bookmarkEnd w:id="6"/>
    </w:p>
    <w:p w14:paraId="26E5B4C8" w14:textId="77777777" w:rsidR="00AC6E3D" w:rsidRDefault="00AC6E3D" w:rsidP="00AC6E3D">
      <w:pPr>
        <w:spacing w:line="360" w:lineRule="auto"/>
      </w:pPr>
      <w:r>
        <w:t>Nike’s media selection is appropriate for inclusive brand community because the company uses both high-reach and high-engagement channels. These include Nike.com, social media, YouTube films, athlete channels, apps, email, retail stores, events and community partnerships. Integrated marketing communications theory suggests that brand meaning should be consistent across different touchpoints (Fill and Turnbull, 2019). Nike generally achieves strong consistency in tone: confident, inspirational and performance-focused. The challenge is whether inclusive community is equally consistent across the customer journey.</w:t>
      </w:r>
    </w:p>
    <w:p w14:paraId="55552928" w14:textId="77777777" w:rsidR="00AC6E3D" w:rsidRDefault="00AC6E3D" w:rsidP="00AC6E3D">
      <w:pPr>
        <w:spacing w:line="360" w:lineRule="auto"/>
      </w:pPr>
      <w:r>
        <w:t>At the awareness stage, Nike’s major campaigns are effective at gaining attention. High-profile athlete stories and cinematic films can increase visibility for women’s sport and underrepresented athletes. At the interest and consideration stage, consumers need more specific pathways: where to join a run, how to access training, what product supports their body or sport, and how Nike is investing in their community. At the purchase stage, inclusive marketing must be supported by product availability, size information, fit guidance and relevant reviews. At the post-purchase stage, Nike can encourage consumers to join clubs, share achievements, participate in events, return for training content or support local sport initiatives.</w:t>
      </w:r>
    </w:p>
    <w:p w14:paraId="3F18CED4" w14:textId="77777777" w:rsidR="00AC6E3D" w:rsidRDefault="00AC6E3D" w:rsidP="00AC6E3D">
      <w:pPr>
        <w:spacing w:line="360" w:lineRule="auto"/>
      </w:pPr>
      <w:r>
        <w:t>This customer journey reveals a shortcoming. Nike’s inclusive storytelling is often stronger at the awareness stage than at the post-purchase and community participation stages. Lemon and Verhoef (2016) argue that customer experience is shaped across the full journey, not only through advertising. If inclusive brand community is to become a future marketing advantage, Nike must connect campaign inspiration to repeated participation.</w:t>
      </w:r>
    </w:p>
    <w:p w14:paraId="35C3790D" w14:textId="77777777" w:rsidR="00AC6E3D" w:rsidRDefault="00AC6E3D" w:rsidP="00AC6E3D">
      <w:pPr>
        <w:spacing w:line="360" w:lineRule="auto"/>
      </w:pPr>
      <w:r>
        <w:lastRenderedPageBreak/>
        <w:t>Digital media gives Nike a major opportunity. Nike’s apps and membership ecosystem could make inclusive communities more personalised and participatory. Women runners could receive training content, local event invitations, product advice, athlete stories and community challenges within one journey. Girls’ sport programmes could be linked to coach resources and parent-facing content. This would convert inclusion from representation into interaction.</w:t>
      </w:r>
    </w:p>
    <w:p w14:paraId="2707BFFD" w14:textId="77777777" w:rsidR="00AC6E3D" w:rsidRDefault="00AC6E3D" w:rsidP="00AC6E3D">
      <w:pPr>
        <w:spacing w:line="360" w:lineRule="auto"/>
      </w:pPr>
      <w:r>
        <w:t>However, engagement metrics such as views, likes and shares are useful but limited. They do not prove that consumers feel included, that girls continue playing sport or that women consumers develop stronger loyalty. For the marketing department, inclusive brand community should be controlled through journey continuity, participation quality and long-term value, not only reach. Nike therefore needs to measure inclusive marketing beyond campaign reach, using participation, repeat app engagement, women member retention, event attendance, sentiment quality and perceived authenticity (Pansari and Kumar, 2017).</w:t>
      </w:r>
    </w:p>
    <w:p w14:paraId="6F5D25B3" w14:textId="77777777" w:rsidR="00AC6E3D" w:rsidRDefault="00AC6E3D" w:rsidP="00AC6E3D">
      <w:pPr>
        <w:spacing w:line="360" w:lineRule="auto"/>
      </w:pPr>
      <w:r>
        <w:t>There is also the risk of fragmented community ownership. Some communities may form around Nike Run Club, others around women’s football, NikeSKIMS, local grants, school programmes or athlete fandom. This diversity is positive, but it can create strategic fragmentation if there is no shared framework. Nike should ensure that inclusive community experiences have clear pathways, consistent measurement and a visible connection to Nike’s wider brand purpose.</w:t>
      </w:r>
    </w:p>
    <w:p w14:paraId="637C273B" w14:textId="77777777" w:rsidR="00AC6E3D" w:rsidRDefault="00AC6E3D" w:rsidP="00AC6E3D">
      <w:pPr>
        <w:pStyle w:val="Heading2"/>
        <w:spacing w:line="360" w:lineRule="auto"/>
      </w:pPr>
      <w:bookmarkStart w:id="7" w:name="_Toc234572169"/>
      <w:r>
        <w:t>2.6 Marketing Control, Measurement and Evidence Limitations</w:t>
      </w:r>
      <w:bookmarkEnd w:id="7"/>
    </w:p>
    <w:p w14:paraId="2CF9EF28" w14:textId="77777777" w:rsidR="00AC6E3D" w:rsidRDefault="00AC6E3D" w:rsidP="00AC6E3D">
      <w:pPr>
        <w:spacing w:line="360" w:lineRule="auto"/>
      </w:pPr>
      <w:r>
        <w:t>Marketing control is a key issue for Nike’s inclusive brand community strategy. The company can track commercial metrics such as revenue, digital traffic, conversion, product sell-through and campaign reach. However, inclusive community value is harder to measure because it includes belonging, participation, trust, representation and long-term loyalty. These outcomes are strategically important but less visible in traditional marketing dashboards.</w:t>
      </w:r>
    </w:p>
    <w:p w14:paraId="0B589A84" w14:textId="77777777" w:rsidR="00AC6E3D" w:rsidRDefault="00AC6E3D" w:rsidP="00AC6E3D">
      <w:pPr>
        <w:spacing w:line="360" w:lineRule="auto"/>
      </w:pPr>
      <w:r>
        <w:t>Nike publishes impact information about community and play. In FY23, it reported that it directly helped more than 1.1 million children discover movement through community partners’ play and sport-based programmes, and that 48 per cent were girls (Nike, Inc., 2024). This evidences community impact, but it is not always clearly connected to consumer-facing marketing strategy: consumers may see a women’s sport campaign without understanding how Nike’s programmes support participation beyond it.</w:t>
      </w:r>
    </w:p>
    <w:p w14:paraId="612C6A48" w14:textId="77777777" w:rsidR="00AC6E3D" w:rsidRDefault="00AC6E3D" w:rsidP="00AC6E3D">
      <w:pPr>
        <w:spacing w:line="360" w:lineRule="auto"/>
      </w:pPr>
      <w:r>
        <w:lastRenderedPageBreak/>
        <w:t>There is also limited public evidence on campaign-level effectiveness. Nike does not publish detailed data showing how inclusive campaigns affect female customer retention, app membership behaviour, product conversion or brand trust. External evaluation must therefore rely on public sources, academic theory and reasoned judgement. This limitation highlights a strategic need: Nike should make inclusive marketing outcomes more measurable internally.</w:t>
      </w:r>
    </w:p>
    <w:p w14:paraId="7FF62C10" w14:textId="77777777" w:rsidR="00AC6E3D" w:rsidRDefault="00AC6E3D" w:rsidP="00AC6E3D">
      <w:pPr>
        <w:spacing w:line="360" w:lineRule="auto"/>
      </w:pPr>
      <w:r>
        <w:t>Another issue is authenticity control. Inclusive marketing can create reputational risk if external representation is not supported by practical action. Women’s sport campaigns must be supported by product design, sponsorship, grassroots access and long-term athlete support. As value is co-created with consumers rather than delivered only by the firm (Vargo and Lusch, 2004), Nike should involve communities as co-creators rather than passive audiences.</w:t>
      </w:r>
    </w:p>
    <w:p w14:paraId="22054ED6" w14:textId="77777777" w:rsidR="00AC6E3D" w:rsidRDefault="00AC6E3D" w:rsidP="00AC6E3D">
      <w:pPr>
        <w:spacing w:line="360" w:lineRule="auto"/>
      </w:pPr>
      <w:r>
        <w:t>Overall, Nike has the brand strength, financial scale, digital tools and community partnerships needed to lead inclusive brand community marketing. Its main limitation is not lack of activity, but weak integration, measurement and continuity.</w:t>
      </w:r>
    </w:p>
    <w:p w14:paraId="40AE264F" w14:textId="77777777" w:rsidR="00AC6E3D" w:rsidRDefault="00AC6E3D" w:rsidP="00AC6E3D">
      <w:pPr>
        <w:spacing w:after="160"/>
        <w:rPr>
          <w:rFonts w:asciiTheme="majorHAnsi" w:eastAsiaTheme="majorEastAsia" w:hAnsiTheme="majorHAnsi" w:cstheme="majorBidi"/>
          <w:color w:val="0F4761" w:themeColor="accent1" w:themeShade="BF"/>
          <w:sz w:val="36"/>
          <w:szCs w:val="40"/>
        </w:rPr>
      </w:pPr>
      <w:r>
        <w:br w:type="page"/>
      </w:r>
    </w:p>
    <w:p w14:paraId="740071DF" w14:textId="77777777" w:rsidR="00AC6E3D" w:rsidRDefault="00AC6E3D" w:rsidP="00AC6E3D">
      <w:pPr>
        <w:pStyle w:val="Heading1"/>
        <w:spacing w:line="360" w:lineRule="auto"/>
      </w:pPr>
      <w:bookmarkStart w:id="8" w:name="_Toc234572170"/>
      <w:r>
        <w:lastRenderedPageBreak/>
        <w:t>3. Conclusion</w:t>
      </w:r>
      <w:bookmarkEnd w:id="8"/>
    </w:p>
    <w:p w14:paraId="501D7BA9" w14:textId="77777777" w:rsidR="00AC6E3D" w:rsidRDefault="00AC6E3D" w:rsidP="00AC6E3D">
      <w:pPr>
        <w:spacing w:line="360" w:lineRule="auto"/>
      </w:pPr>
      <w:r>
        <w:t>Nike’s inclusive brand community strategy is strategically valuable and aligned with current marketing change. The company has strong advantages: a powerful mission, global athlete network, emotional storytelling capability, community investment and digital infrastructure. Its campaigns and initiatives can create brand meaning because they connect sport with identity, empowerment and belonging. In a rapidly growing women’s sport market, inclusive brand community can help Nike strengthen loyalty and cultural relevance.</w:t>
      </w:r>
    </w:p>
    <w:p w14:paraId="161DE1C8" w14:textId="77777777" w:rsidR="00AC6E3D" w:rsidRDefault="00AC6E3D" w:rsidP="00AC6E3D">
      <w:pPr>
        <w:spacing w:line="360" w:lineRule="auto"/>
      </w:pPr>
      <w:r>
        <w:t>However, several shortcomings limit the effectiveness of Nike’s current strategy. The first shortcoming is that inclusive marketing remains too campaign-led in places. Major campaigns such as “What The Football” generate visibility for female athletes, but they are not always clearly connected to everyday participation, local communities or long-term customer journeys. The second shortcoming is a gap between representation and participation. Nike often shows diverse athletes effectively, but inclusive brand community requires consumers to have practical ways to join, train, share, buy suitable products and remain engaged.</w:t>
      </w:r>
    </w:p>
    <w:p w14:paraId="136B71E7" w14:textId="77777777" w:rsidR="00AC6E3D" w:rsidRDefault="00AC6E3D" w:rsidP="00AC6E3D">
      <w:pPr>
        <w:spacing w:line="360" w:lineRule="auto"/>
      </w:pPr>
      <w:r>
        <w:t>The third shortcoming is that product inclusivity is not always as visible as promotional inclusivity. NikeSKIMS may strengthen Nike’s position in women’s activewear, but the broader strategy must embed fit, size, comfort, accessibility and sport-specific design across categories. The fourth shortcoming is measurement. Nike needs metrics for belonging, trust, participation, retention and community impact, not only engagement and sales.</w:t>
      </w:r>
    </w:p>
    <w:p w14:paraId="1BFD5FE5" w14:textId="77777777" w:rsidR="00AC6E3D" w:rsidRDefault="00AC6E3D" w:rsidP="00AC6E3D">
      <w:pPr>
        <w:spacing w:line="360" w:lineRule="auto"/>
      </w:pPr>
      <w:r>
        <w:t>A further weakness is cross-functional integration. Inclusion requires alignment across marketing, product, retail, digital, HR and community impact. Without this, campaigns may outpace product experience and sustained participation.</w:t>
      </w:r>
    </w:p>
    <w:p w14:paraId="625497C6" w14:textId="77777777" w:rsidR="00AC6E3D" w:rsidRDefault="00AC6E3D" w:rsidP="00AC6E3D">
      <w:pPr>
        <w:spacing w:line="360" w:lineRule="auto"/>
      </w:pPr>
      <w:r>
        <w:t>The conclusion is therefore that Nike should not simply produce more inclusive advertising. The future marketing strategy should move from inclusive representation to inclusive participation. Nike should connect elite athlete storytelling, grassroots sport access, women-specific product development, digital membership and community measurement into a coherent ecosystem. This would make inclusion more credible, more measurable and more valuable to both consumers and the wider organisation.</w:t>
      </w:r>
    </w:p>
    <w:p w14:paraId="624F80FC" w14:textId="77777777" w:rsidR="00AC6E3D" w:rsidRDefault="00AC6E3D" w:rsidP="00AC6E3D">
      <w:pPr>
        <w:pStyle w:val="Heading1"/>
        <w:spacing w:line="360" w:lineRule="auto"/>
      </w:pPr>
      <w:bookmarkStart w:id="9" w:name="_Toc234572171"/>
      <w:r>
        <w:lastRenderedPageBreak/>
        <w:t>4. Recommendations</w:t>
      </w:r>
      <w:bookmarkEnd w:id="9"/>
    </w:p>
    <w:p w14:paraId="1F143FA1" w14:textId="77777777" w:rsidR="00AC6E3D" w:rsidRDefault="00AC6E3D" w:rsidP="00AC6E3D">
      <w:pPr>
        <w:pStyle w:val="Heading2"/>
        <w:spacing w:line="360" w:lineRule="auto"/>
      </w:pPr>
      <w:bookmarkStart w:id="10" w:name="_Toc234572172"/>
      <w:r>
        <w:t>4.1 Build a Women’s Sport Community Ecosystem</w:t>
      </w:r>
      <w:bookmarkEnd w:id="10"/>
    </w:p>
    <w:p w14:paraId="66D9D588" w14:textId="77777777" w:rsidR="00AC6E3D" w:rsidRDefault="00AC6E3D" w:rsidP="00AC6E3D">
      <w:pPr>
        <w:spacing w:line="360" w:lineRule="auto"/>
      </w:pPr>
      <w:r>
        <w:t>Nike should build a connected women’s sport community ecosystem that links elite campaigns, local events, Nike apps, product advice and grassroots participation. Rather than treating women’s football campaigns, running communities, NikeSKIMS and youth sport access as separate initiatives, Nike should create a clearer pathway from inspiration to participation.</w:t>
      </w:r>
    </w:p>
    <w:p w14:paraId="4DE1BEA3" w14:textId="77777777" w:rsidR="00AC6E3D" w:rsidRDefault="00AC6E3D" w:rsidP="00AC6E3D">
      <w:pPr>
        <w:spacing w:line="360" w:lineRule="auto"/>
      </w:pPr>
      <w:r>
        <w:t>This recommendation responds directly to the conclusion that Nike’s inclusive marketing is too campaign-led. The ecosystem could include local women’s sport events, app-based training journeys, athlete-led digital sessions, product education and community partner stories. It is feasible because Nike already has digital platforms, athlete relationships, stores and community partners. The main risk is operational complexity across markets. Nike should therefore pilot the ecosystem in selected cities before wider rollout. KPIs should include women member growth, event attendance, app engagement, repeat participation, community partner reach and retention among women customers.</w:t>
      </w:r>
    </w:p>
    <w:p w14:paraId="685B5332" w14:textId="77777777" w:rsidR="00AC6E3D" w:rsidRDefault="00AC6E3D" w:rsidP="00AC6E3D">
      <w:pPr>
        <w:pStyle w:val="Heading2"/>
        <w:spacing w:line="360" w:lineRule="auto"/>
      </w:pPr>
      <w:bookmarkStart w:id="11" w:name="_Toc234572173"/>
      <w:r>
        <w:t>4.2 Expand Co-Created Storytelling with Grassroots Athletes</w:t>
      </w:r>
      <w:bookmarkEnd w:id="11"/>
    </w:p>
    <w:p w14:paraId="12939928" w14:textId="77777777" w:rsidR="00AC6E3D" w:rsidRDefault="00AC6E3D" w:rsidP="00AC6E3D">
      <w:pPr>
        <w:spacing w:line="360" w:lineRule="auto"/>
      </w:pPr>
      <w:r>
        <w:t>Nike should expand inclusive storytelling beyond elite athletes by involving grassroots athletes, coaches, girls, disabled athletes and local community leaders as co-creators. This does not mean reducing elite athlete campaigns; rather, elite stories should be connected with everyday sport experiences. For example, a women’s football campaign could include professional players, local girls’ teams, community coaches and user-generated stories about what makes people stay in sport.</w:t>
      </w:r>
    </w:p>
    <w:p w14:paraId="43674DE7" w14:textId="77777777" w:rsidR="00AC6E3D" w:rsidRDefault="00AC6E3D" w:rsidP="00AC6E3D">
      <w:pPr>
        <w:spacing w:line="360" w:lineRule="auto"/>
      </w:pPr>
      <w:r>
        <w:t>This recommendation is realistic because Nike already has community partners and digital channels. The main resource requirement is content planning, community consent, safeguarding and local production. The risk is that community stories may be less polished than global campaigns, but that can also increase authenticity. KPIs should include user-generated content quality, sentiment, local participation, community story engagement and perceived authenticity scores.</w:t>
      </w:r>
    </w:p>
    <w:p w14:paraId="6D245D7F" w14:textId="77777777" w:rsidR="00AC6E3D" w:rsidRDefault="00AC6E3D" w:rsidP="00AC6E3D">
      <w:pPr>
        <w:pStyle w:val="Heading2"/>
        <w:spacing w:line="360" w:lineRule="auto"/>
      </w:pPr>
      <w:bookmarkStart w:id="12" w:name="_Toc234572174"/>
      <w:r>
        <w:lastRenderedPageBreak/>
        <w:t>4.3 Align Inclusive Marketing with Product Inclusivity</w:t>
      </w:r>
      <w:bookmarkEnd w:id="12"/>
    </w:p>
    <w:p w14:paraId="2723D563" w14:textId="77777777" w:rsidR="00AC6E3D" w:rsidRDefault="00AC6E3D" w:rsidP="00AC6E3D">
      <w:pPr>
        <w:spacing w:line="360" w:lineRule="auto"/>
      </w:pPr>
      <w:r>
        <w:t>Nike should make product inclusivity more visible and measurable. Inclusive campaigns should be supported by clear evidence of fit, sizing, comfort, sport-specific design and accessibility. In women’s sport, this means communicating how products are designed for different bodies, training needs and performance contexts. NikeSKIMS can be used as a learning platform, but Nike should apply the lessons across core categories such as running, football, training and sports bras.</w:t>
      </w:r>
    </w:p>
    <w:p w14:paraId="24BE015F" w14:textId="77777777" w:rsidR="00AC6E3D" w:rsidRDefault="00AC6E3D" w:rsidP="00AC6E3D">
      <w:pPr>
        <w:spacing w:line="360" w:lineRule="auto"/>
      </w:pPr>
      <w:r>
        <w:t>This recommendation responds to the gap between representation and product experience. It is feasible because Nike has strong product innovation capabilities and consumer research resources. The risk is that broader size ranges and more specialised designs may increase inventory complexity. Nike can manage this through phased product pilots and data-led demand forecasting. KPIs should include size availability, return rates by fit issue, customer reviews, product satisfaction among women consumers and conversion rates for inclusive product pages.</w:t>
      </w:r>
    </w:p>
    <w:p w14:paraId="28475B27" w14:textId="77777777" w:rsidR="00AC6E3D" w:rsidRDefault="00AC6E3D" w:rsidP="00AC6E3D">
      <w:pPr>
        <w:pStyle w:val="Heading2"/>
        <w:spacing w:line="360" w:lineRule="auto"/>
      </w:pPr>
      <w:bookmarkStart w:id="13" w:name="_Toc234572175"/>
      <w:r>
        <w:t>4.4 Develop an Inclusive Brand Community Dashboard</w:t>
      </w:r>
      <w:bookmarkEnd w:id="13"/>
    </w:p>
    <w:p w14:paraId="54809F23" w14:textId="77777777" w:rsidR="00AC6E3D" w:rsidRDefault="00AC6E3D" w:rsidP="00AC6E3D">
      <w:pPr>
        <w:spacing w:line="360" w:lineRule="auto"/>
      </w:pPr>
      <w:r>
        <w:t>Nike should develop an inclusive brand community dashboard that measures commercial, behavioural and social outcomes. The dashboard should include campaign reach and sales, but also women member retention, participation in events, repeat app engagement, perceived belonging, trust, sentiment quality, community partner impact and youth participation outcomes.</w:t>
      </w:r>
    </w:p>
    <w:p w14:paraId="6565F5DA" w14:textId="77777777" w:rsidR="00AC6E3D" w:rsidRDefault="00AC6E3D" w:rsidP="00AC6E3D">
      <w:pPr>
        <w:spacing w:line="360" w:lineRule="auto"/>
      </w:pPr>
      <w:r>
        <w:t>This recommendation addresses the measurement weakness identified in the conclusion. It is realistic because Nike already has advanced digital analytics and impact reporting capabilities. The main challenge is measuring belonging and authenticity reliably. Nike could use a combination of surveys, social listening, app behaviour, event attendance and community partner reporting. Over time, this would help Nike understand which inclusive marketing activities create long-term value rather than short-term attention.</w:t>
      </w:r>
    </w:p>
    <w:p w14:paraId="13959ADE" w14:textId="77777777" w:rsidR="00AC6E3D" w:rsidRDefault="00AC6E3D" w:rsidP="00AC6E3D">
      <w:pPr>
        <w:pStyle w:val="Heading2"/>
        <w:spacing w:line="360" w:lineRule="auto"/>
      </w:pPr>
      <w:bookmarkStart w:id="14" w:name="_Toc234572176"/>
      <w:r>
        <w:t>4.5 Strengthen Cross-Functional Change Management</w:t>
      </w:r>
      <w:bookmarkEnd w:id="14"/>
    </w:p>
    <w:p w14:paraId="6D62F4FD" w14:textId="77777777" w:rsidR="00AC6E3D" w:rsidRDefault="00AC6E3D" w:rsidP="00AC6E3D">
      <w:pPr>
        <w:spacing w:line="360" w:lineRule="auto"/>
      </w:pPr>
      <w:r>
        <w:t xml:space="preserve">Nike should treat inclusive brand community as an organisational change issue rather than only a marketing theme. Kotter’s change model is useful because it emphasises urgency, coalition building, vision, empowerment and institutionalisation (Kotter, 1996). Nike should </w:t>
      </w:r>
      <w:r>
        <w:lastRenderedPageBreak/>
        <w:t>create a cross-functional inclusion marketing group involving marketing, product, community impact, retail, digital, HR and legal teams.</w:t>
      </w:r>
    </w:p>
    <w:p w14:paraId="085D6C8C" w14:textId="77777777" w:rsidR="00AC6E3D" w:rsidRDefault="00AC6E3D" w:rsidP="00AC6E3D">
      <w:pPr>
        <w:spacing w:line="360" w:lineRule="auto"/>
      </w:pPr>
      <w:r>
        <w:t>Kotter is useful for urgency and institutionalising standards, but it is not a fixed linear solution (Cameron and Green, 2015). Nike also needs emergent learning from customers, community partners and store teams as women’s sport markets and cultural expectations evolve.</w:t>
      </w:r>
    </w:p>
    <w:p w14:paraId="0319FA39" w14:textId="77777777" w:rsidR="00AC6E3D" w:rsidRDefault="00AC6E3D" w:rsidP="00AC6E3D">
      <w:pPr>
        <w:spacing w:line="360" w:lineRule="auto"/>
      </w:pPr>
      <w:r>
        <w:t>This group should set standards for inclusive storytelling, product evidence, community partnerships and measurement. It should also create guidance on avoiding tokenism, protecting community participants and connecting campaigns to practical access. The recommendation is feasible because it mainly requires governance, training and process alignment rather than large new capital investment. The main risk is slower campaign development, but pre-approved principles and templates can reduce delay. KPIs should include training completion, campaign review quality, product-community alignment, internal collaboration measures and reduction in reputational issues linked to inclusive marketing.</w:t>
      </w:r>
    </w:p>
    <w:p w14:paraId="16A11B80" w14:textId="77777777" w:rsidR="00AC6E3D" w:rsidRDefault="00AC6E3D" w:rsidP="00AC6E3D">
      <w:pPr>
        <w:spacing w:line="360" w:lineRule="auto"/>
      </w:pPr>
      <w:r>
        <w:t>Implementation should be phased. In the first six months, Nike should set inclusion marketing standards, dashboard metrics and governance. In months 6 to 12, the women’s sport ecosystem should be piloted in selected cities and categories. From year two, successful pilots could be scaled using participation, retention, product satisfaction and community partner data.</w:t>
      </w:r>
    </w:p>
    <w:p w14:paraId="3DA8B938" w14:textId="77777777" w:rsidR="00AC6E3D" w:rsidRDefault="00AC6E3D" w:rsidP="00AC6E3D">
      <w:pPr>
        <w:spacing w:line="360" w:lineRule="auto"/>
      </w:pPr>
      <w:r>
        <w:br w:type="page"/>
      </w:r>
    </w:p>
    <w:p w14:paraId="0CD68146" w14:textId="77777777" w:rsidR="00AC6E3D" w:rsidRDefault="00AC6E3D" w:rsidP="00AC6E3D">
      <w:pPr>
        <w:pStyle w:val="Heading1"/>
        <w:spacing w:line="360" w:lineRule="auto"/>
      </w:pPr>
      <w:bookmarkStart w:id="15" w:name="_Toc234572177"/>
      <w:r>
        <w:lastRenderedPageBreak/>
        <w:t>References</w:t>
      </w:r>
      <w:bookmarkEnd w:id="15"/>
    </w:p>
    <w:p w14:paraId="1C2A0B6F" w14:textId="77777777" w:rsidR="00AC6E3D" w:rsidRDefault="00AC6E3D" w:rsidP="00AC6E3D">
      <w:pPr>
        <w:spacing w:line="360" w:lineRule="auto"/>
        <w:ind w:left="432" w:hanging="432"/>
      </w:pPr>
      <w:r>
        <w:t>Arnould, E.J. and Thompson, C.J. (2005) ‘Consumer culture theory (CCT): twenty years of research’, Journal of Consumer Research, 31(4), pp. 868-882. Available at: https://doi.org/10.1086/426626 (Accessed: 19 June 2026).</w:t>
      </w:r>
    </w:p>
    <w:p w14:paraId="14057339" w14:textId="77777777" w:rsidR="00AC6E3D" w:rsidRDefault="00AC6E3D" w:rsidP="00AC6E3D">
      <w:pPr>
        <w:spacing w:line="360" w:lineRule="auto"/>
        <w:ind w:left="432" w:hanging="432"/>
      </w:pPr>
      <w:r>
        <w:t>Brodie, R.J., Ilic, A., Juric, B. and Hollebeek, L. (2013) ‘Consumer engagement in a virtual brand community: an exploratory analysis’, Journal of Business Research, 66(1), pp. 105-114. Available at: https://doi.org/10.1016/j.jbusres.2011.07.029 (Accessed: 19 June 2026).</w:t>
      </w:r>
    </w:p>
    <w:p w14:paraId="302219A4" w14:textId="77777777" w:rsidR="00AC6E3D" w:rsidRDefault="00AC6E3D" w:rsidP="00AC6E3D">
      <w:pPr>
        <w:spacing w:line="360" w:lineRule="auto"/>
        <w:ind w:left="432" w:hanging="432"/>
      </w:pPr>
      <w:r>
        <w:t>Cameron, E. and Green, M. (2015) Making Sense of Change Management: A Complete Guide to the Models, Tools and Techniques of Organisational Change. 4th edn. London: Kogan Page.</w:t>
      </w:r>
    </w:p>
    <w:p w14:paraId="273E6A71" w14:textId="77777777" w:rsidR="00AC6E3D" w:rsidRDefault="00AC6E3D" w:rsidP="00AC6E3D">
      <w:pPr>
        <w:spacing w:line="360" w:lineRule="auto"/>
        <w:ind w:left="432" w:hanging="432"/>
      </w:pPr>
      <w:r>
        <w:t>Deloitte (2025) Women’s elite sports revenues to surpass US$2.35 billion globally in 2025. Available at: https://www.deloitte.com/uk/en/about/press-room/womens-elite-sports-revenues-to-surpass-us-dolar-two-point-three-five-billion-in-2025.html (Accessed: 19 June 2026).</w:t>
      </w:r>
    </w:p>
    <w:p w14:paraId="20863DEE" w14:textId="77777777" w:rsidR="00AC6E3D" w:rsidRDefault="00AC6E3D" w:rsidP="00AC6E3D">
      <w:pPr>
        <w:spacing w:line="360" w:lineRule="auto"/>
        <w:ind w:left="432" w:hanging="432"/>
      </w:pPr>
      <w:r>
        <w:t>Deloitte (2026) Game changers: unlocking the potential of women’s sports. Available at: https://www.deloitte.com/global/en/industries/tmt/perspectives/game-changers-unlocking-potential-women-sports.html (Accessed: 19 June 2026).</w:t>
      </w:r>
    </w:p>
    <w:p w14:paraId="590294DF" w14:textId="77777777" w:rsidR="00AC6E3D" w:rsidRDefault="00AC6E3D" w:rsidP="00AC6E3D">
      <w:pPr>
        <w:spacing w:line="360" w:lineRule="auto"/>
        <w:ind w:left="432" w:hanging="432"/>
      </w:pPr>
      <w:r>
        <w:t>Escalas, J.E. and Bettman, J.R. (2005) ‘Self-construal, reference groups, and brand meaning’, Journal of Consumer Research, 32(3), pp. 378-389. Available at: https://doi.org/10.1086/497549 (Accessed: 19 June 2026).</w:t>
      </w:r>
    </w:p>
    <w:p w14:paraId="53161ECE" w14:textId="77777777" w:rsidR="00AC6E3D" w:rsidRDefault="00AC6E3D" w:rsidP="00AC6E3D">
      <w:pPr>
        <w:spacing w:line="360" w:lineRule="auto"/>
        <w:ind w:left="432" w:hanging="432"/>
      </w:pPr>
      <w:r>
        <w:t>Fill, C. and Turnbull, S. (2019) Marketing Communications: Touchpoints, Sharing and Disruption. 8th edn. Harlow: Pearson.</w:t>
      </w:r>
    </w:p>
    <w:p w14:paraId="12A89EFA" w14:textId="77777777" w:rsidR="00AC6E3D" w:rsidRDefault="00AC6E3D" w:rsidP="00AC6E3D">
      <w:pPr>
        <w:spacing w:line="360" w:lineRule="auto"/>
        <w:ind w:left="432" w:hanging="432"/>
      </w:pPr>
      <w:r>
        <w:t>Fournier, S. (1998) ‘Consumers and their brands: developing relationship theory in consumer research’, Journal of Consumer Research, 24(4), pp. 343-373. Available at: https://doi.org/10.1086/209515 (Accessed: 19 June 2026).</w:t>
      </w:r>
    </w:p>
    <w:p w14:paraId="69E7A400" w14:textId="77777777" w:rsidR="00AC6E3D" w:rsidRDefault="00AC6E3D" w:rsidP="00AC6E3D">
      <w:pPr>
        <w:spacing w:line="360" w:lineRule="auto"/>
        <w:ind w:left="432" w:hanging="432"/>
      </w:pPr>
      <w:r>
        <w:t>Hollebeek, L.D., Glynn, M.S. and Brodie, R.J. (2014) ‘Consumer brand engagement in social media: conceptualization, scale development and validation’, Journal of Interactive Marketing, 28(2), pp. 149-165. Available at: https://doi.org/10.1016/j.intmar.2013.12.002 (Accessed: 19 June 2026).</w:t>
      </w:r>
    </w:p>
    <w:p w14:paraId="768B8344" w14:textId="77777777" w:rsidR="00AC6E3D" w:rsidRDefault="00AC6E3D" w:rsidP="00AC6E3D">
      <w:pPr>
        <w:spacing w:line="360" w:lineRule="auto"/>
        <w:ind w:left="432" w:hanging="432"/>
      </w:pPr>
      <w:r>
        <w:lastRenderedPageBreak/>
        <w:t>Keller, K.L. (1993) ‘Conceptualizing, measuring, and managing customer-based brand equity’, Journal of Marketing, 57(1), pp. 1-22. Available at: https://doi.org/10.1177/002224299305700101 (Accessed: 19 June 2026).</w:t>
      </w:r>
    </w:p>
    <w:p w14:paraId="6137BDCA" w14:textId="77777777" w:rsidR="00AC6E3D" w:rsidRDefault="00AC6E3D" w:rsidP="00AC6E3D">
      <w:pPr>
        <w:spacing w:line="360" w:lineRule="auto"/>
        <w:ind w:left="432" w:hanging="432"/>
      </w:pPr>
      <w:r>
        <w:t>Keller, K.L. (2013) Strategic Brand Management: Building, Measuring, and Managing Brand Equity. 4th edn. Harlow: Pearson.</w:t>
      </w:r>
    </w:p>
    <w:p w14:paraId="3278D26A" w14:textId="77777777" w:rsidR="00AC6E3D" w:rsidRDefault="00AC6E3D" w:rsidP="00AC6E3D">
      <w:pPr>
        <w:spacing w:line="360" w:lineRule="auto"/>
        <w:ind w:left="432" w:hanging="432"/>
      </w:pPr>
      <w:r>
        <w:t>Kotler, P., Keller, K.L. and Chernev, A. (2022) Marketing Management. 16th edn. Harlow: Pearson.</w:t>
      </w:r>
    </w:p>
    <w:p w14:paraId="602CF2CA" w14:textId="77777777" w:rsidR="00AC6E3D" w:rsidRDefault="00AC6E3D" w:rsidP="00AC6E3D">
      <w:pPr>
        <w:spacing w:line="360" w:lineRule="auto"/>
        <w:ind w:left="432" w:hanging="432"/>
      </w:pPr>
      <w:r>
        <w:t>Kotter, J.P. (1996) Leading Change. Boston: Harvard Business School Press.</w:t>
      </w:r>
    </w:p>
    <w:p w14:paraId="376B17C2" w14:textId="77777777" w:rsidR="00AC6E3D" w:rsidRDefault="00AC6E3D" w:rsidP="00AC6E3D">
      <w:pPr>
        <w:spacing w:line="360" w:lineRule="auto"/>
        <w:ind w:left="432" w:hanging="432"/>
      </w:pPr>
      <w:r>
        <w:t>Lemon, K.N. and Verhoef, P.C. (2016) ‘Understanding customer experience throughout the customer journey’, Journal of Marketing, 80(6), pp. 69-96. Available at: https://doi.org/10.1509/jm.15.0420 (Accessed: 19 June 2026).</w:t>
      </w:r>
    </w:p>
    <w:p w14:paraId="227B484B" w14:textId="77777777" w:rsidR="00AC6E3D" w:rsidRDefault="00AC6E3D" w:rsidP="00AC6E3D">
      <w:pPr>
        <w:spacing w:line="360" w:lineRule="auto"/>
        <w:ind w:left="432" w:hanging="432"/>
      </w:pPr>
      <w:r>
        <w:t>McAlexander, J.H., Schouten, J.W. and Koenig, H.F. (2002) ‘Building brand community’, Journal of Marketing, 66(1), pp. 38-54. Available at: https://doi.org/10.1509/jmkg.66.1.38.18451 (Accessed: 19 June 2026).</w:t>
      </w:r>
    </w:p>
    <w:p w14:paraId="6E911E6A" w14:textId="77777777" w:rsidR="00AC6E3D" w:rsidRDefault="00AC6E3D" w:rsidP="00AC6E3D">
      <w:pPr>
        <w:spacing w:line="360" w:lineRule="auto"/>
        <w:ind w:left="432" w:hanging="432"/>
      </w:pPr>
      <w:r>
        <w:t>Muniz, A.M. and O’Guinn, T.C. (2001) ‘Brand community’, Journal of Consumer Research, 27(4), pp. 412-432. Available at: https://doi.org/10.1086/319618 (Accessed: 19 June 2026).</w:t>
      </w:r>
    </w:p>
    <w:p w14:paraId="5048B90D" w14:textId="77777777" w:rsidR="00AC6E3D" w:rsidRDefault="00AC6E3D" w:rsidP="00AC6E3D">
      <w:pPr>
        <w:spacing w:line="360" w:lineRule="auto"/>
        <w:ind w:left="432" w:hanging="432"/>
      </w:pPr>
      <w:r>
        <w:t>Nike, Inc. (2023) Nike presents ‘What The Football’ film. Available at: https://about.nike.com/en/newsroom/releases/nike-champions-female-athletes-presents-what-the-football-campaign (Accessed: 19 June 2026).</w:t>
      </w:r>
    </w:p>
    <w:p w14:paraId="10EFFAF9" w14:textId="77777777" w:rsidR="00AC6E3D" w:rsidRDefault="00AC6E3D" w:rsidP="00AC6E3D">
      <w:pPr>
        <w:spacing w:line="360" w:lineRule="auto"/>
        <w:ind w:left="432" w:hanging="432"/>
      </w:pPr>
      <w:r>
        <w:t>Nike, Inc. (2024) FY23 NIKE, Inc. Impact Report. Available at: https://media.about.nike.com/files/2fd5f76d-50a2-4906-b30b-3b6046f36ebf/FY23_Nike_Impact_Report.pdf (Accessed: 19 June 2026).</w:t>
      </w:r>
    </w:p>
    <w:p w14:paraId="617BCE5D" w14:textId="77777777" w:rsidR="00AC6E3D" w:rsidRDefault="00AC6E3D" w:rsidP="00AC6E3D">
      <w:pPr>
        <w:spacing w:line="360" w:lineRule="auto"/>
        <w:ind w:left="432" w:hanging="432"/>
      </w:pPr>
      <w:r>
        <w:t>Nike, Inc. (2025a) NIKE, Inc. reports fiscal 2025 fourth quarter and full year results. Available at: https://investors.nike.com/investors/news-events-and-reports/investor-news/investor-news-details/2025/NIKE-Inc--Reports-Fiscal-2025-Fourth-Quarter-and-Full-Year-Results/default.aspx (Accessed: 19 June 2026).</w:t>
      </w:r>
    </w:p>
    <w:p w14:paraId="65A8B08E" w14:textId="77777777" w:rsidR="00AC6E3D" w:rsidRDefault="00AC6E3D" w:rsidP="00AC6E3D">
      <w:pPr>
        <w:spacing w:line="360" w:lineRule="auto"/>
        <w:ind w:left="432" w:hanging="432"/>
      </w:pPr>
      <w:r>
        <w:t>Nike, Inc. (2025b) Form 10-K annual report 2025. Available at: https://www.sec.gov/Archives/edgar/data/320187/000032018725000047/nke-20250531.htm (Accessed: 19 June 2026).</w:t>
      </w:r>
    </w:p>
    <w:p w14:paraId="138A3192" w14:textId="77777777" w:rsidR="00AC6E3D" w:rsidRDefault="00AC6E3D" w:rsidP="00AC6E3D">
      <w:pPr>
        <w:spacing w:line="360" w:lineRule="auto"/>
        <w:ind w:left="432" w:hanging="432"/>
      </w:pPr>
      <w:r>
        <w:lastRenderedPageBreak/>
        <w:t>Nike, Inc. (2025c) NIKE, Inc. and SKIMS introduce new brand for women. Available at: https://about.nike.com/en/newsroom/releases/nikeskims-official-announcement (Accessed: 19 June 2026).</w:t>
      </w:r>
    </w:p>
    <w:p w14:paraId="379C7CCA" w14:textId="77777777" w:rsidR="00AC6E3D" w:rsidRDefault="00AC6E3D" w:rsidP="00AC6E3D">
      <w:pPr>
        <w:spacing w:line="360" w:lineRule="auto"/>
        <w:ind w:left="432" w:hanging="432"/>
      </w:pPr>
      <w:r>
        <w:t>Nike, Inc. (2026a) Mission. Available at: https://about.nike.com/en/mission (Accessed: 19 June 2026).</w:t>
      </w:r>
    </w:p>
    <w:p w14:paraId="096C278E" w14:textId="77777777" w:rsidR="00AC6E3D" w:rsidRDefault="00AC6E3D" w:rsidP="00AC6E3D">
      <w:pPr>
        <w:spacing w:line="360" w:lineRule="auto"/>
        <w:ind w:left="432" w:hanging="432"/>
      </w:pPr>
      <w:r>
        <w:t>Nike, Inc. (2026b) Nike Community Impact Fund. Available at: https://about.nike.com/en/mission/initiatives/nike-community-impact-fund (Accessed: 19 June 2026).</w:t>
      </w:r>
    </w:p>
    <w:p w14:paraId="153621B8" w14:textId="77777777" w:rsidR="00AC6E3D" w:rsidRDefault="00AC6E3D" w:rsidP="00AC6E3D">
      <w:pPr>
        <w:spacing w:line="360" w:lineRule="auto"/>
        <w:ind w:left="432" w:hanging="432"/>
      </w:pPr>
      <w:r>
        <w:t>Nike, Inc. (2026c) Diversity, equity and inclusion. Available at: https://about.nike.com/en/mission/focus-areas/diversity-equity-inclusion-at-nike (Accessed: 19 June 2026).</w:t>
      </w:r>
    </w:p>
    <w:p w14:paraId="58B84CFC" w14:textId="77777777" w:rsidR="00AC6E3D" w:rsidRDefault="00AC6E3D" w:rsidP="00AC6E3D">
      <w:pPr>
        <w:spacing w:line="360" w:lineRule="auto"/>
        <w:ind w:left="432" w:hanging="432"/>
      </w:pPr>
      <w:r>
        <w:t>Nike, Inc. (2026d) Introducing NikeSKIMS. Body Obsessed. Available at: https://www.nike.com/nikeskims (Accessed: 19 June 2026).</w:t>
      </w:r>
    </w:p>
    <w:p w14:paraId="316E41C7" w14:textId="77777777" w:rsidR="00AC6E3D" w:rsidRDefault="00AC6E3D" w:rsidP="00AC6E3D">
      <w:pPr>
        <w:spacing w:line="360" w:lineRule="auto"/>
        <w:ind w:left="432" w:hanging="432"/>
      </w:pPr>
      <w:r>
        <w:t>Nike, Inc. (2026e) Corporate community engagement. Available at: https://about.nike.com/en/mission/initiatives/corporate-community-engagement (Accessed: 19 June 2026).</w:t>
      </w:r>
    </w:p>
    <w:p w14:paraId="6DDE4E26" w14:textId="77777777" w:rsidR="00AC6E3D" w:rsidRDefault="00AC6E3D" w:rsidP="00AC6E3D">
      <w:pPr>
        <w:spacing w:line="360" w:lineRule="auto"/>
        <w:ind w:left="432" w:hanging="432"/>
      </w:pPr>
      <w:r>
        <w:t>Pansari, A. and Kumar, V. (2017) ‘Customer engagement: the construct, antecedents, and consequences’, Journal of the Academy of Marketing Science, 45(3), pp. 294-311. Available at: https://doi.org/10.1007/s11747-016-0485-6 (Accessed: 19 June 2026).</w:t>
      </w:r>
    </w:p>
    <w:p w14:paraId="0469065D" w14:textId="77777777" w:rsidR="00AC6E3D" w:rsidRDefault="00AC6E3D" w:rsidP="00AC6E3D">
      <w:pPr>
        <w:spacing w:line="360" w:lineRule="auto"/>
        <w:ind w:left="432" w:hanging="432"/>
      </w:pPr>
      <w:r>
        <w:t>Reuters (2025) Nike delays launch of women’s brand in partnership with Kim Kardashian’s Skims. Available at: https://www.reuters.com/business/retail-consumer/nike-delays-launch-womens-brand-partnership-with-kim-kardashians-skims-2025-06-18/ (Accessed: 19 June 2026).</w:t>
      </w:r>
    </w:p>
    <w:p w14:paraId="4C25C951" w14:textId="77777777" w:rsidR="00AC6E3D" w:rsidRDefault="00AC6E3D" w:rsidP="00AC6E3D">
      <w:pPr>
        <w:spacing w:line="360" w:lineRule="auto"/>
        <w:ind w:left="432" w:hanging="432"/>
      </w:pPr>
      <w:r>
        <w:t>Schau, H.J., Muniz, A.M. and Arnould, E.J. (2009) ‘How brand community practices create value’, Journal of Marketing, 73(5), pp. 30-51. Available at: https://doi.org/10.1509/jmkg.73.5.30 (Accessed: 19 June 2026).</w:t>
      </w:r>
    </w:p>
    <w:p w14:paraId="60A916B8" w14:textId="77777777" w:rsidR="00AC6E3D" w:rsidRDefault="00AC6E3D" w:rsidP="00AC6E3D">
      <w:pPr>
        <w:spacing w:line="360" w:lineRule="auto"/>
        <w:ind w:left="432" w:hanging="432"/>
      </w:pPr>
      <w:r>
        <w:t>Vargo, S.L. and Lusch, R.F. (2004) ‘Evolving to a new dominant logic for marketing’, Journal of Marketing, 68(1), pp. 1-17. Available at: https://doi.org/10.1509/jmkg.68.1.1.24036 (Accessed: 19 June 2026).</w:t>
      </w:r>
    </w:p>
    <w:p w14:paraId="51D97911" w14:textId="77777777" w:rsidR="00AC6E3D" w:rsidRDefault="00AC6E3D" w:rsidP="00AC6E3D">
      <w:pPr>
        <w:spacing w:line="360" w:lineRule="auto"/>
      </w:pPr>
      <w:r>
        <w:br w:type="page"/>
      </w:r>
    </w:p>
    <w:p w14:paraId="1F06746B" w14:textId="77777777" w:rsidR="00AC6E3D" w:rsidRDefault="00AC6E3D" w:rsidP="00AC6E3D">
      <w:pPr>
        <w:pStyle w:val="Heading1"/>
        <w:spacing w:line="360" w:lineRule="auto"/>
      </w:pPr>
      <w:bookmarkStart w:id="16" w:name="_Toc234572178"/>
      <w:r>
        <w:lastRenderedPageBreak/>
        <w:t>Appendices</w:t>
      </w:r>
      <w:bookmarkEnd w:id="16"/>
    </w:p>
    <w:p w14:paraId="55ACEE48" w14:textId="77777777" w:rsidR="00AC6E3D" w:rsidRDefault="00AC6E3D" w:rsidP="00AC6E3D">
      <w:pPr>
        <w:pStyle w:val="Heading2"/>
        <w:spacing w:line="360" w:lineRule="auto"/>
      </w:pPr>
      <w:bookmarkStart w:id="17" w:name="_Toc234572179"/>
      <w:r>
        <w:t>Appendix A: Suggested inclusive brand community dashboard</w:t>
      </w:r>
      <w:bookmarkEnd w:id="17"/>
    </w:p>
    <w:p w14:paraId="663E2FF2" w14:textId="77777777" w:rsidR="00AC6E3D" w:rsidRDefault="00AC6E3D" w:rsidP="00AC6E3D">
      <w:pPr>
        <w:pStyle w:val="ListBullet"/>
        <w:numPr>
          <w:ilvl w:val="0"/>
          <w:numId w:val="2"/>
        </w:numPr>
        <w:spacing w:line="360" w:lineRule="auto"/>
      </w:pPr>
      <w:r>
        <w:t>Commercial metrics: women’s product sales, conversion rates, repeat purchase, Nike membership growth.</w:t>
      </w:r>
    </w:p>
    <w:p w14:paraId="7AC2576A" w14:textId="77777777" w:rsidR="00AC6E3D" w:rsidRDefault="00AC6E3D" w:rsidP="00AC6E3D">
      <w:pPr>
        <w:pStyle w:val="ListBullet"/>
        <w:numPr>
          <w:ilvl w:val="0"/>
          <w:numId w:val="2"/>
        </w:numPr>
        <w:spacing w:line="360" w:lineRule="auto"/>
      </w:pPr>
      <w:r>
        <w:t>Behavioural metrics: app participation, event attendance, user-generated content, training plan completion.</w:t>
      </w:r>
    </w:p>
    <w:p w14:paraId="0CA06B0E" w14:textId="77777777" w:rsidR="00AC6E3D" w:rsidRDefault="00AC6E3D" w:rsidP="00AC6E3D">
      <w:pPr>
        <w:pStyle w:val="ListBullet"/>
        <w:numPr>
          <w:ilvl w:val="0"/>
          <w:numId w:val="2"/>
        </w:numPr>
        <w:spacing w:line="360" w:lineRule="auto"/>
      </w:pPr>
      <w:r>
        <w:t>Social metrics: perceived belonging, trust, authenticity, community partner reach, girls’ participation outcomes.</w:t>
      </w:r>
    </w:p>
    <w:p w14:paraId="0137C125" w14:textId="77777777" w:rsidR="00AC6E3D" w:rsidRDefault="00AC6E3D" w:rsidP="00AC6E3D">
      <w:pPr>
        <w:pStyle w:val="ListBullet"/>
        <w:numPr>
          <w:ilvl w:val="0"/>
          <w:numId w:val="2"/>
        </w:numPr>
        <w:spacing w:line="360" w:lineRule="auto"/>
      </w:pPr>
      <w:r>
        <w:t>Risk metrics: negative sentiment, representation concerns, fit-related complaints, campaign backlash indicators.</w:t>
      </w:r>
    </w:p>
    <w:p w14:paraId="52F95FBD" w14:textId="77777777" w:rsidR="00AC6E3D" w:rsidRDefault="00AC6E3D" w:rsidP="00AC6E3D">
      <w:pPr>
        <w:pStyle w:val="Heading2"/>
        <w:spacing w:line="360" w:lineRule="auto"/>
      </w:pPr>
      <w:bookmarkStart w:id="18" w:name="_Toc234572180"/>
      <w:r>
        <w:t>Appendix B: Example customer journey for inclusive women’s sport marketing</w:t>
      </w:r>
      <w:bookmarkEnd w:id="18"/>
    </w:p>
    <w:p w14:paraId="43DAB173" w14:textId="77777777" w:rsidR="00AC6E3D" w:rsidRDefault="00AC6E3D" w:rsidP="00AC6E3D">
      <w:pPr>
        <w:pStyle w:val="ListBullet"/>
        <w:numPr>
          <w:ilvl w:val="0"/>
          <w:numId w:val="2"/>
        </w:numPr>
        <w:spacing w:line="360" w:lineRule="auto"/>
      </w:pPr>
      <w:r>
        <w:t>Awareness: elite athlete campaign and social storytelling.</w:t>
      </w:r>
    </w:p>
    <w:p w14:paraId="37D65B46" w14:textId="77777777" w:rsidR="00AC6E3D" w:rsidRDefault="00AC6E3D" w:rsidP="00AC6E3D">
      <w:pPr>
        <w:pStyle w:val="ListBullet"/>
        <w:numPr>
          <w:ilvl w:val="0"/>
          <w:numId w:val="2"/>
        </w:numPr>
        <w:spacing w:line="360" w:lineRule="auto"/>
      </w:pPr>
      <w:r>
        <w:t>Consideration: product fit guidance, community stories and local event information.</w:t>
      </w:r>
    </w:p>
    <w:p w14:paraId="357865BF" w14:textId="77777777" w:rsidR="00AC6E3D" w:rsidRDefault="00AC6E3D" w:rsidP="00AC6E3D">
      <w:pPr>
        <w:pStyle w:val="ListBullet"/>
        <w:numPr>
          <w:ilvl w:val="0"/>
          <w:numId w:val="2"/>
        </w:numPr>
        <w:spacing w:line="360" w:lineRule="auto"/>
      </w:pPr>
      <w:r>
        <w:t>Purchase: inclusive size availability, reviews and sport-specific recommendations.</w:t>
      </w:r>
    </w:p>
    <w:p w14:paraId="66E417A4" w14:textId="77777777" w:rsidR="00AC6E3D" w:rsidRDefault="00AC6E3D" w:rsidP="00AC6E3D">
      <w:pPr>
        <w:pStyle w:val="ListBullet"/>
        <w:numPr>
          <w:ilvl w:val="0"/>
          <w:numId w:val="2"/>
        </w:numPr>
        <w:spacing w:line="360" w:lineRule="auto"/>
      </w:pPr>
      <w:r>
        <w:t>Post-purchase: training content, community challenges, events and participation rewards.</w:t>
      </w:r>
    </w:p>
    <w:p w14:paraId="576BE4D0" w14:textId="77777777" w:rsidR="00AC6E3D" w:rsidRDefault="00AC6E3D" w:rsidP="00AC6E3D">
      <w:pPr>
        <w:pStyle w:val="ListBullet"/>
        <w:numPr>
          <w:ilvl w:val="0"/>
          <w:numId w:val="2"/>
        </w:numPr>
        <w:spacing w:line="360" w:lineRule="auto"/>
      </w:pPr>
      <w:r>
        <w:t>Advocacy: user-generated stories, grassroots ambassador content and peer-to-peer community support.</w:t>
      </w:r>
    </w:p>
    <w:p w14:paraId="6135F187" w14:textId="77777777" w:rsidR="00AC6E3D" w:rsidRDefault="00AC6E3D" w:rsidP="00AC6E3D">
      <w:pPr>
        <w:pStyle w:val="Heading2"/>
        <w:spacing w:line="360" w:lineRule="auto"/>
      </w:pPr>
      <w:bookmarkStart w:id="19" w:name="_Toc234572181"/>
      <w:r>
        <w:t>Appendix C: Inclusive campaign approval checklist</w:t>
      </w:r>
      <w:bookmarkEnd w:id="19"/>
    </w:p>
    <w:p w14:paraId="6D7FAC72" w14:textId="77777777" w:rsidR="00AC6E3D" w:rsidRDefault="00AC6E3D" w:rsidP="00AC6E3D">
      <w:pPr>
        <w:pStyle w:val="ListBullet"/>
        <w:numPr>
          <w:ilvl w:val="0"/>
          <w:numId w:val="2"/>
        </w:numPr>
        <w:spacing w:line="360" w:lineRule="auto"/>
      </w:pPr>
      <w:r>
        <w:t>Does the campaign represent diverse athletes without reducing them to symbolic imagery?</w:t>
      </w:r>
    </w:p>
    <w:p w14:paraId="56077A8A" w14:textId="77777777" w:rsidR="00AC6E3D" w:rsidRDefault="00AC6E3D" w:rsidP="00AC6E3D">
      <w:pPr>
        <w:pStyle w:val="ListBullet"/>
        <w:numPr>
          <w:ilvl w:val="0"/>
          <w:numId w:val="2"/>
        </w:numPr>
        <w:spacing w:line="360" w:lineRule="auto"/>
      </w:pPr>
      <w:r>
        <w:t>Is there a clear link between the campaign and practical participation opportunities?</w:t>
      </w:r>
    </w:p>
    <w:p w14:paraId="77F4D3F9" w14:textId="77777777" w:rsidR="00AC6E3D" w:rsidRDefault="00AC6E3D" w:rsidP="00AC6E3D">
      <w:pPr>
        <w:pStyle w:val="ListBullet"/>
        <w:numPr>
          <w:ilvl w:val="0"/>
          <w:numId w:val="2"/>
        </w:numPr>
        <w:spacing w:line="360" w:lineRule="auto"/>
      </w:pPr>
      <w:r>
        <w:t>Is the product experience consistent with the inclusive message?</w:t>
      </w:r>
    </w:p>
    <w:p w14:paraId="0675017B" w14:textId="77777777" w:rsidR="00AC6E3D" w:rsidRDefault="00AC6E3D" w:rsidP="00AC6E3D">
      <w:pPr>
        <w:pStyle w:val="ListBullet"/>
        <w:numPr>
          <w:ilvl w:val="0"/>
          <w:numId w:val="2"/>
        </w:numPr>
        <w:spacing w:line="360" w:lineRule="auto"/>
      </w:pPr>
      <w:r>
        <w:t>Have relevant community partners or athletes been involved in content development?</w:t>
      </w:r>
    </w:p>
    <w:p w14:paraId="51C66F46" w14:textId="77777777" w:rsidR="00AC6E3D" w:rsidRDefault="00AC6E3D" w:rsidP="00AC6E3D">
      <w:pPr>
        <w:pStyle w:val="ListBullet"/>
        <w:numPr>
          <w:ilvl w:val="0"/>
          <w:numId w:val="2"/>
        </w:numPr>
        <w:spacing w:line="360" w:lineRule="auto"/>
      </w:pPr>
      <w:r>
        <w:t>Are suitable metrics in place to evaluate belonging, trust and participation, not only reach?</w:t>
      </w:r>
    </w:p>
    <w:p w14:paraId="44A7B4FC" w14:textId="77777777" w:rsidR="00AC6E3D" w:rsidRDefault="00AC6E3D" w:rsidP="00AC6E3D">
      <w:pPr>
        <w:spacing w:line="360" w:lineRule="auto"/>
      </w:pPr>
    </w:p>
    <w:p w14:paraId="12417DDF" w14:textId="47EC1DDD" w:rsidR="00013756" w:rsidRPr="007844B6" w:rsidRDefault="00013756" w:rsidP="007844B6"/>
    <w:sectPr w:rsidR="00013756" w:rsidRPr="007844B6" w:rsidSect="003047F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53380602"/>
    <w:lvl w:ilvl="0">
      <w:start w:val="1"/>
      <w:numFmt w:val="bullet"/>
      <w:pStyle w:val="ListBullet"/>
      <w:lvlText w:val=""/>
      <w:lvlJc w:val="left"/>
      <w:pPr>
        <w:tabs>
          <w:tab w:val="num" w:pos="360"/>
        </w:tabs>
        <w:ind w:left="360" w:hanging="360"/>
      </w:pPr>
      <w:rPr>
        <w:rFonts w:ascii="Symbol" w:hAnsi="Symbol" w:hint="default"/>
      </w:rPr>
    </w:lvl>
  </w:abstractNum>
  <w:num w:numId="1" w16cid:durableId="1722443061">
    <w:abstractNumId w:val="0"/>
  </w:num>
  <w:num w:numId="2" w16cid:durableId="864706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FF7"/>
    <w:rsid w:val="00013756"/>
    <w:rsid w:val="00056187"/>
    <w:rsid w:val="000C2D3C"/>
    <w:rsid w:val="0017641B"/>
    <w:rsid w:val="00177AF5"/>
    <w:rsid w:val="00212789"/>
    <w:rsid w:val="002C2ED4"/>
    <w:rsid w:val="002E014B"/>
    <w:rsid w:val="002F1A54"/>
    <w:rsid w:val="003047FA"/>
    <w:rsid w:val="003269C4"/>
    <w:rsid w:val="00353842"/>
    <w:rsid w:val="00431432"/>
    <w:rsid w:val="004C02A7"/>
    <w:rsid w:val="004F5FB9"/>
    <w:rsid w:val="00523636"/>
    <w:rsid w:val="00596ADF"/>
    <w:rsid w:val="0060213F"/>
    <w:rsid w:val="006A12C1"/>
    <w:rsid w:val="006D7ED0"/>
    <w:rsid w:val="0075688A"/>
    <w:rsid w:val="00765A00"/>
    <w:rsid w:val="007844B6"/>
    <w:rsid w:val="007C2053"/>
    <w:rsid w:val="007C6AB4"/>
    <w:rsid w:val="0081615E"/>
    <w:rsid w:val="008C24E6"/>
    <w:rsid w:val="008F076F"/>
    <w:rsid w:val="008F308F"/>
    <w:rsid w:val="008F6254"/>
    <w:rsid w:val="00963491"/>
    <w:rsid w:val="009716AD"/>
    <w:rsid w:val="009770D2"/>
    <w:rsid w:val="009D4233"/>
    <w:rsid w:val="00A42CB2"/>
    <w:rsid w:val="00A53CA0"/>
    <w:rsid w:val="00AB231A"/>
    <w:rsid w:val="00AC6E3D"/>
    <w:rsid w:val="00B15614"/>
    <w:rsid w:val="00BB6FF7"/>
    <w:rsid w:val="00C17E49"/>
    <w:rsid w:val="00C96DB2"/>
    <w:rsid w:val="00CE6D19"/>
    <w:rsid w:val="00D70D79"/>
    <w:rsid w:val="00D72801"/>
    <w:rsid w:val="00DA3DF4"/>
    <w:rsid w:val="00DE0BC8"/>
    <w:rsid w:val="00E8452F"/>
    <w:rsid w:val="00E87445"/>
    <w:rsid w:val="00F56AB7"/>
    <w:rsid w:val="00FC4484"/>
    <w:rsid w:val="00FD504A"/>
    <w:rsid w:val="00FF7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8998"/>
  <w15:chartTrackingRefBased/>
  <w15:docId w15:val="{09AB4F01-A293-4CCC-85A4-131AA87A9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842"/>
    <w:pPr>
      <w:spacing w:after="120" w:line="276" w:lineRule="auto"/>
    </w:pPr>
    <w:rPr>
      <w:rFonts w:ascii="Times New Roman" w:eastAsia="Times New Roman" w:hAnsi="Times New Roman"/>
      <w:kern w:val="0"/>
      <w:szCs w:val="22"/>
      <w:lang w:val="en-US"/>
      <w14:ligatures w14:val="none"/>
    </w:rPr>
  </w:style>
  <w:style w:type="paragraph" w:styleId="Heading1">
    <w:name w:val="heading 1"/>
    <w:basedOn w:val="Normal"/>
    <w:next w:val="Normal"/>
    <w:link w:val="Heading1Char"/>
    <w:uiPriority w:val="9"/>
    <w:qFormat/>
    <w:rsid w:val="008F308F"/>
    <w:pPr>
      <w:keepNext/>
      <w:keepLines/>
      <w:spacing w:before="360" w:after="80"/>
      <w:outlineLvl w:val="0"/>
    </w:pPr>
    <w:rPr>
      <w:rFonts w:asciiTheme="majorHAnsi" w:eastAsiaTheme="majorEastAsia" w:hAnsiTheme="majorHAnsi" w:cstheme="majorBidi"/>
      <w:color w:val="0F4761" w:themeColor="accent1" w:themeShade="BF"/>
      <w:sz w:val="36"/>
      <w:szCs w:val="40"/>
    </w:rPr>
  </w:style>
  <w:style w:type="paragraph" w:styleId="Heading2">
    <w:name w:val="heading 2"/>
    <w:basedOn w:val="Normal"/>
    <w:next w:val="Normal"/>
    <w:link w:val="Heading2Char"/>
    <w:uiPriority w:val="9"/>
    <w:unhideWhenUsed/>
    <w:qFormat/>
    <w:rsid w:val="00BB6F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F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F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F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F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F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F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F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08F"/>
    <w:rPr>
      <w:rFonts w:asciiTheme="majorHAnsi" w:eastAsiaTheme="majorEastAsia" w:hAnsiTheme="majorHAnsi" w:cstheme="majorBidi"/>
      <w:color w:val="0F4761" w:themeColor="accent1" w:themeShade="BF"/>
      <w:kern w:val="0"/>
      <w:sz w:val="36"/>
      <w:szCs w:val="40"/>
      <w:lang w:val="en-US"/>
      <w14:ligatures w14:val="none"/>
    </w:rPr>
  </w:style>
  <w:style w:type="character" w:customStyle="1" w:styleId="Heading2Char">
    <w:name w:val="Heading 2 Char"/>
    <w:basedOn w:val="DefaultParagraphFont"/>
    <w:link w:val="Heading2"/>
    <w:uiPriority w:val="9"/>
    <w:rsid w:val="00BB6F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6F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6F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6F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6F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F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F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FF7"/>
    <w:rPr>
      <w:rFonts w:eastAsiaTheme="majorEastAsia" w:cstheme="majorBidi"/>
      <w:color w:val="272727" w:themeColor="text1" w:themeTint="D8"/>
    </w:rPr>
  </w:style>
  <w:style w:type="paragraph" w:styleId="Title">
    <w:name w:val="Title"/>
    <w:basedOn w:val="Normal"/>
    <w:next w:val="Normal"/>
    <w:link w:val="TitleChar"/>
    <w:uiPriority w:val="10"/>
    <w:qFormat/>
    <w:rsid w:val="00BB6F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F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F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F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FF7"/>
    <w:pPr>
      <w:spacing w:before="160"/>
      <w:jc w:val="center"/>
    </w:pPr>
    <w:rPr>
      <w:i/>
      <w:iCs/>
      <w:color w:val="404040" w:themeColor="text1" w:themeTint="BF"/>
    </w:rPr>
  </w:style>
  <w:style w:type="character" w:customStyle="1" w:styleId="QuoteChar">
    <w:name w:val="Quote Char"/>
    <w:basedOn w:val="DefaultParagraphFont"/>
    <w:link w:val="Quote"/>
    <w:uiPriority w:val="29"/>
    <w:rsid w:val="00BB6FF7"/>
    <w:rPr>
      <w:i/>
      <w:iCs/>
      <w:color w:val="404040" w:themeColor="text1" w:themeTint="BF"/>
    </w:rPr>
  </w:style>
  <w:style w:type="paragraph" w:styleId="ListParagraph">
    <w:name w:val="List Paragraph"/>
    <w:basedOn w:val="Normal"/>
    <w:uiPriority w:val="34"/>
    <w:qFormat/>
    <w:rsid w:val="00BB6FF7"/>
    <w:pPr>
      <w:ind w:left="720"/>
      <w:contextualSpacing/>
    </w:pPr>
  </w:style>
  <w:style w:type="character" w:styleId="IntenseEmphasis">
    <w:name w:val="Intense Emphasis"/>
    <w:basedOn w:val="DefaultParagraphFont"/>
    <w:uiPriority w:val="21"/>
    <w:qFormat/>
    <w:rsid w:val="00BB6FF7"/>
    <w:rPr>
      <w:i/>
      <w:iCs/>
      <w:color w:val="0F4761" w:themeColor="accent1" w:themeShade="BF"/>
    </w:rPr>
  </w:style>
  <w:style w:type="paragraph" w:styleId="IntenseQuote">
    <w:name w:val="Intense Quote"/>
    <w:basedOn w:val="Normal"/>
    <w:next w:val="Normal"/>
    <w:link w:val="IntenseQuoteChar"/>
    <w:uiPriority w:val="30"/>
    <w:qFormat/>
    <w:rsid w:val="00BB6F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FF7"/>
    <w:rPr>
      <w:i/>
      <w:iCs/>
      <w:color w:val="0F4761" w:themeColor="accent1" w:themeShade="BF"/>
    </w:rPr>
  </w:style>
  <w:style w:type="character" w:styleId="IntenseReference">
    <w:name w:val="Intense Reference"/>
    <w:basedOn w:val="DefaultParagraphFont"/>
    <w:uiPriority w:val="32"/>
    <w:qFormat/>
    <w:rsid w:val="00BB6FF7"/>
    <w:rPr>
      <w:b/>
      <w:bCs/>
      <w:smallCaps/>
      <w:color w:val="0F4761" w:themeColor="accent1" w:themeShade="BF"/>
      <w:spacing w:val="5"/>
    </w:rPr>
  </w:style>
  <w:style w:type="paragraph" w:styleId="ListBullet">
    <w:name w:val="List Bullet"/>
    <w:basedOn w:val="Normal"/>
    <w:uiPriority w:val="99"/>
    <w:unhideWhenUsed/>
    <w:rsid w:val="00353842"/>
    <w:pPr>
      <w:numPr>
        <w:numId w:val="1"/>
      </w:numPr>
      <w:tabs>
        <w:tab w:val="clear" w:pos="360"/>
      </w:tabs>
      <w:ind w:left="0" w:firstLine="0"/>
      <w:contextualSpacing/>
    </w:pPr>
  </w:style>
  <w:style w:type="paragraph" w:styleId="TOCHeading">
    <w:name w:val="TOC Heading"/>
    <w:basedOn w:val="Heading1"/>
    <w:next w:val="Normal"/>
    <w:uiPriority w:val="39"/>
    <w:unhideWhenUsed/>
    <w:qFormat/>
    <w:rsid w:val="00212789"/>
    <w:pPr>
      <w:spacing w:before="240" w:after="0" w:line="259" w:lineRule="auto"/>
      <w:outlineLvl w:val="9"/>
    </w:pPr>
    <w:rPr>
      <w:sz w:val="32"/>
      <w:szCs w:val="32"/>
    </w:rPr>
  </w:style>
  <w:style w:type="paragraph" w:styleId="TOC1">
    <w:name w:val="toc 1"/>
    <w:basedOn w:val="Normal"/>
    <w:next w:val="Normal"/>
    <w:autoRedefine/>
    <w:uiPriority w:val="39"/>
    <w:unhideWhenUsed/>
    <w:rsid w:val="00212789"/>
    <w:pPr>
      <w:spacing w:after="100"/>
    </w:pPr>
  </w:style>
  <w:style w:type="paragraph" w:styleId="TOC2">
    <w:name w:val="toc 2"/>
    <w:basedOn w:val="Normal"/>
    <w:next w:val="Normal"/>
    <w:autoRedefine/>
    <w:uiPriority w:val="39"/>
    <w:unhideWhenUsed/>
    <w:rsid w:val="00212789"/>
    <w:pPr>
      <w:spacing w:after="100"/>
      <w:ind w:left="240"/>
    </w:pPr>
  </w:style>
  <w:style w:type="character" w:styleId="Hyperlink">
    <w:name w:val="Hyperlink"/>
    <w:basedOn w:val="DefaultParagraphFont"/>
    <w:uiPriority w:val="99"/>
    <w:unhideWhenUsed/>
    <w:rsid w:val="00212789"/>
    <w:rPr>
      <w:color w:val="467886" w:themeColor="hyperlink"/>
      <w:u w:val="single"/>
    </w:rPr>
  </w:style>
  <w:style w:type="character" w:styleId="UnresolvedMention">
    <w:name w:val="Unresolved Mention"/>
    <w:basedOn w:val="DefaultParagraphFont"/>
    <w:uiPriority w:val="99"/>
    <w:semiHidden/>
    <w:unhideWhenUsed/>
    <w:rsid w:val="008161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E35C6-EF5F-43D2-A472-6F6634CB8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4995</TotalTime>
  <Pages>21</Pages>
  <Words>6212</Words>
  <Characters>35409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 BAROT</dc:creator>
  <cp:keywords/>
  <dc:description/>
  <cp:lastModifiedBy>SMIT BAROT</cp:lastModifiedBy>
  <cp:revision>47</cp:revision>
  <dcterms:created xsi:type="dcterms:W3CDTF">2026-06-29T16:27:00Z</dcterms:created>
  <dcterms:modified xsi:type="dcterms:W3CDTF">2026-07-10T09:43:00Z</dcterms:modified>
</cp:coreProperties>
</file>