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A49E3D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56506">
              <w:rPr>
                <w:rFonts w:ascii="Times New Roman" w:hAnsi="Times New Roman" w:cs="Times New Roman"/>
                <w:b/>
                <w:color w:val="auto"/>
                <w:sz w:val="48"/>
              </w:rPr>
              <w:t>Jenine Cassim</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672B1E5" w:rsidR="009C337F" w:rsidRDefault="009C337F" w:rsidP="005D3F07">
            <w:pPr>
              <w:overflowPunct/>
              <w:autoSpaceDE/>
              <w:autoSpaceDN/>
              <w:adjustRightInd/>
              <w:ind w:right="-957"/>
              <w:textAlignment w:val="auto"/>
              <w:rPr>
                <w:rFonts w:ascii="Times New Roman" w:hAnsi="Times New Roman" w:cs="Times New Roman"/>
                <w:b/>
                <w:color w:val="auto"/>
                <w:sz w:val="48"/>
              </w:rPr>
            </w:pPr>
            <w:r w:rsidRPr="00A82549">
              <w:rPr>
                <w:rFonts w:ascii="Times New Roman" w:hAnsi="Times New Roman" w:cs="Times New Roman"/>
                <w:b/>
                <w:color w:val="auto"/>
                <w:sz w:val="48"/>
              </w:rPr>
              <w:t>Email address:</w:t>
            </w:r>
            <w:r w:rsidR="00A82549">
              <w:rPr>
                <w:rFonts w:ascii="Times New Roman" w:hAnsi="Times New Roman" w:cs="Times New Roman"/>
                <w:b/>
                <w:color w:val="auto"/>
                <w:sz w:val="48"/>
              </w:rPr>
              <w:t>Jenine1987@hotmail.co.uk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1C1CC9" w14:textId="77777777" w:rsidR="00E56506" w:rsidRPr="005D3F07" w:rsidRDefault="00E56506" w:rsidP="00E56506">
            <w:pPr>
              <w:overflowPunct/>
              <w:autoSpaceDE/>
              <w:autoSpaceDN/>
              <w:adjustRightInd/>
              <w:ind w:right="-957"/>
              <w:textAlignment w:val="auto"/>
              <w:rPr>
                <w:rFonts w:ascii="Times New Roman" w:hAnsi="Times New Roman" w:cs="Times New Roman"/>
                <w:b/>
                <w:color w:val="auto"/>
                <w:sz w:val="48"/>
              </w:rPr>
            </w:pPr>
            <w:r w:rsidRPr="00D3072D">
              <w:rPr>
                <w:rFonts w:ascii="Times New Roman" w:hAnsi="Times New Roman" w:cs="Times New Roman"/>
                <w:b/>
                <w:bCs/>
                <w:color w:val="201F1E"/>
                <w:sz w:val="48"/>
                <w:szCs w:val="48"/>
              </w:rPr>
              <w:t>2127456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44F118F1"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6B9646D9" w:rsidR="006108C9" w:rsidRDefault="006108C9" w:rsidP="00FF7EBB">
            <w:pPr>
              <w:jc w:val="both"/>
              <w:rPr>
                <w:sz w:val="24"/>
                <w:szCs w:val="24"/>
              </w:rPr>
            </w:pPr>
          </w:p>
          <w:p w14:paraId="343DBA0D" w14:textId="77777777" w:rsidR="00A82549" w:rsidRDefault="00A82549" w:rsidP="00A82549">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6BD3D3B8" w14:textId="77777777" w:rsidR="00A82549" w:rsidRDefault="00A82549" w:rsidP="00A42E6B">
            <w:pPr>
              <w:spacing w:line="276" w:lineRule="auto"/>
              <w:jc w:val="both"/>
              <w:rPr>
                <w:sz w:val="22"/>
                <w:szCs w:val="22"/>
              </w:rPr>
            </w:pPr>
          </w:p>
          <w:p w14:paraId="3254D967" w14:textId="386E218C" w:rsidR="00A42E6B" w:rsidRDefault="00A42E6B" w:rsidP="00A42E6B">
            <w:pPr>
              <w:spacing w:line="276" w:lineRule="auto"/>
              <w:jc w:val="both"/>
              <w:rPr>
                <w:sz w:val="22"/>
                <w:szCs w:val="22"/>
              </w:rPr>
            </w:pPr>
            <w:r w:rsidRPr="00AA423D">
              <w:rPr>
                <w:sz w:val="22"/>
                <w:szCs w:val="22"/>
              </w:rPr>
              <w:t xml:space="preserve">Safeguarding is a serious and complex area of social work (Chisnell &amp; Kelly, 2019).  Understanding legislation, policy and skills for practice is essential to the role.  In Wales the </w:t>
            </w:r>
            <w:bookmarkStart w:id="0" w:name="_Hlk122457879"/>
            <w:r w:rsidRPr="00AA423D">
              <w:rPr>
                <w:sz w:val="22"/>
                <w:szCs w:val="22"/>
              </w:rPr>
              <w:t xml:space="preserve">Social Services and Wellbeing (Wales) Act 2014 </w:t>
            </w:r>
            <w:bookmarkEnd w:id="0"/>
            <w:r w:rsidRPr="00AA423D">
              <w:rPr>
                <w:sz w:val="22"/>
                <w:szCs w:val="22"/>
              </w:rPr>
              <w:t xml:space="preserve">(SSWBA) gives legislative responsibility to professionals to protect both children and adults. Section 130 of the Act, Part 7, requires professionals such as health professionals, police, and teachers to inform the local authority if they have reasonable cause to suspect a child is at risk (Welsh Government, 2021a).  </w:t>
            </w:r>
            <w:r w:rsidRPr="00AA423D">
              <w:rPr>
                <w:rFonts w:cstheme="minorHAnsi"/>
                <w:sz w:val="22"/>
                <w:szCs w:val="22"/>
              </w:rPr>
              <w:t xml:space="preserve">A child at risk can be defined by the SSWBA 2014 as a child “who (a) is experiencing or is at risk of abuse, neglect or other kinds of harm, and (b) has needs for care and support” </w:t>
            </w:r>
            <w:r w:rsidRPr="00AA423D">
              <w:rPr>
                <w:sz w:val="22"/>
                <w:szCs w:val="22"/>
              </w:rPr>
              <w:t>(Welsh Government, 2021a).</w:t>
            </w:r>
          </w:p>
          <w:p w14:paraId="3C82F977" w14:textId="77777777" w:rsidR="00A42E6B" w:rsidRPr="00AA423D" w:rsidRDefault="00A42E6B" w:rsidP="00A42E6B">
            <w:pPr>
              <w:spacing w:line="276" w:lineRule="auto"/>
              <w:jc w:val="both"/>
              <w:rPr>
                <w:sz w:val="22"/>
                <w:szCs w:val="22"/>
              </w:rPr>
            </w:pPr>
          </w:p>
          <w:p w14:paraId="7C2524D9" w14:textId="07A92BA4" w:rsidR="00A42E6B" w:rsidRDefault="00A42E6B" w:rsidP="00A42E6B">
            <w:pPr>
              <w:spacing w:line="276" w:lineRule="auto"/>
              <w:rPr>
                <w:rFonts w:cstheme="minorHAnsi"/>
                <w:sz w:val="22"/>
                <w:szCs w:val="22"/>
              </w:rPr>
            </w:pPr>
            <w:r w:rsidRPr="00AA423D">
              <w:rPr>
                <w:sz w:val="22"/>
                <w:szCs w:val="22"/>
              </w:rPr>
              <w:t xml:space="preserve">Once a concern for a child at risk has been reported under section 130, the local authority must decide whether there are reasonable grounds to suspect that a child “is suffering, or is likely to suffer, significant harm” and if so carry out an investigation under section 47 of the Children’s Act 1989 (Welsh Government, 2015).  </w:t>
            </w:r>
            <w:r w:rsidRPr="00AA423D">
              <w:rPr>
                <w:rFonts w:cstheme="minorHAnsi"/>
                <w:sz w:val="22"/>
                <w:szCs w:val="22"/>
              </w:rPr>
              <w:t>Section 47 investigations will assess the child’s needs as well as the carers ability to meet their needs</w:t>
            </w:r>
            <w:r w:rsidRPr="00AA423D">
              <w:rPr>
                <w:rFonts w:cstheme="minorHAnsi"/>
                <w:color w:val="7030A0"/>
                <w:sz w:val="22"/>
                <w:szCs w:val="22"/>
                <w:lang w:val="en"/>
              </w:rPr>
              <w:t xml:space="preserve"> </w:t>
            </w:r>
            <w:r w:rsidRPr="00AA423D">
              <w:rPr>
                <w:rFonts w:cstheme="minorHAnsi"/>
                <w:sz w:val="22"/>
                <w:szCs w:val="22"/>
                <w:lang w:val="en"/>
              </w:rPr>
              <w:t xml:space="preserve">(SCIE, 2012). </w:t>
            </w:r>
            <w:r w:rsidRPr="00AA423D">
              <w:rPr>
                <w:rFonts w:cstheme="minorHAnsi"/>
                <w:sz w:val="22"/>
                <w:szCs w:val="22"/>
              </w:rPr>
              <w:t xml:space="preserve">The role here is to consider whether the local authority needs to act to safeguard or promote the child’s welfare (Welsh Government, 2021a) and whether an initial case conference needs to be held. </w:t>
            </w:r>
          </w:p>
          <w:p w14:paraId="7FFBEB25" w14:textId="77777777" w:rsidR="00A42E6B" w:rsidRPr="00AA423D" w:rsidRDefault="00A42E6B" w:rsidP="00A42E6B">
            <w:pPr>
              <w:spacing w:line="276" w:lineRule="auto"/>
              <w:rPr>
                <w:sz w:val="22"/>
                <w:szCs w:val="22"/>
                <w:u w:val="single"/>
              </w:rPr>
            </w:pPr>
          </w:p>
          <w:p w14:paraId="38039045" w14:textId="7A9CDE04" w:rsidR="00A42E6B" w:rsidRDefault="00A42E6B" w:rsidP="00A42E6B">
            <w:pPr>
              <w:spacing w:line="276" w:lineRule="auto"/>
              <w:rPr>
                <w:sz w:val="22"/>
                <w:szCs w:val="22"/>
              </w:rPr>
            </w:pPr>
            <w:r w:rsidRPr="00AA423D">
              <w:rPr>
                <w:sz w:val="22"/>
                <w:szCs w:val="22"/>
              </w:rPr>
              <w:t>To comply with legislation, statutory guidance sets out what local authorities should do to comply with the law (Family Rights Group, 2022)</w:t>
            </w:r>
            <w:r w:rsidRPr="00AA423D">
              <w:rPr>
                <w:color w:val="7030A0"/>
                <w:sz w:val="22"/>
                <w:szCs w:val="22"/>
              </w:rPr>
              <w:t xml:space="preserve">.  </w:t>
            </w:r>
            <w:r w:rsidRPr="00AA423D">
              <w:rPr>
                <w:sz w:val="22"/>
                <w:szCs w:val="22"/>
              </w:rPr>
              <w:t>The statutory guidance in relation to Part 7 (Safeguarding) of the SSWBA 2014 is the “Working together to safeguard people”. This consists of different volumes to provide guidance on particular areas of safeguarding, for example volume 7 provides guidance on safeguarding children from Child Sexual Exploitation (Welsh Government, 2021b).</w:t>
            </w:r>
          </w:p>
          <w:p w14:paraId="6EFE4127" w14:textId="77777777" w:rsidR="00A42E6B" w:rsidRPr="00AA423D" w:rsidRDefault="00A42E6B" w:rsidP="00A42E6B">
            <w:pPr>
              <w:spacing w:line="276" w:lineRule="auto"/>
              <w:rPr>
                <w:sz w:val="22"/>
                <w:szCs w:val="22"/>
              </w:rPr>
            </w:pPr>
          </w:p>
          <w:p w14:paraId="7BC26F38" w14:textId="120B0AA2" w:rsidR="00A42E6B" w:rsidRDefault="00A42E6B" w:rsidP="00A42E6B">
            <w:pPr>
              <w:spacing w:line="276" w:lineRule="auto"/>
              <w:rPr>
                <w:rFonts w:cstheme="minorHAnsi"/>
                <w:sz w:val="22"/>
                <w:szCs w:val="22"/>
                <w:shd w:val="clear" w:color="auto" w:fill="FFFFFF"/>
              </w:rPr>
            </w:pPr>
            <w:r w:rsidRPr="00AA423D">
              <w:rPr>
                <w:sz w:val="22"/>
                <w:szCs w:val="22"/>
              </w:rPr>
              <w:t>The guidance considers the European Convention of Human Rights (1998) and the United Nations Convention on the Rights of the Child (1992).</w:t>
            </w:r>
            <w:r w:rsidRPr="00AA423D">
              <w:rPr>
                <w:rFonts w:cstheme="minorHAnsi"/>
                <w:sz w:val="22"/>
                <w:szCs w:val="22"/>
                <w:lang w:val="en"/>
              </w:rPr>
              <w:t xml:space="preserve"> The United Nations Convention on the Rights of the </w:t>
            </w:r>
            <w:r w:rsidRPr="00AA423D">
              <w:rPr>
                <w:rFonts w:cstheme="minorHAnsi"/>
                <w:sz w:val="22"/>
                <w:szCs w:val="22"/>
                <w:lang w:val="en"/>
              </w:rPr>
              <w:lastRenderedPageBreak/>
              <w:t>Child (UNCRC) has 54 articles that cover all aspects of a child’s life including the right to be safe from violence (UNICEF, 2022).  In 2004, the Welsh Government took the right of the child further by adopting the UNCRC as the foundation of any policies they make involving children and young people (Welsh Government, 2022</w:t>
            </w:r>
            <w:r w:rsidR="00E71557">
              <w:rPr>
                <w:rFonts w:cstheme="minorHAnsi"/>
                <w:sz w:val="22"/>
                <w:szCs w:val="22"/>
                <w:lang w:val="en"/>
              </w:rPr>
              <w:t>b</w:t>
            </w:r>
            <w:r w:rsidRPr="00AA423D">
              <w:rPr>
                <w:rFonts w:cstheme="minorHAnsi"/>
                <w:sz w:val="22"/>
                <w:szCs w:val="22"/>
                <w:lang w:val="en"/>
              </w:rPr>
              <w:t>).</w:t>
            </w:r>
            <w:r w:rsidRPr="00AA423D">
              <w:rPr>
                <w:rFonts w:ascii="inherit" w:hAnsi="inherit" w:cs="Courier New"/>
                <w:sz w:val="22"/>
                <w:szCs w:val="22"/>
                <w:lang w:val="en"/>
              </w:rPr>
              <w:t xml:space="preserve"> </w:t>
            </w:r>
            <w:r w:rsidRPr="00AA423D">
              <w:rPr>
                <w:rFonts w:cstheme="minorHAnsi"/>
                <w:sz w:val="22"/>
                <w:szCs w:val="22"/>
                <w:shd w:val="clear" w:color="auto" w:fill="FFFFFF"/>
              </w:rPr>
              <w:t xml:space="preserve">The guidance also supports safeguarding boards to ensure that they work effectively.  An important part of reviewing the effectiveness of safeguarding procedures and practices is through the learning from child practice reviews (Welsh Government, 2015). </w:t>
            </w:r>
          </w:p>
          <w:p w14:paraId="144EB58B" w14:textId="77777777" w:rsidR="00A42E6B" w:rsidRPr="00AA423D" w:rsidRDefault="00A42E6B" w:rsidP="00A42E6B">
            <w:pPr>
              <w:spacing w:line="276" w:lineRule="auto"/>
              <w:rPr>
                <w:rFonts w:ascii="inherit" w:hAnsi="inherit" w:cs="Courier New"/>
                <w:sz w:val="22"/>
                <w:szCs w:val="22"/>
                <w:lang w:val="en"/>
              </w:rPr>
            </w:pPr>
          </w:p>
          <w:p w14:paraId="6D31B479" w14:textId="7E78EFF6" w:rsidR="00A42E6B" w:rsidRDefault="00A42E6B" w:rsidP="00A42E6B">
            <w:pPr>
              <w:spacing w:line="276" w:lineRule="auto"/>
              <w:rPr>
                <w:rFonts w:cstheme="minorHAnsi"/>
                <w:sz w:val="22"/>
                <w:szCs w:val="22"/>
              </w:rPr>
            </w:pPr>
            <w:r w:rsidRPr="00AA423D">
              <w:rPr>
                <w:sz w:val="22"/>
                <w:szCs w:val="22"/>
              </w:rPr>
              <w:t xml:space="preserve">The Wales Safeguarding Procedures 2019 which replaced the All Wales Child Procedures 2008 are procedures that are underpinned by the child centred and preventative duties of the SSWBA 2014.  </w:t>
            </w:r>
            <w:r w:rsidRPr="00AA423D">
              <w:rPr>
                <w:rFonts w:cstheme="minorHAnsi"/>
                <w:sz w:val="22"/>
                <w:szCs w:val="22"/>
              </w:rPr>
              <w:t>The procedures provide professionals with information regarding their role which includes information such as how to identify and respond to concerns, details on categories of abuse, details of child protection conferences and the process of these</w:t>
            </w:r>
            <w:bookmarkStart w:id="1" w:name="_Hlk122456327"/>
            <w:r w:rsidRPr="00AA423D">
              <w:rPr>
                <w:rFonts w:cstheme="minorHAnsi"/>
                <w:sz w:val="22"/>
                <w:szCs w:val="22"/>
              </w:rPr>
              <w:t>.</w:t>
            </w:r>
          </w:p>
          <w:p w14:paraId="009AA496" w14:textId="77777777" w:rsidR="00A42E6B" w:rsidRPr="00AA423D" w:rsidRDefault="00A42E6B" w:rsidP="00A42E6B">
            <w:pPr>
              <w:spacing w:line="276" w:lineRule="auto"/>
              <w:rPr>
                <w:sz w:val="22"/>
                <w:szCs w:val="22"/>
              </w:rPr>
            </w:pPr>
          </w:p>
          <w:bookmarkEnd w:id="1"/>
          <w:p w14:paraId="26E56CFC" w14:textId="77777777" w:rsidR="00A42E6B" w:rsidRPr="00AA423D" w:rsidRDefault="00A42E6B" w:rsidP="00A42E6B">
            <w:pPr>
              <w:spacing w:line="276" w:lineRule="auto"/>
              <w:rPr>
                <w:rFonts w:cstheme="minorHAnsi"/>
                <w:sz w:val="22"/>
                <w:szCs w:val="22"/>
                <w:shd w:val="clear" w:color="auto" w:fill="FFFFFF"/>
              </w:rPr>
            </w:pPr>
            <w:r w:rsidRPr="00AA423D">
              <w:rPr>
                <w:rFonts w:cstheme="minorHAnsi"/>
                <w:sz w:val="22"/>
                <w:szCs w:val="22"/>
                <w:shd w:val="clear" w:color="auto" w:fill="FFFFFF"/>
              </w:rPr>
              <w:t xml:space="preserve">These procedures and safeguarding legislation support the main principles that underpin effective safeguarding systems.  This is that the wishes, needs and wellbeing of the child are put first, that professionals understand what actions they should take and that all professionals share appropriate information regarding any concerns about a child. </w:t>
            </w:r>
          </w:p>
          <w:p w14:paraId="7F28D44F" w14:textId="77777777" w:rsidR="00A42E6B" w:rsidRDefault="00A42E6B" w:rsidP="00FF7EBB">
            <w:pPr>
              <w:jc w:val="both"/>
              <w:rPr>
                <w:sz w:val="24"/>
                <w:szCs w:val="24"/>
              </w:rPr>
            </w:pPr>
          </w:p>
          <w:p w14:paraId="0318E819" w14:textId="73D62D83" w:rsidR="00FC0334" w:rsidRPr="00A42E6B" w:rsidRDefault="00A42E6B" w:rsidP="00FF7EBB">
            <w:pPr>
              <w:jc w:val="both"/>
              <w:rPr>
                <w:sz w:val="22"/>
                <w:szCs w:val="22"/>
              </w:rPr>
            </w:pPr>
            <w:r w:rsidRPr="00A42E6B">
              <w:rPr>
                <w:sz w:val="22"/>
                <w:szCs w:val="22"/>
              </w:rPr>
              <w:t>540 words</w:t>
            </w:r>
          </w:p>
          <w:p w14:paraId="60D8C669" w14:textId="77777777" w:rsidR="00FC0334" w:rsidRDefault="00FC0334" w:rsidP="00FF7EBB">
            <w:pPr>
              <w:jc w:val="both"/>
              <w:rPr>
                <w:sz w:val="24"/>
                <w:szCs w:val="24"/>
              </w:rPr>
            </w:pPr>
          </w:p>
          <w:p w14:paraId="03BD6D93" w14:textId="56AD433A" w:rsidR="007A628F" w:rsidRPr="008B28E7" w:rsidRDefault="007A628F" w:rsidP="00A82549">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76BEE2E7"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1413B26E" w14:textId="52B0D8D6" w:rsidR="00B6119A" w:rsidRDefault="00B6119A" w:rsidP="00FC0334">
            <w:pPr>
              <w:jc w:val="both"/>
              <w:rPr>
                <w:sz w:val="24"/>
                <w:szCs w:val="24"/>
              </w:rPr>
            </w:pPr>
          </w:p>
          <w:p w14:paraId="4B93A6B0" w14:textId="77777777" w:rsidR="00B6119A" w:rsidRDefault="00B6119A" w:rsidP="00B6119A">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657B7064" w14:textId="77777777" w:rsidR="00B6119A" w:rsidRDefault="00B6119A" w:rsidP="00FC0334">
            <w:pPr>
              <w:jc w:val="both"/>
              <w:rPr>
                <w:sz w:val="24"/>
                <w:szCs w:val="24"/>
              </w:rPr>
            </w:pPr>
          </w:p>
          <w:p w14:paraId="7260F3E7" w14:textId="5A1968FA" w:rsidR="00BA28F7" w:rsidRDefault="00BA28F7" w:rsidP="00BA28F7">
            <w:pPr>
              <w:spacing w:line="276" w:lineRule="auto"/>
              <w:jc w:val="both"/>
              <w:rPr>
                <w:rFonts w:cstheme="minorHAnsi"/>
                <w:sz w:val="22"/>
                <w:szCs w:val="24"/>
                <w:lang w:val="en"/>
              </w:rPr>
            </w:pPr>
            <w:r w:rsidRPr="003C26F3">
              <w:rPr>
                <w:rFonts w:cstheme="minorHAnsi"/>
                <w:sz w:val="22"/>
                <w:szCs w:val="24"/>
                <w:lang w:val="en"/>
              </w:rPr>
              <w:t xml:space="preserve">The introduction of the Social Services and Wellbeing (Wales) Act 2014 (SSWBA) and the Wales Safeguarding Procedures (2019) has brought together safeguarding procedures for both adults and children. With all the procedures and practice guidelines within social work, by uniting the procedures that detail the duty in reporting safeguarding concerns whether an adult or a child, the aim is that the role of all professionals is clear. </w:t>
            </w:r>
          </w:p>
          <w:p w14:paraId="1BDD1A76" w14:textId="77777777" w:rsidR="00BA28F7" w:rsidRPr="003C26F3" w:rsidRDefault="00BA28F7" w:rsidP="00BA28F7">
            <w:pPr>
              <w:spacing w:line="276" w:lineRule="auto"/>
              <w:jc w:val="both"/>
              <w:rPr>
                <w:rFonts w:cstheme="minorHAnsi"/>
                <w:sz w:val="22"/>
                <w:szCs w:val="24"/>
                <w:lang w:val="en"/>
              </w:rPr>
            </w:pPr>
          </w:p>
          <w:p w14:paraId="0C79D10B" w14:textId="0C4CD9F7" w:rsidR="00BA28F7" w:rsidRDefault="00BA28F7" w:rsidP="00BA28F7">
            <w:pPr>
              <w:spacing w:line="276" w:lineRule="auto"/>
              <w:jc w:val="both"/>
              <w:rPr>
                <w:rFonts w:cstheme="minorHAnsi"/>
                <w:sz w:val="22"/>
                <w:szCs w:val="24"/>
                <w:lang w:val="en"/>
              </w:rPr>
            </w:pPr>
            <w:r w:rsidRPr="003C26F3">
              <w:rPr>
                <w:rFonts w:cstheme="minorHAnsi"/>
                <w:sz w:val="22"/>
                <w:szCs w:val="24"/>
                <w:lang w:val="en"/>
              </w:rPr>
              <w:t xml:space="preserve">Although the signs of what would cause safeguarding concern can be similar for both children and adults there are some major differences between how children and adults at risk are protected.  Although the SSWBA (2014) now gives more guidelines under part 7 of the Act, children have additional legislation and thus greater protection from abuse.  The Children’s Act 1989 and 2004 gives more statutory power for social workers to intervene, meaning that children can be removed from their parents care in order to protect them.  </w:t>
            </w:r>
          </w:p>
          <w:p w14:paraId="7B529BF0" w14:textId="77777777" w:rsidR="00BA28F7" w:rsidRPr="003C26F3" w:rsidRDefault="00BA28F7" w:rsidP="00BA28F7">
            <w:pPr>
              <w:spacing w:line="276" w:lineRule="auto"/>
              <w:jc w:val="both"/>
              <w:rPr>
                <w:rFonts w:cstheme="minorHAnsi"/>
                <w:sz w:val="22"/>
                <w:szCs w:val="24"/>
                <w:lang w:val="en"/>
              </w:rPr>
            </w:pPr>
          </w:p>
          <w:p w14:paraId="38554AAB" w14:textId="4F256C2C" w:rsidR="00BA28F7" w:rsidRDefault="00BA28F7" w:rsidP="00BA28F7">
            <w:pPr>
              <w:spacing w:line="276" w:lineRule="auto"/>
              <w:jc w:val="both"/>
              <w:rPr>
                <w:rFonts w:cstheme="minorHAnsi"/>
                <w:sz w:val="22"/>
                <w:szCs w:val="24"/>
                <w:lang w:val="en"/>
              </w:rPr>
            </w:pPr>
            <w:r w:rsidRPr="003C26F3">
              <w:rPr>
                <w:rFonts w:cstheme="minorHAnsi"/>
                <w:sz w:val="22"/>
                <w:szCs w:val="22"/>
                <w:lang w:val="en"/>
              </w:rPr>
              <w:t xml:space="preserve">The SSWBA 2014 have aimed to strengthen the powers within adult services by introducing the Adult Protection and Support Orders (APSO) under section 127, Part 7 of the Act.  This </w:t>
            </w:r>
            <w:r w:rsidRPr="003C26F3">
              <w:rPr>
                <w:rFonts w:cstheme="minorHAnsi"/>
                <w:sz w:val="22"/>
                <w:szCs w:val="24"/>
                <w:lang w:val="en"/>
              </w:rPr>
              <w:t xml:space="preserve">enables an authorised officer to speak in private with a person suspected of being an adult at risk and allows them </w:t>
            </w:r>
            <w:r w:rsidRPr="003C26F3">
              <w:rPr>
                <w:rFonts w:cstheme="minorHAnsi"/>
                <w:sz w:val="22"/>
                <w:szCs w:val="24"/>
                <w:lang w:val="en"/>
              </w:rPr>
              <w:lastRenderedPageBreak/>
              <w:t>to ascertain whether the person is making decisions freely (</w:t>
            </w:r>
            <w:r w:rsidR="004F048D">
              <w:rPr>
                <w:rFonts w:cstheme="minorHAnsi"/>
                <w:sz w:val="22"/>
                <w:szCs w:val="24"/>
                <w:lang w:val="en"/>
              </w:rPr>
              <w:t>XXX</w:t>
            </w:r>
            <w:r w:rsidRPr="003C26F3">
              <w:rPr>
                <w:rFonts w:cstheme="minorHAnsi"/>
                <w:sz w:val="22"/>
                <w:szCs w:val="24"/>
                <w:lang w:val="en"/>
              </w:rPr>
              <w:t xml:space="preserve"> Wales Safeguarding Board, 2022).  The APSO does not however give power to remove the individual from the situation meaning that the individual may continue to be at risk.  </w:t>
            </w:r>
          </w:p>
          <w:p w14:paraId="3575A087" w14:textId="77777777" w:rsidR="00BA28F7" w:rsidRPr="003C26F3" w:rsidRDefault="00BA28F7" w:rsidP="00BA28F7">
            <w:pPr>
              <w:spacing w:line="276" w:lineRule="auto"/>
              <w:jc w:val="both"/>
              <w:rPr>
                <w:rFonts w:cstheme="minorHAnsi"/>
                <w:sz w:val="22"/>
                <w:szCs w:val="24"/>
                <w:lang w:val="en"/>
              </w:rPr>
            </w:pPr>
          </w:p>
          <w:p w14:paraId="3B1E5A63" w14:textId="55494C4A" w:rsidR="00BA28F7" w:rsidRPr="003C26F3" w:rsidRDefault="00BA28F7" w:rsidP="00BA28F7">
            <w:pPr>
              <w:spacing w:line="276" w:lineRule="auto"/>
              <w:jc w:val="both"/>
              <w:rPr>
                <w:rFonts w:cstheme="minorHAnsi"/>
                <w:sz w:val="22"/>
                <w:szCs w:val="22"/>
                <w:lang w:val="en"/>
              </w:rPr>
            </w:pPr>
            <w:r w:rsidRPr="003C26F3">
              <w:rPr>
                <w:rFonts w:cstheme="minorHAnsi"/>
                <w:sz w:val="22"/>
                <w:szCs w:val="24"/>
                <w:lang w:val="en"/>
              </w:rPr>
              <w:t xml:space="preserve">As children are deemed more vulnerable and not have the capacity to make decisions these extra powers are there to protect them.  With adults considered to be at risk, it ultimately comes down to whether they have the capacity to make that decision.  </w:t>
            </w:r>
            <w:r w:rsidRPr="003C26F3">
              <w:rPr>
                <w:rFonts w:cstheme="minorHAnsi"/>
                <w:sz w:val="22"/>
                <w:szCs w:val="22"/>
                <w:lang w:val="en"/>
              </w:rPr>
              <w:t>In accordance with the principles of the Mental Capacity Act (2005), professionals should assume that all individuals have the ability to make decisions. An individual should not be considered as lacking mental capacity because they make decisions that may be considered unwise.  In contrast the Mental Capacity Act does not apply to children under the age of 16.  Instead when looking at a child’s ability to make decisions about things that affect them, professionals look at whether they are mature enough to make the decision.  This is referred as “Gillick competent”. To assess Gillick competency professionals must take into consideration several things including their understanding of the matter and what it involves (NSPCC, 2022).</w:t>
            </w:r>
            <w:r w:rsidRPr="003C26F3">
              <w:rPr>
                <w:rFonts w:cstheme="minorHAnsi"/>
                <w:sz w:val="22"/>
                <w:szCs w:val="24"/>
                <w:lang w:val="en"/>
              </w:rPr>
              <w:t xml:space="preserve"> Although emphasis is placed on listening to the child’s wishes, thoughts and feelings (</w:t>
            </w:r>
            <w:bookmarkStart w:id="2" w:name="_Hlk122687278"/>
            <w:r w:rsidR="00C2371C">
              <w:rPr>
                <w:rFonts w:cstheme="minorHAnsi"/>
                <w:sz w:val="22"/>
                <w:szCs w:val="24"/>
                <w:lang w:val="en"/>
              </w:rPr>
              <w:t>XXX</w:t>
            </w:r>
            <w:r w:rsidRPr="003C26F3">
              <w:rPr>
                <w:rFonts w:cstheme="minorHAnsi"/>
                <w:sz w:val="22"/>
                <w:szCs w:val="24"/>
                <w:lang w:val="en"/>
              </w:rPr>
              <w:t xml:space="preserve"> Safeguarding Partnership, 2022</w:t>
            </w:r>
            <w:bookmarkEnd w:id="2"/>
            <w:r w:rsidRPr="003C26F3">
              <w:rPr>
                <w:rFonts w:cstheme="minorHAnsi"/>
                <w:sz w:val="22"/>
                <w:szCs w:val="24"/>
                <w:lang w:val="en"/>
              </w:rPr>
              <w:t>) professionals ultimately decide what is in their best interest.  With adults who have capacity they can choose to remain in a risky situation.</w:t>
            </w:r>
          </w:p>
          <w:p w14:paraId="795C6051" w14:textId="441CA326" w:rsidR="00FC0334" w:rsidRDefault="00FC0334" w:rsidP="00FC0334">
            <w:pPr>
              <w:jc w:val="both"/>
              <w:rPr>
                <w:sz w:val="24"/>
                <w:szCs w:val="24"/>
              </w:rPr>
            </w:pPr>
          </w:p>
          <w:p w14:paraId="19ABB1CA" w14:textId="4782F07A" w:rsidR="00BA28F7" w:rsidRPr="00BA28F7" w:rsidRDefault="00BA28F7" w:rsidP="00FC0334">
            <w:pPr>
              <w:jc w:val="both"/>
              <w:rPr>
                <w:sz w:val="22"/>
                <w:szCs w:val="22"/>
              </w:rPr>
            </w:pPr>
            <w:r w:rsidRPr="00BA28F7">
              <w:rPr>
                <w:sz w:val="22"/>
                <w:szCs w:val="22"/>
              </w:rPr>
              <w:t>438 words</w:t>
            </w:r>
          </w:p>
          <w:p w14:paraId="438BF787" w14:textId="77777777" w:rsidR="00FC0334" w:rsidRPr="006108C9" w:rsidRDefault="00FC0334" w:rsidP="00FC0334">
            <w:pPr>
              <w:jc w:val="both"/>
              <w:rPr>
                <w:sz w:val="24"/>
                <w:szCs w:val="24"/>
              </w:rPr>
            </w:pPr>
          </w:p>
          <w:p w14:paraId="08760B3D" w14:textId="77777777" w:rsidR="00FC0334" w:rsidRPr="006108C9" w:rsidRDefault="00FC0334" w:rsidP="00B6119A">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FB558" w14:textId="77777777" w:rsidR="005E74AC" w:rsidRDefault="005E74AC">
      <w:r>
        <w:separator/>
      </w:r>
    </w:p>
  </w:endnote>
  <w:endnote w:type="continuationSeparator" w:id="0">
    <w:p w14:paraId="0F4C657A" w14:textId="77777777" w:rsidR="005E74AC" w:rsidRDefault="005E74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18635" w14:textId="77777777" w:rsidR="005E74AC" w:rsidRDefault="005E74AC">
      <w:r>
        <w:separator/>
      </w:r>
    </w:p>
  </w:footnote>
  <w:footnote w:type="continuationSeparator" w:id="0">
    <w:p w14:paraId="0FC04A97" w14:textId="77777777" w:rsidR="005E74AC" w:rsidRDefault="005E74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98C"/>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52C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772B"/>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048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74AC"/>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1E02"/>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831"/>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4EC8"/>
    <w:rsid w:val="009A5F3B"/>
    <w:rsid w:val="009A5F79"/>
    <w:rsid w:val="009A6F87"/>
    <w:rsid w:val="009B0B61"/>
    <w:rsid w:val="009B28C0"/>
    <w:rsid w:val="009B3178"/>
    <w:rsid w:val="009B3E46"/>
    <w:rsid w:val="009B7136"/>
    <w:rsid w:val="009C337F"/>
    <w:rsid w:val="009C4C2E"/>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2E6B"/>
    <w:rsid w:val="00A47621"/>
    <w:rsid w:val="00A479CD"/>
    <w:rsid w:val="00A50CFC"/>
    <w:rsid w:val="00A54D67"/>
    <w:rsid w:val="00A55A3F"/>
    <w:rsid w:val="00A5656A"/>
    <w:rsid w:val="00A60103"/>
    <w:rsid w:val="00A652F6"/>
    <w:rsid w:val="00A65861"/>
    <w:rsid w:val="00A732EA"/>
    <w:rsid w:val="00A7489E"/>
    <w:rsid w:val="00A8015F"/>
    <w:rsid w:val="00A82549"/>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119A"/>
    <w:rsid w:val="00B6548F"/>
    <w:rsid w:val="00B71A32"/>
    <w:rsid w:val="00B7502A"/>
    <w:rsid w:val="00B77305"/>
    <w:rsid w:val="00B774BD"/>
    <w:rsid w:val="00B82CC2"/>
    <w:rsid w:val="00B84A89"/>
    <w:rsid w:val="00B9256C"/>
    <w:rsid w:val="00B92BEF"/>
    <w:rsid w:val="00B94443"/>
    <w:rsid w:val="00B9689A"/>
    <w:rsid w:val="00B97056"/>
    <w:rsid w:val="00BA28F7"/>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71C"/>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6506"/>
    <w:rsid w:val="00E60F42"/>
    <w:rsid w:val="00E6746C"/>
    <w:rsid w:val="00E7086E"/>
    <w:rsid w:val="00E71248"/>
    <w:rsid w:val="00E71557"/>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4</Pages>
  <Words>1127</Words>
  <Characters>6429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Jenine Cassim (OEDOLION)</cp:lastModifiedBy>
  <cp:revision>12</cp:revision>
  <cp:lastPrinted>2020-02-11T19:20:00Z</cp:lastPrinted>
  <dcterms:created xsi:type="dcterms:W3CDTF">2023-02-18T10:30:00Z</dcterms:created>
  <dcterms:modified xsi:type="dcterms:W3CDTF">2023-02-23T17:02:00Z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