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7D4EB" w14:textId="3CBD73A5" w:rsidR="005E4390" w:rsidRDefault="004413BE" w:rsidP="004E01B0">
      <w:pPr>
        <w:spacing w:line="360" w:lineRule="auto"/>
        <w:jc w:val="center"/>
        <w:rPr>
          <w:rFonts w:ascii="Arial" w:hAnsi="Arial" w:cs="Arial"/>
          <w:b/>
          <w:bCs/>
          <w:sz w:val="24"/>
          <w:szCs w:val="24"/>
        </w:rPr>
      </w:pPr>
      <w:r w:rsidRPr="004413BE">
        <w:rPr>
          <w:rFonts w:ascii="Arial" w:hAnsi="Arial" w:cs="Arial"/>
          <w:b/>
          <w:bCs/>
          <w:sz w:val="24"/>
          <w:szCs w:val="24"/>
        </w:rPr>
        <w:t>Critical Review Portfolio: Maria Montessori and Benjamin Bloom - A Comparative Analysis of Two Influential Educators</w:t>
      </w:r>
    </w:p>
    <w:p w14:paraId="4B0A6831" w14:textId="77777777" w:rsidR="005E4390" w:rsidRDefault="005E4390">
      <w:pPr>
        <w:rPr>
          <w:rFonts w:ascii="Arial" w:hAnsi="Arial" w:cs="Arial"/>
          <w:b/>
          <w:bCs/>
          <w:sz w:val="24"/>
          <w:szCs w:val="24"/>
        </w:rPr>
      </w:pPr>
      <w:r>
        <w:rPr>
          <w:rFonts w:ascii="Arial" w:hAnsi="Arial" w:cs="Arial"/>
          <w:b/>
          <w:bCs/>
          <w:sz w:val="24"/>
          <w:szCs w:val="24"/>
        </w:rPr>
        <w:br w:type="page"/>
      </w:r>
    </w:p>
    <w:sdt>
      <w:sdtPr>
        <w:rPr>
          <w:rFonts w:ascii="Arial" w:eastAsiaTheme="minorHAnsi" w:hAnsi="Arial" w:cs="Arial"/>
          <w:b/>
          <w:bCs/>
          <w:color w:val="000000" w:themeColor="text1"/>
          <w:sz w:val="28"/>
          <w:szCs w:val="28"/>
          <w:lang w:val="en-GB"/>
          <w14:ligatures w14:val="standardContextual"/>
        </w:rPr>
        <w:id w:val="-1183578349"/>
        <w:docPartObj>
          <w:docPartGallery w:val="Table of Contents"/>
          <w:docPartUnique/>
        </w:docPartObj>
      </w:sdtPr>
      <w:sdtEndPr>
        <w:rPr>
          <w:rFonts w:asciiTheme="minorHAnsi" w:hAnsiTheme="minorHAnsi" w:cstheme="minorBidi"/>
          <w:noProof/>
          <w:color w:val="auto"/>
          <w:sz w:val="22"/>
          <w:szCs w:val="22"/>
        </w:rPr>
      </w:sdtEndPr>
      <w:sdtContent>
        <w:p w14:paraId="5C96F952" w14:textId="639BC690" w:rsidR="00C32CA2" w:rsidRPr="00C32CA2" w:rsidRDefault="00C32CA2">
          <w:pPr>
            <w:pStyle w:val="Titolosommario"/>
            <w:rPr>
              <w:rFonts w:ascii="Arial" w:hAnsi="Arial" w:cs="Arial"/>
              <w:b/>
              <w:bCs/>
              <w:color w:val="000000" w:themeColor="text1"/>
              <w:sz w:val="28"/>
              <w:szCs w:val="28"/>
            </w:rPr>
          </w:pPr>
          <w:r w:rsidRPr="00C32CA2">
            <w:rPr>
              <w:rFonts w:ascii="Arial" w:hAnsi="Arial" w:cs="Arial"/>
              <w:b/>
              <w:bCs/>
              <w:color w:val="000000" w:themeColor="text1"/>
              <w:sz w:val="28"/>
              <w:szCs w:val="28"/>
            </w:rPr>
            <w:t>Table of Contents</w:t>
          </w:r>
        </w:p>
        <w:p w14:paraId="28DE54C4" w14:textId="3A45CE29" w:rsidR="00C32CA2" w:rsidRDefault="00C32CA2">
          <w:pPr>
            <w:pStyle w:val="Sommario1"/>
            <w:tabs>
              <w:tab w:val="right" w:leader="dot" w:pos="9350"/>
            </w:tabs>
            <w:rPr>
              <w:noProof/>
            </w:rPr>
          </w:pPr>
          <w:r>
            <w:fldChar w:fldCharType="begin"/>
          </w:r>
          <w:r>
            <w:instrText xml:space="preserve"> TOC \o "1-3" \h \z \u </w:instrText>
          </w:r>
          <w:r>
            <w:fldChar w:fldCharType="separate"/>
          </w:r>
          <w:hyperlink w:anchor="_Toc218719446" w:history="1">
            <w:r w:rsidRPr="009275E2">
              <w:rPr>
                <w:rStyle w:val="Collegamentoipertestuale"/>
                <w:rFonts w:ascii="Arial" w:hAnsi="Arial" w:cs="Arial"/>
                <w:b/>
                <w:bCs/>
                <w:noProof/>
              </w:rPr>
              <w:t>Introduction</w:t>
            </w:r>
            <w:r>
              <w:rPr>
                <w:noProof/>
                <w:webHidden/>
              </w:rPr>
              <w:tab/>
            </w:r>
            <w:r>
              <w:rPr>
                <w:noProof/>
                <w:webHidden/>
              </w:rPr>
              <w:fldChar w:fldCharType="begin"/>
            </w:r>
            <w:r>
              <w:rPr>
                <w:noProof/>
                <w:webHidden/>
              </w:rPr>
              <w:instrText xml:space="preserve"> PAGEREF _Toc218719446 \h </w:instrText>
            </w:r>
            <w:r>
              <w:rPr>
                <w:noProof/>
                <w:webHidden/>
              </w:rPr>
            </w:r>
            <w:r>
              <w:rPr>
                <w:noProof/>
                <w:webHidden/>
              </w:rPr>
              <w:fldChar w:fldCharType="separate"/>
            </w:r>
            <w:r>
              <w:rPr>
                <w:noProof/>
                <w:webHidden/>
              </w:rPr>
              <w:t>3</w:t>
            </w:r>
            <w:r>
              <w:rPr>
                <w:noProof/>
                <w:webHidden/>
              </w:rPr>
              <w:fldChar w:fldCharType="end"/>
            </w:r>
          </w:hyperlink>
        </w:p>
        <w:p w14:paraId="7466A151" w14:textId="405FCE2F" w:rsidR="00C32CA2" w:rsidRDefault="00C32CA2">
          <w:pPr>
            <w:pStyle w:val="Sommario1"/>
            <w:tabs>
              <w:tab w:val="right" w:leader="dot" w:pos="9350"/>
            </w:tabs>
            <w:rPr>
              <w:noProof/>
            </w:rPr>
          </w:pPr>
          <w:hyperlink w:anchor="_Toc218719447" w:history="1">
            <w:r w:rsidRPr="009275E2">
              <w:rPr>
                <w:rStyle w:val="Collegamentoipertestuale"/>
                <w:rFonts w:ascii="Arial" w:hAnsi="Arial" w:cs="Arial"/>
                <w:b/>
                <w:bCs/>
                <w:noProof/>
              </w:rPr>
              <w:t>Historical Context and Biographical Background</w:t>
            </w:r>
            <w:r>
              <w:rPr>
                <w:noProof/>
                <w:webHidden/>
              </w:rPr>
              <w:tab/>
            </w:r>
            <w:r>
              <w:rPr>
                <w:noProof/>
                <w:webHidden/>
              </w:rPr>
              <w:fldChar w:fldCharType="begin"/>
            </w:r>
            <w:r>
              <w:rPr>
                <w:noProof/>
                <w:webHidden/>
              </w:rPr>
              <w:instrText xml:space="preserve"> PAGEREF _Toc218719447 \h </w:instrText>
            </w:r>
            <w:r>
              <w:rPr>
                <w:noProof/>
                <w:webHidden/>
              </w:rPr>
            </w:r>
            <w:r>
              <w:rPr>
                <w:noProof/>
                <w:webHidden/>
              </w:rPr>
              <w:fldChar w:fldCharType="separate"/>
            </w:r>
            <w:r>
              <w:rPr>
                <w:noProof/>
                <w:webHidden/>
              </w:rPr>
              <w:t>4</w:t>
            </w:r>
            <w:r>
              <w:rPr>
                <w:noProof/>
                <w:webHidden/>
              </w:rPr>
              <w:fldChar w:fldCharType="end"/>
            </w:r>
          </w:hyperlink>
        </w:p>
        <w:p w14:paraId="20479085" w14:textId="5AFE324B" w:rsidR="00C32CA2" w:rsidRDefault="00C32CA2">
          <w:pPr>
            <w:pStyle w:val="Sommario1"/>
            <w:tabs>
              <w:tab w:val="right" w:leader="dot" w:pos="9350"/>
            </w:tabs>
            <w:rPr>
              <w:noProof/>
            </w:rPr>
          </w:pPr>
          <w:hyperlink w:anchor="_Toc218719448" w:history="1">
            <w:r w:rsidRPr="009275E2">
              <w:rPr>
                <w:rStyle w:val="Collegamentoipertestuale"/>
                <w:rFonts w:ascii="Arial" w:hAnsi="Arial" w:cs="Arial"/>
                <w:b/>
                <w:bCs/>
                <w:noProof/>
              </w:rPr>
              <w:t>Exploration of Theories and Pedagogical Practices</w:t>
            </w:r>
            <w:r>
              <w:rPr>
                <w:noProof/>
                <w:webHidden/>
              </w:rPr>
              <w:tab/>
            </w:r>
            <w:r>
              <w:rPr>
                <w:noProof/>
                <w:webHidden/>
              </w:rPr>
              <w:fldChar w:fldCharType="begin"/>
            </w:r>
            <w:r>
              <w:rPr>
                <w:noProof/>
                <w:webHidden/>
              </w:rPr>
              <w:instrText xml:space="preserve"> PAGEREF _Toc218719448 \h </w:instrText>
            </w:r>
            <w:r>
              <w:rPr>
                <w:noProof/>
                <w:webHidden/>
              </w:rPr>
            </w:r>
            <w:r>
              <w:rPr>
                <w:noProof/>
                <w:webHidden/>
              </w:rPr>
              <w:fldChar w:fldCharType="separate"/>
            </w:r>
            <w:r>
              <w:rPr>
                <w:noProof/>
                <w:webHidden/>
              </w:rPr>
              <w:t>5</w:t>
            </w:r>
            <w:r>
              <w:rPr>
                <w:noProof/>
                <w:webHidden/>
              </w:rPr>
              <w:fldChar w:fldCharType="end"/>
            </w:r>
          </w:hyperlink>
        </w:p>
        <w:p w14:paraId="74800DF6" w14:textId="741AF3BC" w:rsidR="00C32CA2" w:rsidRDefault="00C32CA2">
          <w:pPr>
            <w:pStyle w:val="Sommario1"/>
            <w:tabs>
              <w:tab w:val="right" w:leader="dot" w:pos="9350"/>
            </w:tabs>
            <w:rPr>
              <w:noProof/>
            </w:rPr>
          </w:pPr>
          <w:hyperlink w:anchor="_Toc218719449" w:history="1">
            <w:r w:rsidRPr="009275E2">
              <w:rPr>
                <w:rStyle w:val="Collegamentoipertestuale"/>
                <w:rFonts w:ascii="Arial" w:hAnsi="Arial" w:cs="Arial"/>
                <w:b/>
                <w:bCs/>
                <w:noProof/>
              </w:rPr>
              <w:t>Critical Examination of Educational Impact and Practical Relevance</w:t>
            </w:r>
            <w:r>
              <w:rPr>
                <w:noProof/>
                <w:webHidden/>
              </w:rPr>
              <w:tab/>
            </w:r>
            <w:r>
              <w:rPr>
                <w:noProof/>
                <w:webHidden/>
              </w:rPr>
              <w:fldChar w:fldCharType="begin"/>
            </w:r>
            <w:r>
              <w:rPr>
                <w:noProof/>
                <w:webHidden/>
              </w:rPr>
              <w:instrText xml:space="preserve"> PAGEREF _Toc218719449 \h </w:instrText>
            </w:r>
            <w:r>
              <w:rPr>
                <w:noProof/>
                <w:webHidden/>
              </w:rPr>
            </w:r>
            <w:r>
              <w:rPr>
                <w:noProof/>
                <w:webHidden/>
              </w:rPr>
              <w:fldChar w:fldCharType="separate"/>
            </w:r>
            <w:r>
              <w:rPr>
                <w:noProof/>
                <w:webHidden/>
              </w:rPr>
              <w:t>7</w:t>
            </w:r>
            <w:r>
              <w:rPr>
                <w:noProof/>
                <w:webHidden/>
              </w:rPr>
              <w:fldChar w:fldCharType="end"/>
            </w:r>
          </w:hyperlink>
        </w:p>
        <w:p w14:paraId="6FA499CA" w14:textId="6F2FFE36" w:rsidR="00C32CA2" w:rsidRDefault="00C32CA2">
          <w:pPr>
            <w:pStyle w:val="Sommario1"/>
            <w:tabs>
              <w:tab w:val="right" w:leader="dot" w:pos="9350"/>
            </w:tabs>
            <w:rPr>
              <w:noProof/>
            </w:rPr>
          </w:pPr>
          <w:hyperlink w:anchor="_Toc218719450" w:history="1">
            <w:r w:rsidRPr="009275E2">
              <w:rPr>
                <w:rStyle w:val="Collegamentoipertestuale"/>
                <w:rFonts w:ascii="Arial" w:hAnsi="Arial" w:cs="Arial"/>
                <w:b/>
                <w:bCs/>
                <w:noProof/>
              </w:rPr>
              <w:t>Critical Reflection and Comparative Implications for Contemporary Pedagogy</w:t>
            </w:r>
            <w:r>
              <w:rPr>
                <w:noProof/>
                <w:webHidden/>
              </w:rPr>
              <w:tab/>
            </w:r>
            <w:r>
              <w:rPr>
                <w:noProof/>
                <w:webHidden/>
              </w:rPr>
              <w:fldChar w:fldCharType="begin"/>
            </w:r>
            <w:r>
              <w:rPr>
                <w:noProof/>
                <w:webHidden/>
              </w:rPr>
              <w:instrText xml:space="preserve"> PAGEREF _Toc218719450 \h </w:instrText>
            </w:r>
            <w:r>
              <w:rPr>
                <w:noProof/>
                <w:webHidden/>
              </w:rPr>
            </w:r>
            <w:r>
              <w:rPr>
                <w:noProof/>
                <w:webHidden/>
              </w:rPr>
              <w:fldChar w:fldCharType="separate"/>
            </w:r>
            <w:r>
              <w:rPr>
                <w:noProof/>
                <w:webHidden/>
              </w:rPr>
              <w:t>9</w:t>
            </w:r>
            <w:r>
              <w:rPr>
                <w:noProof/>
                <w:webHidden/>
              </w:rPr>
              <w:fldChar w:fldCharType="end"/>
            </w:r>
          </w:hyperlink>
        </w:p>
        <w:p w14:paraId="18ACCB4D" w14:textId="4CCDDD24" w:rsidR="00C32CA2" w:rsidRDefault="00C32CA2">
          <w:pPr>
            <w:pStyle w:val="Sommario1"/>
            <w:tabs>
              <w:tab w:val="right" w:leader="dot" w:pos="9350"/>
            </w:tabs>
            <w:rPr>
              <w:noProof/>
            </w:rPr>
          </w:pPr>
          <w:hyperlink w:anchor="_Toc218719451" w:history="1">
            <w:r w:rsidRPr="009275E2">
              <w:rPr>
                <w:rStyle w:val="Collegamentoipertestuale"/>
                <w:rFonts w:ascii="Arial" w:hAnsi="Arial" w:cs="Arial"/>
                <w:b/>
                <w:bCs/>
                <w:noProof/>
              </w:rPr>
              <w:t>Conclusion</w:t>
            </w:r>
            <w:r>
              <w:rPr>
                <w:noProof/>
                <w:webHidden/>
              </w:rPr>
              <w:tab/>
            </w:r>
            <w:r>
              <w:rPr>
                <w:noProof/>
                <w:webHidden/>
              </w:rPr>
              <w:fldChar w:fldCharType="begin"/>
            </w:r>
            <w:r>
              <w:rPr>
                <w:noProof/>
                <w:webHidden/>
              </w:rPr>
              <w:instrText xml:space="preserve"> PAGEREF _Toc218719451 \h </w:instrText>
            </w:r>
            <w:r>
              <w:rPr>
                <w:noProof/>
                <w:webHidden/>
              </w:rPr>
            </w:r>
            <w:r>
              <w:rPr>
                <w:noProof/>
                <w:webHidden/>
              </w:rPr>
              <w:fldChar w:fldCharType="separate"/>
            </w:r>
            <w:r>
              <w:rPr>
                <w:noProof/>
                <w:webHidden/>
              </w:rPr>
              <w:t>11</w:t>
            </w:r>
            <w:r>
              <w:rPr>
                <w:noProof/>
                <w:webHidden/>
              </w:rPr>
              <w:fldChar w:fldCharType="end"/>
            </w:r>
          </w:hyperlink>
        </w:p>
        <w:p w14:paraId="3800189F" w14:textId="54542295" w:rsidR="00C32CA2" w:rsidRDefault="00C32CA2">
          <w:pPr>
            <w:pStyle w:val="Sommario1"/>
            <w:tabs>
              <w:tab w:val="right" w:leader="dot" w:pos="9350"/>
            </w:tabs>
            <w:rPr>
              <w:noProof/>
            </w:rPr>
          </w:pPr>
          <w:hyperlink w:anchor="_Toc218719452" w:history="1">
            <w:r w:rsidRPr="009275E2">
              <w:rPr>
                <w:rStyle w:val="Collegamentoipertestuale"/>
                <w:rFonts w:ascii="Arial" w:hAnsi="Arial" w:cs="Arial"/>
                <w:b/>
                <w:bCs/>
                <w:noProof/>
              </w:rPr>
              <w:t>References</w:t>
            </w:r>
            <w:r>
              <w:rPr>
                <w:noProof/>
                <w:webHidden/>
              </w:rPr>
              <w:tab/>
            </w:r>
            <w:r>
              <w:rPr>
                <w:noProof/>
                <w:webHidden/>
              </w:rPr>
              <w:fldChar w:fldCharType="begin"/>
            </w:r>
            <w:r>
              <w:rPr>
                <w:noProof/>
                <w:webHidden/>
              </w:rPr>
              <w:instrText xml:space="preserve"> PAGEREF _Toc218719452 \h </w:instrText>
            </w:r>
            <w:r>
              <w:rPr>
                <w:noProof/>
                <w:webHidden/>
              </w:rPr>
            </w:r>
            <w:r>
              <w:rPr>
                <w:noProof/>
                <w:webHidden/>
              </w:rPr>
              <w:fldChar w:fldCharType="separate"/>
            </w:r>
            <w:r>
              <w:rPr>
                <w:noProof/>
                <w:webHidden/>
              </w:rPr>
              <w:t>13</w:t>
            </w:r>
            <w:r>
              <w:rPr>
                <w:noProof/>
                <w:webHidden/>
              </w:rPr>
              <w:fldChar w:fldCharType="end"/>
            </w:r>
          </w:hyperlink>
        </w:p>
        <w:p w14:paraId="26E7B58E" w14:textId="3ABF9AA0" w:rsidR="00C32CA2" w:rsidRDefault="00C32CA2">
          <w:r>
            <w:rPr>
              <w:b/>
              <w:bCs/>
              <w:noProof/>
            </w:rPr>
            <w:fldChar w:fldCharType="end"/>
          </w:r>
        </w:p>
      </w:sdtContent>
    </w:sdt>
    <w:p w14:paraId="3A071500" w14:textId="77777777" w:rsidR="004413BE" w:rsidRPr="004413BE" w:rsidRDefault="004413BE" w:rsidP="00C32CA2"/>
    <w:p w14:paraId="3100B79B" w14:textId="77777777" w:rsidR="00B97C8A" w:rsidRPr="004E01B0" w:rsidRDefault="00B97C8A" w:rsidP="004E01B0">
      <w:pPr>
        <w:spacing w:line="360" w:lineRule="auto"/>
        <w:jc w:val="both"/>
        <w:rPr>
          <w:rFonts w:ascii="Arial" w:hAnsi="Arial" w:cs="Arial"/>
          <w:b/>
          <w:bCs/>
          <w:sz w:val="24"/>
          <w:szCs w:val="24"/>
        </w:rPr>
      </w:pPr>
      <w:r w:rsidRPr="004E01B0">
        <w:rPr>
          <w:rFonts w:ascii="Arial" w:hAnsi="Arial" w:cs="Arial"/>
          <w:b/>
          <w:bCs/>
          <w:sz w:val="24"/>
          <w:szCs w:val="24"/>
        </w:rPr>
        <w:br w:type="page"/>
      </w:r>
    </w:p>
    <w:p w14:paraId="7C8BE4E4" w14:textId="77777777" w:rsidR="00317061" w:rsidRPr="00172BE7" w:rsidRDefault="00317061" w:rsidP="00172BE7">
      <w:pPr>
        <w:pStyle w:val="Titolo1"/>
        <w:rPr>
          <w:rFonts w:ascii="Arial" w:hAnsi="Arial" w:cs="Arial"/>
          <w:b/>
          <w:bCs/>
          <w:color w:val="000000" w:themeColor="text1"/>
          <w:sz w:val="24"/>
          <w:szCs w:val="24"/>
        </w:rPr>
      </w:pPr>
      <w:bookmarkStart w:id="0" w:name="_Toc218719446"/>
      <w:r w:rsidRPr="00172BE7">
        <w:rPr>
          <w:rFonts w:ascii="Arial" w:hAnsi="Arial" w:cs="Arial"/>
          <w:b/>
          <w:bCs/>
          <w:color w:val="000000" w:themeColor="text1"/>
          <w:sz w:val="24"/>
          <w:szCs w:val="24"/>
        </w:rPr>
        <w:lastRenderedPageBreak/>
        <w:t>Introduction</w:t>
      </w:r>
      <w:bookmarkEnd w:id="0"/>
    </w:p>
    <w:p w14:paraId="1DD90B9F" w14:textId="683A2539" w:rsidR="00317061" w:rsidRPr="00317061" w:rsidRDefault="00317061" w:rsidP="00317061">
      <w:pPr>
        <w:spacing w:line="360" w:lineRule="auto"/>
        <w:jc w:val="both"/>
        <w:rPr>
          <w:rFonts w:ascii="Arial" w:hAnsi="Arial" w:cs="Arial"/>
          <w:sz w:val="24"/>
          <w:szCs w:val="24"/>
        </w:rPr>
      </w:pPr>
      <w:r w:rsidRPr="00317061">
        <w:rPr>
          <w:rFonts w:ascii="Arial" w:hAnsi="Arial" w:cs="Arial"/>
          <w:sz w:val="24"/>
          <w:szCs w:val="24"/>
        </w:rPr>
        <w:t xml:space="preserve">It has occupied the mind of scientists, philosophers, and educators for centuries, and the nature of questions in education has rarely been as contested as the inquisition of how children possess the ability and motivation to learn and become skilled and capable. Two influential personages of the twentieth century inspired the evolution of modern educational thought in radical, yet opposite ways. These individuals were Maria Montessori, an Italian physician and educator, and Benjamin Bloom, an American educational psychologist. Montessori was an empirical observer of children that greatly changed and improved classroom </w:t>
      </w:r>
      <w:r w:rsidR="00DF5362" w:rsidRPr="00317061">
        <w:rPr>
          <w:rFonts w:ascii="Arial" w:hAnsi="Arial" w:cs="Arial"/>
          <w:sz w:val="24"/>
          <w:szCs w:val="24"/>
        </w:rPr>
        <w:t>practice,</w:t>
      </w:r>
      <w:r w:rsidRPr="00317061">
        <w:rPr>
          <w:rFonts w:ascii="Arial" w:hAnsi="Arial" w:cs="Arial"/>
          <w:sz w:val="24"/>
          <w:szCs w:val="24"/>
        </w:rPr>
        <w:t xml:space="preserve"> while Bloom’s educational taxonomy was deeply rooted in educational systems around the world. Montessori and Bloom attempted to answer the question of pedagogy in opposite ways. Montessori based her pedagogy on the empirical observation of the developmental stages of children, while Bloom’s pedagogy was the outcome of the need for educational practice to be based on an educational taxonomy. This portfolio focuses on both theorists, examining their historical context, theoretical contributions, practical implications, and </w:t>
      </w:r>
      <w:r w:rsidR="00DF5362" w:rsidRPr="00317061">
        <w:rPr>
          <w:rFonts w:ascii="Arial" w:hAnsi="Arial" w:cs="Arial"/>
          <w:sz w:val="24"/>
          <w:szCs w:val="24"/>
        </w:rPr>
        <w:t>present-day</w:t>
      </w:r>
      <w:r w:rsidRPr="00317061">
        <w:rPr>
          <w:rFonts w:ascii="Arial" w:hAnsi="Arial" w:cs="Arial"/>
          <w:sz w:val="24"/>
          <w:szCs w:val="24"/>
        </w:rPr>
        <w:t xml:space="preserve"> relevance, while situating their work within the grand learning theory framework that supports modern pedagogy</w:t>
      </w:r>
      <w:r w:rsidR="002B66E9">
        <w:rPr>
          <w:rFonts w:ascii="Arial" w:hAnsi="Arial" w:cs="Arial"/>
          <w:sz w:val="24"/>
          <w:szCs w:val="24"/>
        </w:rPr>
        <w:t xml:space="preserve"> </w:t>
      </w:r>
      <w:r w:rsidR="002B66E9" w:rsidRPr="002B66E9">
        <w:rPr>
          <w:rFonts w:ascii="Arial" w:hAnsi="Arial" w:cs="Arial"/>
          <w:sz w:val="24"/>
          <w:szCs w:val="24"/>
        </w:rPr>
        <w:t>(Marjona Sayfullayeva, 2025)</w:t>
      </w:r>
      <w:r w:rsidRPr="00317061">
        <w:rPr>
          <w:rFonts w:ascii="Arial" w:hAnsi="Arial" w:cs="Arial"/>
          <w:sz w:val="24"/>
          <w:szCs w:val="24"/>
        </w:rPr>
        <w:t>.</w:t>
      </w:r>
    </w:p>
    <w:p w14:paraId="2A9F91EE" w14:textId="655B79CE" w:rsidR="00317061" w:rsidRPr="00317061" w:rsidRDefault="00317061" w:rsidP="00317061">
      <w:pPr>
        <w:spacing w:line="360" w:lineRule="auto"/>
        <w:jc w:val="both"/>
        <w:rPr>
          <w:rFonts w:ascii="Arial" w:hAnsi="Arial" w:cs="Arial"/>
          <w:sz w:val="24"/>
          <w:szCs w:val="24"/>
        </w:rPr>
      </w:pPr>
      <w:r w:rsidRPr="00317061">
        <w:rPr>
          <w:rFonts w:ascii="Arial" w:hAnsi="Arial" w:cs="Arial"/>
          <w:sz w:val="24"/>
          <w:szCs w:val="24"/>
        </w:rPr>
        <w:t xml:space="preserve">When it comes to comparing these two figures, sticking to questions of which is “right” and which is “wrong” makes sense, but this is also too simplistic. Perhaps more important is how different models of theory provide different ‘lenses’ through which we can understand educational practice, and more intricately the different ‘pros’ and ‘cons’ of each. The more </w:t>
      </w:r>
      <w:r w:rsidR="00DF5362" w:rsidRPr="00317061">
        <w:rPr>
          <w:rFonts w:ascii="Arial" w:hAnsi="Arial" w:cs="Arial"/>
          <w:sz w:val="24"/>
          <w:szCs w:val="24"/>
        </w:rPr>
        <w:t>evidence-based</w:t>
      </w:r>
      <w:r w:rsidRPr="00317061">
        <w:rPr>
          <w:rFonts w:ascii="Arial" w:hAnsi="Arial" w:cs="Arial"/>
          <w:sz w:val="24"/>
          <w:szCs w:val="24"/>
        </w:rPr>
        <w:t xml:space="preserve"> practice educators use, the more important it becomes to determine the degree to which different theories and practices have been empirically supported, and which have been so historically important that they require </w:t>
      </w:r>
      <w:r w:rsidR="00786CCD" w:rsidRPr="00317061">
        <w:rPr>
          <w:rFonts w:ascii="Arial" w:hAnsi="Arial" w:cs="Arial"/>
          <w:sz w:val="24"/>
          <w:szCs w:val="24"/>
        </w:rPr>
        <w:t>re-evaluation or</w:t>
      </w:r>
      <w:r w:rsidRPr="00317061">
        <w:rPr>
          <w:rFonts w:ascii="Arial" w:hAnsi="Arial" w:cs="Arial"/>
          <w:sz w:val="24"/>
          <w:szCs w:val="24"/>
        </w:rPr>
        <w:t xml:space="preserve"> perhaps reframing</w:t>
      </w:r>
      <w:r w:rsidR="002B66E9">
        <w:rPr>
          <w:rFonts w:ascii="Arial" w:hAnsi="Arial" w:cs="Arial"/>
          <w:sz w:val="24"/>
          <w:szCs w:val="24"/>
        </w:rPr>
        <w:t xml:space="preserve"> </w:t>
      </w:r>
      <w:r w:rsidR="002B66E9" w:rsidRPr="002B66E9">
        <w:rPr>
          <w:rFonts w:ascii="Arial" w:hAnsi="Arial" w:cs="Arial"/>
          <w:sz w:val="24"/>
          <w:szCs w:val="24"/>
        </w:rPr>
        <w:t>(Marjona Sayfullayeva, 2025)</w:t>
      </w:r>
      <w:r w:rsidRPr="00317061">
        <w:rPr>
          <w:rFonts w:ascii="Arial" w:hAnsi="Arial" w:cs="Arial"/>
          <w:sz w:val="24"/>
          <w:szCs w:val="24"/>
        </w:rPr>
        <w:t xml:space="preserve">. In addition, comparing Montessori and Bloom demonstrates something quite fundamental about educational theory and philosophy; the ever-present tensions between child-centred and teacher-centred, intrinsic motivation and extrinsic measurement, individual progress and system equity. Integrating these divergent perspectives while maintaining an attentive critique grounded in evidence in support of the claims of each will be essential in dealing with modern pedagogy in this respect. The ECES7004 module on Principles of Pedagogy, Teaching </w:t>
      </w:r>
      <w:r w:rsidRPr="00317061">
        <w:rPr>
          <w:rFonts w:ascii="Arial" w:hAnsi="Arial" w:cs="Arial"/>
          <w:sz w:val="24"/>
          <w:szCs w:val="24"/>
        </w:rPr>
        <w:lastRenderedPageBreak/>
        <w:t>and Learning is the perfect context for this, as it challenges students to go beyond mere comprehension of educational theories to the critique of the theories and the assumptions, evidence, and practical implications of the theories in relation to classroom practice.</w:t>
      </w:r>
    </w:p>
    <w:p w14:paraId="79BFABAF" w14:textId="194FBC31" w:rsidR="00317061" w:rsidRDefault="00317061" w:rsidP="004E01B0">
      <w:pPr>
        <w:spacing w:line="360" w:lineRule="auto"/>
        <w:jc w:val="both"/>
        <w:rPr>
          <w:rFonts w:ascii="Arial" w:hAnsi="Arial" w:cs="Arial"/>
          <w:sz w:val="24"/>
          <w:szCs w:val="24"/>
        </w:rPr>
      </w:pPr>
      <w:r w:rsidRPr="00317061">
        <w:rPr>
          <w:rFonts w:ascii="Arial" w:hAnsi="Arial" w:cs="Arial"/>
          <w:sz w:val="24"/>
          <w:szCs w:val="24"/>
        </w:rPr>
        <w:t xml:space="preserve">The Portfolio is deeply engaged with both Montessori and Bloom, </w:t>
      </w:r>
      <w:r w:rsidR="0015408C" w:rsidRPr="0015408C">
        <w:rPr>
          <w:rFonts w:ascii="Arial" w:hAnsi="Arial" w:cs="Arial"/>
          <w:sz w:val="24"/>
          <w:szCs w:val="24"/>
        </w:rPr>
        <w:t>and</w:t>
      </w:r>
      <w:r w:rsidRPr="00317061">
        <w:rPr>
          <w:rFonts w:ascii="Arial" w:hAnsi="Arial" w:cs="Arial"/>
          <w:sz w:val="24"/>
          <w:szCs w:val="24"/>
        </w:rPr>
        <w:t xml:space="preserve"> rather than simply demonstrating knowledge of two important educational theorists, it shows an ability to think critically and pedagogically, which is an important aspect of professional practice in today’s education</w:t>
      </w:r>
      <w:r w:rsidR="005F1AB8">
        <w:rPr>
          <w:rFonts w:ascii="Arial" w:hAnsi="Arial" w:cs="Arial"/>
          <w:sz w:val="24"/>
          <w:szCs w:val="24"/>
        </w:rPr>
        <w:t xml:space="preserve"> </w:t>
      </w:r>
      <w:r w:rsidR="005F1AB8" w:rsidRPr="005F1AB8">
        <w:rPr>
          <w:rFonts w:ascii="Arial" w:hAnsi="Arial" w:cs="Arial"/>
          <w:sz w:val="24"/>
          <w:szCs w:val="24"/>
        </w:rPr>
        <w:t>(Foster, 2025)</w:t>
      </w:r>
      <w:r w:rsidRPr="00317061">
        <w:rPr>
          <w:rFonts w:ascii="Arial" w:hAnsi="Arial" w:cs="Arial"/>
          <w:sz w:val="24"/>
          <w:szCs w:val="24"/>
        </w:rPr>
        <w:t>.</w:t>
      </w:r>
    </w:p>
    <w:p w14:paraId="723DBB51" w14:textId="744FF9D0" w:rsidR="00CC2EF5" w:rsidRPr="0015408C" w:rsidRDefault="00CC2EF5" w:rsidP="004E01B0">
      <w:pPr>
        <w:spacing w:line="360" w:lineRule="auto"/>
        <w:jc w:val="both"/>
        <w:rPr>
          <w:rFonts w:ascii="Arial" w:hAnsi="Arial" w:cs="Arial"/>
          <w:sz w:val="24"/>
          <w:szCs w:val="24"/>
        </w:rPr>
      </w:pPr>
      <w:r w:rsidRPr="00CC2EF5">
        <w:rPr>
          <w:rFonts w:ascii="Arial" w:hAnsi="Arial" w:cs="Arial"/>
          <w:sz w:val="24"/>
          <w:szCs w:val="24"/>
        </w:rPr>
        <w:t>For hundreds of years, the ability and willingness of children to learn, and the questions surrounding the nature of learning, have intrigued scientists, philosophers, and educators. Two influential and pivotal figures of the twentieth century, each, in his/her own way, contributed to the development of modern educational thought in radical and, to some extent, opposing ways. These individuals were Benjamin Bloom, an American educational psychologist, and Maria Montessori, an Italian physician and educator. Montessori was an exceptional empirical child observer and an influential change agent in the field of classroom pedagogy, while Bloom's taxonomy of educational objectives shaped and inspired educational systems globally. Stylistically, Montessori and Bloom pedagogically attempted to answer the same question, albeit, in opposing ways. Bloom's educational pedagogy was the outcome of a synthesis of educational practice and an educational taxonomy, while Montessori empirically studied the various stages of children's development. This portfolio examines both theorists, with a focus on historical scholarship, contributions and theories, practical relevance, and contemporary implications, framing their works within the Great Learning Theory as a basis for contemporary pedagogy.</w:t>
      </w:r>
    </w:p>
    <w:p w14:paraId="172CF1AB" w14:textId="77777777" w:rsidR="006015DB" w:rsidRDefault="006015DB">
      <w:pPr>
        <w:rPr>
          <w:rFonts w:ascii="Arial" w:eastAsiaTheme="majorEastAsia" w:hAnsi="Arial" w:cs="Arial"/>
          <w:b/>
          <w:bCs/>
          <w:color w:val="000000" w:themeColor="text1"/>
          <w:sz w:val="24"/>
          <w:szCs w:val="24"/>
        </w:rPr>
      </w:pPr>
      <w:bookmarkStart w:id="1" w:name="_Toc218719447"/>
      <w:r>
        <w:rPr>
          <w:rFonts w:ascii="Arial" w:hAnsi="Arial" w:cs="Arial"/>
          <w:b/>
          <w:bCs/>
          <w:color w:val="000000" w:themeColor="text1"/>
          <w:sz w:val="24"/>
          <w:szCs w:val="24"/>
        </w:rPr>
        <w:br w:type="page"/>
      </w:r>
    </w:p>
    <w:p w14:paraId="1C5FF152" w14:textId="7B8778A9" w:rsidR="004413BE" w:rsidRPr="00172BE7" w:rsidRDefault="004413BE" w:rsidP="00172BE7">
      <w:pPr>
        <w:pStyle w:val="Titolo1"/>
        <w:rPr>
          <w:rFonts w:ascii="Arial" w:hAnsi="Arial" w:cs="Arial"/>
          <w:b/>
          <w:bCs/>
          <w:color w:val="000000" w:themeColor="text1"/>
          <w:sz w:val="24"/>
          <w:szCs w:val="24"/>
        </w:rPr>
      </w:pPr>
      <w:r w:rsidRPr="00172BE7">
        <w:rPr>
          <w:rFonts w:ascii="Arial" w:hAnsi="Arial" w:cs="Arial"/>
          <w:b/>
          <w:bCs/>
          <w:color w:val="000000" w:themeColor="text1"/>
          <w:sz w:val="24"/>
          <w:szCs w:val="24"/>
        </w:rPr>
        <w:lastRenderedPageBreak/>
        <w:t>Historical Context and Biographical Background</w:t>
      </w:r>
      <w:bookmarkEnd w:id="1"/>
    </w:p>
    <w:p w14:paraId="18BB00B5" w14:textId="73E6FBDD" w:rsidR="00404D9E" w:rsidRDefault="00D34B6B" w:rsidP="00D34B6B">
      <w:pPr>
        <w:spacing w:line="360" w:lineRule="auto"/>
        <w:jc w:val="both"/>
        <w:rPr>
          <w:rFonts w:ascii="Arial" w:hAnsi="Arial" w:cs="Arial"/>
          <w:sz w:val="24"/>
          <w:szCs w:val="24"/>
        </w:rPr>
      </w:pPr>
      <w:r w:rsidRPr="00D34B6B">
        <w:rPr>
          <w:rFonts w:ascii="Arial" w:hAnsi="Arial" w:cs="Arial"/>
          <w:sz w:val="24"/>
          <w:szCs w:val="24"/>
        </w:rPr>
        <w:t>Maria Montessori and Benjamin Bloom are hugely important figures in the history of education, even though they come from very different backgrounds and periods in history. We can start our exploration of Montessori’s history in 19th century Italy. While much of the rest of the country was very conservative, Montessori went to the University of Rome and graduated with a Doctor of Medicine in 1896, one of the first female doctors in the entire country. This is a remarkable show of both personal and intellectual commitment to the pursuit of science</w:t>
      </w:r>
      <w:r w:rsidR="005F1AB8">
        <w:rPr>
          <w:rFonts w:ascii="Arial" w:hAnsi="Arial" w:cs="Arial"/>
          <w:sz w:val="24"/>
          <w:szCs w:val="24"/>
        </w:rPr>
        <w:t xml:space="preserve"> </w:t>
      </w:r>
      <w:r w:rsidR="005F1AB8" w:rsidRPr="005F1AB8">
        <w:rPr>
          <w:rFonts w:ascii="Arial" w:hAnsi="Arial" w:cs="Arial"/>
          <w:sz w:val="24"/>
          <w:szCs w:val="24"/>
        </w:rPr>
        <w:t>(Harris, 2026)</w:t>
      </w:r>
      <w:r w:rsidRPr="00D34B6B">
        <w:rPr>
          <w:rFonts w:ascii="Arial" w:hAnsi="Arial" w:cs="Arial"/>
          <w:sz w:val="24"/>
          <w:szCs w:val="24"/>
        </w:rPr>
        <w:t xml:space="preserve">. </w:t>
      </w:r>
    </w:p>
    <w:p w14:paraId="6D72673E" w14:textId="1963024C"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After being an educator at the </w:t>
      </w:r>
      <w:r w:rsidR="002C6EAA" w:rsidRPr="00D34B6B">
        <w:rPr>
          <w:rFonts w:ascii="Arial" w:hAnsi="Arial" w:cs="Arial"/>
          <w:sz w:val="24"/>
          <w:szCs w:val="24"/>
        </w:rPr>
        <w:t>Ortho phrenic</w:t>
      </w:r>
      <w:r w:rsidRPr="00D34B6B">
        <w:rPr>
          <w:rFonts w:ascii="Arial" w:hAnsi="Arial" w:cs="Arial"/>
          <w:sz w:val="24"/>
          <w:szCs w:val="24"/>
        </w:rPr>
        <w:t xml:space="preserve"> School (1901-1906), which focused on children with cognitive delays and disabilities, Montessori was able to use her medical training and experience to work with children in a unique way. Most institutions at the time only used custodial care and seclusion, while Montessori insisted on the creation of separate classrooms with activity structures where children could self-construct their self-esteem and skills. From this period, she built the philosophy of education that was based on careful, selective, and systematic observation of children’s natural </w:t>
      </w:r>
      <w:r w:rsidR="002C6EAA" w:rsidRPr="00D34B6B">
        <w:rPr>
          <w:rFonts w:ascii="Arial" w:hAnsi="Arial" w:cs="Arial"/>
          <w:sz w:val="24"/>
          <w:szCs w:val="24"/>
        </w:rPr>
        <w:t>behaviour</w:t>
      </w:r>
      <w:r w:rsidRPr="00D34B6B">
        <w:rPr>
          <w:rFonts w:ascii="Arial" w:hAnsi="Arial" w:cs="Arial"/>
          <w:sz w:val="24"/>
          <w:szCs w:val="24"/>
        </w:rPr>
        <w:t xml:space="preserve"> and needs. Two years later, she opened her first Casa dei Bambini (Children’s House), which provided education and care to economically disadvantaged children aged three to seven from the San Lorenzo slum in Rome</w:t>
      </w:r>
      <w:r w:rsidR="005F1AB8">
        <w:rPr>
          <w:rFonts w:ascii="Arial" w:hAnsi="Arial" w:cs="Arial"/>
          <w:sz w:val="24"/>
          <w:szCs w:val="24"/>
        </w:rPr>
        <w:t xml:space="preserve"> </w:t>
      </w:r>
      <w:r w:rsidR="005F1AB8" w:rsidRPr="005F1AB8">
        <w:rPr>
          <w:rFonts w:ascii="Arial" w:hAnsi="Arial" w:cs="Arial"/>
          <w:sz w:val="24"/>
          <w:szCs w:val="24"/>
        </w:rPr>
        <w:t>(Phelps, 2025)</w:t>
      </w:r>
      <w:r w:rsidRPr="00D34B6B">
        <w:rPr>
          <w:rFonts w:ascii="Arial" w:hAnsi="Arial" w:cs="Arial"/>
          <w:sz w:val="24"/>
          <w:szCs w:val="24"/>
        </w:rPr>
        <w:t>.</w:t>
      </w:r>
    </w:p>
    <w:p w14:paraId="58EF997A" w14:textId="77777777"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This pioneering enterprise met with success which was both immediate and profound. Her methods won wide acclaim and were documented in her first book The Montessori Method published in 1909, which has since been translated into over twenty languages. Maria Montessori lived through a turbulent and violent period of European history which included two World Wars and the rise of fascism, yet she remained firm in her belief that education was a means of promoting and sustaining peace and enriching the humanity and founded the Association Montessori Internationale (AMI) in 1929, to defend and extend her educational beliefs.</w:t>
      </w:r>
    </w:p>
    <w:p w14:paraId="5C6A47D4" w14:textId="0EC6991C" w:rsidR="00404D9E"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During the twentieth century, Benjamin Bloom’s career also reflected the American educational establishment, this time as an educational psychologist at the University of Chicago. Unlike Bloom, who in 1956 released Taxonomy of Educational Objectives: The Classification of Educational Goals, which he edited as one of the lead authors of this </w:t>
      </w:r>
      <w:r w:rsidRPr="00D34B6B">
        <w:rPr>
          <w:rFonts w:ascii="Arial" w:hAnsi="Arial" w:cs="Arial"/>
          <w:sz w:val="24"/>
          <w:szCs w:val="24"/>
        </w:rPr>
        <w:lastRenderedPageBreak/>
        <w:t>committee of educators, designed no methods for classroom practice. This pioneering work aimed at establishing a systematic approach to curriculum development and evaluation, and at fostering a common language to be used in educational discourse. In contrast to Montessori, who was motivated by her careful studies of how children learn and grow, Bloom was inspired by the drive to stipulate educational goals, and to formulate a hierarchy of objectives that could be applied in any given classroom</w:t>
      </w:r>
      <w:r w:rsidR="005F1AB8">
        <w:rPr>
          <w:rFonts w:ascii="Arial" w:hAnsi="Arial" w:cs="Arial"/>
          <w:sz w:val="24"/>
          <w:szCs w:val="24"/>
        </w:rPr>
        <w:t xml:space="preserve"> </w:t>
      </w:r>
      <w:r w:rsidR="005F1AB8" w:rsidRPr="005F1AB8">
        <w:rPr>
          <w:rFonts w:ascii="Arial" w:hAnsi="Arial" w:cs="Arial"/>
          <w:sz w:val="24"/>
          <w:szCs w:val="24"/>
        </w:rPr>
        <w:t>(Baggio, 2025)</w:t>
      </w:r>
      <w:r w:rsidRPr="00D34B6B">
        <w:rPr>
          <w:rFonts w:ascii="Arial" w:hAnsi="Arial" w:cs="Arial"/>
          <w:sz w:val="24"/>
          <w:szCs w:val="24"/>
        </w:rPr>
        <w:t xml:space="preserve">. </w:t>
      </w:r>
    </w:p>
    <w:p w14:paraId="7ADFC325" w14:textId="18A2022E"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The backdrop for this work is the post-war period, where American educational expansion was characterized by the rapid multiplication of schools, and the need for educators to provide systematic arrangements for learning objectives. While Montessori designed educational constructs several decades before Bloom, they were, in the context of the educational reforms of the twentieth century, contemporaries, and their approaches were different in principle, attitudes, and assumptions regarding the learning process and the function of a teacher</w:t>
      </w:r>
      <w:r w:rsidR="005F1AB8">
        <w:rPr>
          <w:rFonts w:ascii="Arial" w:hAnsi="Arial" w:cs="Arial"/>
          <w:sz w:val="24"/>
          <w:szCs w:val="24"/>
        </w:rPr>
        <w:t xml:space="preserve"> </w:t>
      </w:r>
      <w:r w:rsidR="005F1AB8" w:rsidRPr="005F1AB8">
        <w:rPr>
          <w:rFonts w:ascii="Arial" w:hAnsi="Arial" w:cs="Arial"/>
          <w:sz w:val="24"/>
          <w:szCs w:val="24"/>
        </w:rPr>
        <w:t>(Baggio, 2025)</w:t>
      </w:r>
      <w:r w:rsidRPr="00D34B6B">
        <w:rPr>
          <w:rFonts w:ascii="Arial" w:hAnsi="Arial" w:cs="Arial"/>
          <w:sz w:val="24"/>
          <w:szCs w:val="24"/>
        </w:rPr>
        <w:t>.</w:t>
      </w:r>
    </w:p>
    <w:p w14:paraId="754E5CDF" w14:textId="77777777"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Montessori's framework originated from the scientific observation of child development. In contrast, Blooms framework emerged from the need for educational standardisation, along with quantifiable results. These differing origins shape all aspects of their theoretical frameworks and the applicability of each to contemporary teaching practice.</w:t>
      </w:r>
    </w:p>
    <w:p w14:paraId="26D1B16B" w14:textId="77777777" w:rsidR="00280096" w:rsidRPr="00172BE7" w:rsidRDefault="00280096" w:rsidP="00172BE7">
      <w:pPr>
        <w:pStyle w:val="Titolo1"/>
        <w:rPr>
          <w:rFonts w:ascii="Arial" w:hAnsi="Arial" w:cs="Arial"/>
          <w:b/>
          <w:bCs/>
          <w:color w:val="000000" w:themeColor="text1"/>
          <w:sz w:val="24"/>
          <w:szCs w:val="24"/>
        </w:rPr>
      </w:pPr>
      <w:bookmarkStart w:id="2" w:name="_Toc218719448"/>
      <w:r w:rsidRPr="00172BE7">
        <w:rPr>
          <w:rFonts w:ascii="Arial" w:hAnsi="Arial" w:cs="Arial"/>
          <w:b/>
          <w:bCs/>
          <w:color w:val="000000" w:themeColor="text1"/>
          <w:sz w:val="24"/>
          <w:szCs w:val="24"/>
        </w:rPr>
        <w:t>Exploration of Theories and Pedagogical Practices</w:t>
      </w:r>
      <w:bookmarkEnd w:id="2"/>
    </w:p>
    <w:p w14:paraId="195A80BB" w14:textId="6E125EB0" w:rsidR="00404D9E"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Maria Montessori's educational philosophy asserts that learning happens when children’s interests and curiosity are in control of the learning process, as opposed to being dictated or forced by adults. Montessori's approach relies on the use of “prepared environments”, which are learning spaces that consist of specially designed materials that encourage children to actively engage in learning through manipulation. Montessori materials are unique in that they provide internal feedback. For example, if the child does not use the materials as intended, the material will indicate that to the </w:t>
      </w:r>
      <w:r w:rsidR="00DA0501" w:rsidRPr="00D34B6B">
        <w:rPr>
          <w:rFonts w:ascii="Arial" w:hAnsi="Arial" w:cs="Arial"/>
          <w:sz w:val="24"/>
          <w:szCs w:val="24"/>
        </w:rPr>
        <w:t>child and</w:t>
      </w:r>
      <w:r w:rsidRPr="00D34B6B">
        <w:rPr>
          <w:rFonts w:ascii="Arial" w:hAnsi="Arial" w:cs="Arial"/>
          <w:sz w:val="24"/>
          <w:szCs w:val="24"/>
        </w:rPr>
        <w:t xml:space="preserve"> will not rely on the intervention of an adult</w:t>
      </w:r>
      <w:r w:rsidR="005F1AB8">
        <w:rPr>
          <w:rFonts w:ascii="Arial" w:hAnsi="Arial" w:cs="Arial"/>
          <w:sz w:val="24"/>
          <w:szCs w:val="24"/>
        </w:rPr>
        <w:t xml:space="preserve"> </w:t>
      </w:r>
      <w:r w:rsidR="005F1AB8" w:rsidRPr="005F1AB8">
        <w:rPr>
          <w:rFonts w:ascii="Arial" w:hAnsi="Arial" w:cs="Arial"/>
          <w:sz w:val="24"/>
          <w:szCs w:val="24"/>
        </w:rPr>
        <w:t>(Daboll, 2024)</w:t>
      </w:r>
      <w:r w:rsidRPr="00D34B6B">
        <w:rPr>
          <w:rFonts w:ascii="Arial" w:hAnsi="Arial" w:cs="Arial"/>
          <w:sz w:val="24"/>
          <w:szCs w:val="24"/>
        </w:rPr>
        <w:t xml:space="preserve">. </w:t>
      </w:r>
    </w:p>
    <w:p w14:paraId="7626B7A8" w14:textId="01120190"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This characteristics of the materials are intended to promote autonomy and discipline of the child. Montessori described "sensitive periods" that occur within developmental time frames that provide unique opportunities for the acquisition of certain learning objectives. </w:t>
      </w:r>
      <w:r w:rsidRPr="00D34B6B">
        <w:rPr>
          <w:rFonts w:ascii="Arial" w:hAnsi="Arial" w:cs="Arial"/>
          <w:sz w:val="24"/>
          <w:szCs w:val="24"/>
        </w:rPr>
        <w:lastRenderedPageBreak/>
        <w:t>Therefore, the pedagogy has to deal with the child’s internal readiness and, therefore, responsiveness, which implies that learning objectives should be closely aligned with the child’s developmental rather than chronological age. Montessori education shifts the role of teachers from being authorities to being observers and guides, so that they can actively support and promote learning that children initiate on their own</w:t>
      </w:r>
      <w:r w:rsidR="005F1AB8">
        <w:rPr>
          <w:rFonts w:ascii="Arial" w:hAnsi="Arial" w:cs="Arial"/>
          <w:sz w:val="24"/>
          <w:szCs w:val="24"/>
        </w:rPr>
        <w:t xml:space="preserve"> </w:t>
      </w:r>
      <w:r w:rsidR="005F1AB8" w:rsidRPr="005F1AB8">
        <w:rPr>
          <w:rFonts w:ascii="Arial" w:hAnsi="Arial" w:cs="Arial"/>
          <w:sz w:val="24"/>
          <w:szCs w:val="24"/>
        </w:rPr>
        <w:t>(Fiddler, 2009)</w:t>
      </w:r>
      <w:r w:rsidRPr="00D34B6B">
        <w:rPr>
          <w:rFonts w:ascii="Arial" w:hAnsi="Arial" w:cs="Arial"/>
          <w:sz w:val="24"/>
          <w:szCs w:val="24"/>
        </w:rPr>
        <w:t>.</w:t>
      </w:r>
    </w:p>
    <w:p w14:paraId="4660A4DD" w14:textId="01408AD5"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The Montessori classroom exemplifies intentional design with strategies aimed to promote learning. Classrooms are designed with mixed-age groups encouraging social learning through peer teaching and collaborative learning. Classrooms utilize uninterrupted blocks of time enabling children to practice mastery and gain confidence. Children are granted the freedom to select their preferred activities. Teachers provide boundaries and expectations to guide student </w:t>
      </w:r>
      <w:r w:rsidR="00DA0501" w:rsidRPr="00D34B6B">
        <w:rPr>
          <w:rFonts w:ascii="Arial" w:hAnsi="Arial" w:cs="Arial"/>
          <w:sz w:val="24"/>
          <w:szCs w:val="24"/>
        </w:rPr>
        <w:t>behaviour</w:t>
      </w:r>
      <w:r w:rsidRPr="00D34B6B">
        <w:rPr>
          <w:rFonts w:ascii="Arial" w:hAnsi="Arial" w:cs="Arial"/>
          <w:sz w:val="24"/>
          <w:szCs w:val="24"/>
        </w:rPr>
        <w:t xml:space="preserve"> and work goals. Montessori classrooms are designed around four principles: fostering self-reliant learners, creating structure to promote concentration, encouraging the pursuit of interests, and providing autonomy with boundaries. This philosophy moves away from external motivators such as </w:t>
      </w:r>
      <w:r w:rsidR="00DA0501" w:rsidRPr="00D34B6B">
        <w:rPr>
          <w:rFonts w:ascii="Arial" w:hAnsi="Arial" w:cs="Arial"/>
          <w:sz w:val="24"/>
          <w:szCs w:val="24"/>
        </w:rPr>
        <w:t>achievement</w:t>
      </w:r>
      <w:r w:rsidRPr="00D34B6B">
        <w:rPr>
          <w:rFonts w:ascii="Arial" w:hAnsi="Arial" w:cs="Arial"/>
          <w:sz w:val="24"/>
          <w:szCs w:val="24"/>
        </w:rPr>
        <w:t xml:space="preserve"> tests and </w:t>
      </w:r>
      <w:r w:rsidR="00DA0501" w:rsidRPr="00D34B6B">
        <w:rPr>
          <w:rFonts w:ascii="Arial" w:hAnsi="Arial" w:cs="Arial"/>
          <w:sz w:val="24"/>
          <w:szCs w:val="24"/>
        </w:rPr>
        <w:t>behavioural</w:t>
      </w:r>
      <w:r w:rsidRPr="00D34B6B">
        <w:rPr>
          <w:rFonts w:ascii="Arial" w:hAnsi="Arial" w:cs="Arial"/>
          <w:sz w:val="24"/>
          <w:szCs w:val="24"/>
        </w:rPr>
        <w:t xml:space="preserve"> praise. Instead, this approach is in alignment with motivational learning theories emphasizing the need for intrinsic motivation to achieve deep and lasting learning.</w:t>
      </w:r>
    </w:p>
    <w:p w14:paraId="414790A3" w14:textId="178F4C37" w:rsidR="00404D9E"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In a more nuanced manner, Bloom’s contributions, unlike the former, revolve around the methods of teaching, and instead focus on the structure of the objectives of learning. Bloom’s taxonomy consists of a cognitive (intellectual processes), affective (which deals with emotions, responses, attitudes and values), and psychomotor (related to physical movement and the abilities of the body) domain. Although there is a psychomotor domain, the cognitive domain perhaps is the most prominent and most extensively practiced in learning pegged to level of cognition. The cognitive domain originally classified learning objectives into six levels of a hierarchy: knowledge (which is the recall of facts), comprehension (which is the understanding of the meaning of facts), application (which is the ability/use the knowledge in new contexts and situations), analysis (which is the ability to break down or dissect complex or difficult information), synthesis (which is the ability to combine or integrate constituent elements into new or novel wholes), and </w:t>
      </w:r>
      <w:r w:rsidRPr="00D34B6B">
        <w:rPr>
          <w:rFonts w:ascii="Arial" w:hAnsi="Arial" w:cs="Arial"/>
          <w:sz w:val="24"/>
          <w:szCs w:val="24"/>
        </w:rPr>
        <w:lastRenderedPageBreak/>
        <w:t>evaluation (which is the ability to make judgments according to a certain criteria)</w:t>
      </w:r>
      <w:r w:rsidR="00F46A50">
        <w:rPr>
          <w:rFonts w:ascii="Arial" w:hAnsi="Arial" w:cs="Arial"/>
          <w:sz w:val="24"/>
          <w:szCs w:val="24"/>
        </w:rPr>
        <w:t xml:space="preserve"> </w:t>
      </w:r>
      <w:r w:rsidR="00F46A50" w:rsidRPr="00F46A50">
        <w:rPr>
          <w:rFonts w:ascii="Arial" w:hAnsi="Arial" w:cs="Arial"/>
          <w:sz w:val="24"/>
          <w:szCs w:val="24"/>
        </w:rPr>
        <w:t>(Gergely, Egyed and Király, 2006)</w:t>
      </w:r>
      <w:r w:rsidRPr="00D34B6B">
        <w:rPr>
          <w:rFonts w:ascii="Arial" w:hAnsi="Arial" w:cs="Arial"/>
          <w:sz w:val="24"/>
          <w:szCs w:val="24"/>
        </w:rPr>
        <w:t xml:space="preserve">. </w:t>
      </w:r>
    </w:p>
    <w:p w14:paraId="04A17D71" w14:textId="43103655"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The hierarchy of these six levels presupposes that one cannot for example </w:t>
      </w:r>
      <w:r w:rsidR="00DA0501" w:rsidRPr="00D34B6B">
        <w:rPr>
          <w:rFonts w:ascii="Arial" w:hAnsi="Arial" w:cs="Arial"/>
          <w:sz w:val="24"/>
          <w:szCs w:val="24"/>
        </w:rPr>
        <w:t>analyse</w:t>
      </w:r>
      <w:r w:rsidRPr="00D34B6B">
        <w:rPr>
          <w:rFonts w:ascii="Arial" w:hAnsi="Arial" w:cs="Arial"/>
          <w:sz w:val="24"/>
          <w:szCs w:val="24"/>
        </w:rPr>
        <w:t xml:space="preserve"> information without prior knowledge of that information. The existence of these levels and the presupposition that one cannot skip a level or move up to a higher level without having mastered the preceding level is a reflection of Bloom’s background in behaviourism, which is also the basis for the presumption that learning can be compartmentalized into a hierarchy. The cognitive levels were reordered, and renamed by Anderson and Krathwohl in 2001 to reflect modern learning sciences, and the top most level was changed from evaluation and synthesis to create, and more action-oriented verbs were introduced: remember, understand, apply, </w:t>
      </w:r>
      <w:r w:rsidR="00DA0501" w:rsidRPr="00D34B6B">
        <w:rPr>
          <w:rFonts w:ascii="Arial" w:hAnsi="Arial" w:cs="Arial"/>
          <w:sz w:val="24"/>
          <w:szCs w:val="24"/>
        </w:rPr>
        <w:t>analyse</w:t>
      </w:r>
      <w:r w:rsidRPr="00D34B6B">
        <w:rPr>
          <w:rFonts w:ascii="Arial" w:hAnsi="Arial" w:cs="Arial"/>
          <w:sz w:val="24"/>
          <w:szCs w:val="24"/>
        </w:rPr>
        <w:t>, evaluate, and create to enable clarity to the measurable outcomes of learning</w:t>
      </w:r>
      <w:r w:rsidR="00F46A50">
        <w:rPr>
          <w:rFonts w:ascii="Arial" w:hAnsi="Arial" w:cs="Arial"/>
          <w:sz w:val="24"/>
          <w:szCs w:val="24"/>
        </w:rPr>
        <w:t xml:space="preserve"> </w:t>
      </w:r>
      <w:r w:rsidR="00F46A50" w:rsidRPr="00F46A50">
        <w:rPr>
          <w:rFonts w:ascii="Arial" w:hAnsi="Arial" w:cs="Arial"/>
          <w:sz w:val="24"/>
          <w:szCs w:val="24"/>
        </w:rPr>
        <w:t>(Breunig, 2005)</w:t>
      </w:r>
      <w:r w:rsidRPr="00D34B6B">
        <w:rPr>
          <w:rFonts w:ascii="Arial" w:hAnsi="Arial" w:cs="Arial"/>
          <w:sz w:val="24"/>
          <w:szCs w:val="24"/>
        </w:rPr>
        <w:t>.</w:t>
      </w:r>
    </w:p>
    <w:p w14:paraId="425612A5" w14:textId="77777777"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The advancements made in Bloom's taxonomy for educators in terms of curriculum construction, focused on concrete learning goals, means of evaluating those goals, and the appropriate level of instruction to address the goals. This appealed to administrators, curriculum developers, and educators in the attempt to set measurable goals. However, the lack of detail that made Bloom's taxonomy appealing has also made it very simple and woven around inadequate frameworks. This has become increasingly clear now that cognitive psychology and neuroscience have advanced beyond the socially intuitive models that Bloom used in 1956.</w:t>
      </w:r>
    </w:p>
    <w:p w14:paraId="6198048E" w14:textId="77777777" w:rsidR="00280096" w:rsidRPr="00172BE7" w:rsidRDefault="00280096" w:rsidP="00172BE7">
      <w:pPr>
        <w:pStyle w:val="Titolo1"/>
        <w:rPr>
          <w:rFonts w:ascii="Arial" w:hAnsi="Arial" w:cs="Arial"/>
          <w:b/>
          <w:bCs/>
          <w:color w:val="000000" w:themeColor="text1"/>
          <w:sz w:val="24"/>
          <w:szCs w:val="24"/>
        </w:rPr>
      </w:pPr>
      <w:bookmarkStart w:id="3" w:name="_Toc218719449"/>
      <w:r w:rsidRPr="00172BE7">
        <w:rPr>
          <w:rFonts w:ascii="Arial" w:hAnsi="Arial" w:cs="Arial"/>
          <w:b/>
          <w:bCs/>
          <w:color w:val="000000" w:themeColor="text1"/>
          <w:sz w:val="24"/>
          <w:szCs w:val="24"/>
        </w:rPr>
        <w:t>Critical Examination of Educational Impact and Practical Relevance</w:t>
      </w:r>
      <w:bookmarkEnd w:id="3"/>
    </w:p>
    <w:p w14:paraId="1AC0907C" w14:textId="6458CA51"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In recent years, the amount of evidence supporting the effectiveness of Montessori education has grown significantly. A comprehensive meta-analysis in 2023 by Randolph et al. examined 32 rigorously conducted studies with 132,249 individual data points. Randolph concluded that Montessori education was superior to traditional education with respect to academic and non-academic outcomes on the most diverse set of outcomes. The overall score on academic outcomes reported in the analysis was an overall composite effect of 0.24. Other strong primary outcomes in that meta-analysis included general academic ability (0.26, high quality evidence), language (0.17, high quality evidence), and math (0.22, high quality evidence). Montessori dollar for dollar educational </w:t>
      </w:r>
      <w:r w:rsidRPr="00D34B6B">
        <w:rPr>
          <w:rFonts w:ascii="Arial" w:hAnsi="Arial" w:cs="Arial"/>
          <w:sz w:val="24"/>
          <w:szCs w:val="24"/>
        </w:rPr>
        <w:lastRenderedPageBreak/>
        <w:t>expense This analysis demonstrates the strong economic explanatory power of the Montessori method to distinguish between the value of education and the expense associated with education</w:t>
      </w:r>
      <w:r w:rsidR="00F46A50">
        <w:rPr>
          <w:rFonts w:ascii="Arial" w:hAnsi="Arial" w:cs="Arial"/>
          <w:sz w:val="24"/>
          <w:szCs w:val="24"/>
        </w:rPr>
        <w:t xml:space="preserve"> </w:t>
      </w:r>
      <w:r w:rsidR="00F46A50" w:rsidRPr="00F46A50">
        <w:rPr>
          <w:rFonts w:ascii="Arial" w:hAnsi="Arial" w:cs="Arial"/>
          <w:sz w:val="24"/>
          <w:szCs w:val="24"/>
        </w:rPr>
        <w:t>(Oxman, 2008)</w:t>
      </w:r>
      <w:r w:rsidRPr="00D34B6B">
        <w:rPr>
          <w:rFonts w:ascii="Arial" w:hAnsi="Arial" w:cs="Arial"/>
          <w:sz w:val="24"/>
          <w:szCs w:val="24"/>
        </w:rPr>
        <w:t>.</w:t>
      </w:r>
    </w:p>
    <w:p w14:paraId="6873B07F" w14:textId="63D98FEA"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Considering non-academic outcomes, the composite effect size is 0.33, with notable effects in executive function (0.36, moderate quality evidence), creativity (0.26, moderate quality evidence), and in students’ inner experience of school (0.41). Lillard and Else-Quest previously documented Montessori children’s advantage on standardised reading and math tests, positive social interactions, advanced social cognition and executive control, and elementary school children’s creative writing with complex sentences, social fairness and justice, and advanced elementary writing. Montessori education fosters academic competence and social-emotional development, critical thinking, and intrinsic motivation</w:t>
      </w:r>
      <w:r w:rsidR="00F46A50">
        <w:rPr>
          <w:rFonts w:ascii="Arial" w:hAnsi="Arial" w:cs="Arial"/>
          <w:sz w:val="24"/>
          <w:szCs w:val="24"/>
        </w:rPr>
        <w:t xml:space="preserve"> </w:t>
      </w:r>
      <w:r w:rsidR="00F46A50" w:rsidRPr="00F46A50">
        <w:rPr>
          <w:rFonts w:ascii="Arial" w:hAnsi="Arial" w:cs="Arial"/>
          <w:sz w:val="24"/>
          <w:szCs w:val="24"/>
        </w:rPr>
        <w:t>(Oxman, 2008)</w:t>
      </w:r>
      <w:r w:rsidRPr="00D34B6B">
        <w:rPr>
          <w:rFonts w:ascii="Arial" w:hAnsi="Arial" w:cs="Arial"/>
          <w:sz w:val="24"/>
          <w:szCs w:val="24"/>
        </w:rPr>
        <w:t xml:space="preserve">. Moreover, evidence shows treatment fidelity is </w:t>
      </w:r>
      <w:r w:rsidR="00C23D59" w:rsidRPr="00D34B6B">
        <w:rPr>
          <w:rFonts w:ascii="Arial" w:hAnsi="Arial" w:cs="Arial"/>
          <w:sz w:val="24"/>
          <w:szCs w:val="24"/>
        </w:rPr>
        <w:t>critical children</w:t>
      </w:r>
      <w:r w:rsidRPr="00D34B6B">
        <w:rPr>
          <w:rFonts w:ascii="Arial" w:hAnsi="Arial" w:cs="Arial"/>
          <w:sz w:val="24"/>
          <w:szCs w:val="24"/>
        </w:rPr>
        <w:t xml:space="preserve"> benefit most from Montessori education when the method is applied with high fidelity and when children are engaged in Montessori activities rather than non-Montessori activities. This is an important finding because it shows that the principles that underpin Montessori practice are causally linked to positive outcomes, rather than being merely correlational</w:t>
      </w:r>
      <w:r w:rsidR="0008226C">
        <w:rPr>
          <w:rFonts w:ascii="Arial" w:hAnsi="Arial" w:cs="Arial"/>
          <w:sz w:val="24"/>
          <w:szCs w:val="24"/>
        </w:rPr>
        <w:t xml:space="preserve"> </w:t>
      </w:r>
      <w:r w:rsidR="0008226C" w:rsidRPr="0008226C">
        <w:rPr>
          <w:rFonts w:ascii="Arial" w:hAnsi="Arial" w:cs="Arial"/>
          <w:sz w:val="24"/>
          <w:szCs w:val="24"/>
        </w:rPr>
        <w:t>(DARIA, 2026)</w:t>
      </w:r>
      <w:r w:rsidRPr="00D34B6B">
        <w:rPr>
          <w:rFonts w:ascii="Arial" w:hAnsi="Arial" w:cs="Arial"/>
          <w:sz w:val="24"/>
          <w:szCs w:val="24"/>
        </w:rPr>
        <w:t>.</w:t>
      </w:r>
    </w:p>
    <w:p w14:paraId="3946F4F8" w14:textId="72303490"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The development of educational practice influenced by Bloom's taxonomy has been profound, yet it has come under increased scrutiny from contemporary researchers. The taxonomy has become firmly entrenched in educational practice since it was published in 1956, and has been used to create educational plans, assessments and define learning outcomes. Bloom's framework has been used in educational institutions across the world to create educational plans, and there is an expectation in teacher education programs that teachers will be able to use the taxonomy to describe learning goals at various levels of thinking. However, critical scholarship is beginning to document the lack of empirical support and constructive applicability of Bloom's framework. A central and foundational critique of the taxonomy is that it is unsubstantiated</w:t>
      </w:r>
      <w:r w:rsidR="0008226C">
        <w:rPr>
          <w:rFonts w:ascii="Arial" w:hAnsi="Arial" w:cs="Arial"/>
          <w:sz w:val="24"/>
          <w:szCs w:val="24"/>
        </w:rPr>
        <w:t xml:space="preserve"> </w:t>
      </w:r>
      <w:r w:rsidR="0008226C" w:rsidRPr="0008226C">
        <w:rPr>
          <w:rFonts w:ascii="Arial" w:hAnsi="Arial" w:cs="Arial"/>
          <w:sz w:val="24"/>
          <w:szCs w:val="24"/>
        </w:rPr>
        <w:t>(Hanson, 2026)</w:t>
      </w:r>
      <w:r w:rsidRPr="00D34B6B">
        <w:rPr>
          <w:rFonts w:ascii="Arial" w:hAnsi="Arial" w:cs="Arial"/>
          <w:sz w:val="24"/>
          <w:szCs w:val="24"/>
        </w:rPr>
        <w:t xml:space="preserve">. The taxonomy was constructed at a time of scant research in the fields of cognitive psychology, neuroscience, and the learning sciences, and Bloom's hierarchy has never been </w:t>
      </w:r>
      <w:r w:rsidR="00C23D59" w:rsidRPr="00D34B6B">
        <w:rPr>
          <w:rFonts w:ascii="Arial" w:hAnsi="Arial" w:cs="Arial"/>
          <w:sz w:val="24"/>
          <w:szCs w:val="24"/>
        </w:rPr>
        <w:t>prioritized</w:t>
      </w:r>
      <w:r w:rsidRPr="00D34B6B">
        <w:rPr>
          <w:rFonts w:ascii="Arial" w:hAnsi="Arial" w:cs="Arial"/>
          <w:sz w:val="24"/>
          <w:szCs w:val="24"/>
        </w:rPr>
        <w:t xml:space="preserve"> in empirical research. Bloom's taxonomy and modern neuroscience </w:t>
      </w:r>
      <w:r w:rsidRPr="00D34B6B">
        <w:rPr>
          <w:rFonts w:ascii="Arial" w:hAnsi="Arial" w:cs="Arial"/>
          <w:sz w:val="24"/>
          <w:szCs w:val="24"/>
        </w:rPr>
        <w:lastRenderedPageBreak/>
        <w:t>fundamentally disagree. Bloom's taxonomy assumes that there are hierarchies of cognitive processes, and that there are "lower-order" thinking skills and "higher-order" thinking skills. However, modern neuroscience demonstrates that thinking and cognition is a result of flexible, parallel processes that are a result of numerous cognitive processes at a given time</w:t>
      </w:r>
      <w:r w:rsidR="00F46A50">
        <w:rPr>
          <w:rFonts w:ascii="Arial" w:hAnsi="Arial" w:cs="Arial"/>
          <w:sz w:val="24"/>
          <w:szCs w:val="24"/>
        </w:rPr>
        <w:t xml:space="preserve"> </w:t>
      </w:r>
      <w:r w:rsidR="00F46A50" w:rsidRPr="00F46A50">
        <w:rPr>
          <w:rFonts w:ascii="Arial" w:hAnsi="Arial" w:cs="Arial"/>
          <w:sz w:val="24"/>
          <w:szCs w:val="24"/>
        </w:rPr>
        <w:t>(Oxman, 2008)</w:t>
      </w:r>
      <w:r w:rsidRPr="00D34B6B">
        <w:rPr>
          <w:rFonts w:ascii="Arial" w:hAnsi="Arial" w:cs="Arial"/>
          <w:sz w:val="24"/>
          <w:szCs w:val="24"/>
        </w:rPr>
        <w:t>.</w:t>
      </w:r>
    </w:p>
    <w:p w14:paraId="72309918" w14:textId="2B4A9158"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Moreover, most critical social dimensions of the learning process are omitted from the framework, which views learning as a purely cognitive affair, ignoring the social contexts of the process of meaning construction and knowledge affirmation. More recent views propose that knowledge should not be understood solely as a resource actively held by individuals, but rather as a byproduct of social interaction that encompasses dialogue, coordination and joint actions of solving problems, which are all omitted from Bloom's framework</w:t>
      </w:r>
      <w:r w:rsidR="0008226C">
        <w:rPr>
          <w:rFonts w:ascii="Arial" w:hAnsi="Arial" w:cs="Arial"/>
          <w:sz w:val="24"/>
          <w:szCs w:val="24"/>
        </w:rPr>
        <w:t xml:space="preserve"> </w:t>
      </w:r>
      <w:r w:rsidR="0008226C" w:rsidRPr="0008226C">
        <w:rPr>
          <w:rFonts w:ascii="Arial" w:hAnsi="Arial" w:cs="Arial"/>
          <w:sz w:val="24"/>
          <w:szCs w:val="24"/>
        </w:rPr>
        <w:t>(Schaap, 2021)</w:t>
      </w:r>
      <w:r w:rsidRPr="00D34B6B">
        <w:rPr>
          <w:rFonts w:ascii="Arial" w:hAnsi="Arial" w:cs="Arial"/>
          <w:sz w:val="24"/>
          <w:szCs w:val="24"/>
        </w:rPr>
        <w:t>. The framework also ignores the role of, arguably, the most important construct related to learning</w:t>
      </w:r>
      <w:r w:rsidR="00F46A50">
        <w:rPr>
          <w:rFonts w:ascii="Arial" w:hAnsi="Arial" w:cs="Arial"/>
          <w:sz w:val="24"/>
          <w:szCs w:val="24"/>
        </w:rPr>
        <w:t xml:space="preserve"> </w:t>
      </w:r>
      <w:r w:rsidRPr="00D34B6B">
        <w:rPr>
          <w:rFonts w:ascii="Arial" w:hAnsi="Arial" w:cs="Arial"/>
          <w:sz w:val="24"/>
          <w:szCs w:val="24"/>
        </w:rPr>
        <w:t>motivation</w:t>
      </w:r>
      <w:r w:rsidR="00F46A50">
        <w:rPr>
          <w:rFonts w:ascii="Arial" w:hAnsi="Arial" w:cs="Arial"/>
          <w:sz w:val="24"/>
          <w:szCs w:val="24"/>
        </w:rPr>
        <w:t xml:space="preserve"> </w:t>
      </w:r>
      <w:r w:rsidR="00F46A50" w:rsidRPr="00F46A50">
        <w:rPr>
          <w:rFonts w:ascii="Arial" w:hAnsi="Arial" w:cs="Arial"/>
          <w:sz w:val="24"/>
          <w:szCs w:val="24"/>
        </w:rPr>
        <w:t>(TAYLOR, CORDEIRO and CHRISPEELS, 2009)</w:t>
      </w:r>
      <w:r w:rsidRPr="00D34B6B">
        <w:rPr>
          <w:rFonts w:ascii="Arial" w:hAnsi="Arial" w:cs="Arial"/>
          <w:sz w:val="24"/>
          <w:szCs w:val="24"/>
        </w:rPr>
        <w:t>. Students could be cognitively equipped with the necessary skills in all six levels, but in the absence of motivation, learning stays superficial. In addition, the framework is said to be frequently misapplied or misinterpreted. Bloom himself indicated that the framework should not be primarily focused on the K-12 schooling levels, yet this is where the framework has most extensively been used, often leading to oversimplification of the intended educational aims of learning and the reduction of valuable and often sophisticated targets of learning to a mere categorization. Lastly, the educational aims of the framework lead to confusion, as the descriptive verbs of actions proposed guidelines for identifying the respective cognitive levels associated with them. A student asked to "compare" facts could be doing analysis, understanding, or even evaluation. The framework is supposed to demonstrate a clear relationship between actions and cognitive levels; however, this is far from reality</w:t>
      </w:r>
      <w:r w:rsidR="0008226C">
        <w:rPr>
          <w:rFonts w:ascii="Arial" w:hAnsi="Arial" w:cs="Arial"/>
          <w:sz w:val="24"/>
          <w:szCs w:val="24"/>
        </w:rPr>
        <w:t xml:space="preserve"> </w:t>
      </w:r>
      <w:r w:rsidR="0008226C" w:rsidRPr="0008226C">
        <w:rPr>
          <w:rFonts w:ascii="Arial" w:hAnsi="Arial" w:cs="Arial"/>
          <w:sz w:val="24"/>
          <w:szCs w:val="24"/>
        </w:rPr>
        <w:t>(L'Hommedieu, 2026)</w:t>
      </w:r>
      <w:r w:rsidRPr="00D34B6B">
        <w:rPr>
          <w:rFonts w:ascii="Arial" w:hAnsi="Arial" w:cs="Arial"/>
          <w:sz w:val="24"/>
          <w:szCs w:val="24"/>
        </w:rPr>
        <w:t>.</w:t>
      </w:r>
    </w:p>
    <w:p w14:paraId="4D6E271A" w14:textId="3FE2F4A5" w:rsidR="00D34B6B" w:rsidRPr="00172BE7" w:rsidRDefault="00D34B6B" w:rsidP="00172BE7">
      <w:pPr>
        <w:pStyle w:val="Titolo1"/>
        <w:rPr>
          <w:rFonts w:ascii="Arial" w:hAnsi="Arial" w:cs="Arial"/>
          <w:b/>
          <w:bCs/>
          <w:color w:val="000000" w:themeColor="text1"/>
          <w:sz w:val="24"/>
          <w:szCs w:val="24"/>
        </w:rPr>
      </w:pPr>
      <w:bookmarkStart w:id="4" w:name="_Toc218719450"/>
      <w:r w:rsidRPr="00172BE7">
        <w:rPr>
          <w:rFonts w:ascii="Arial" w:hAnsi="Arial" w:cs="Arial"/>
          <w:b/>
          <w:bCs/>
          <w:color w:val="000000" w:themeColor="text1"/>
          <w:sz w:val="24"/>
          <w:szCs w:val="24"/>
        </w:rPr>
        <w:t>Critical Reflection and Comparative Implications for Contemporary Pedagogy</w:t>
      </w:r>
      <w:bookmarkEnd w:id="4"/>
      <w:r w:rsidRPr="00172BE7">
        <w:rPr>
          <w:rFonts w:ascii="Arial" w:hAnsi="Arial" w:cs="Arial"/>
          <w:b/>
          <w:bCs/>
          <w:color w:val="000000" w:themeColor="text1"/>
          <w:sz w:val="24"/>
          <w:szCs w:val="24"/>
        </w:rPr>
        <w:t xml:space="preserve"> </w:t>
      </w:r>
    </w:p>
    <w:p w14:paraId="15DEF42E" w14:textId="1C203DEC" w:rsidR="00D34B6B" w:rsidRPr="00D34B6B" w:rsidRDefault="00D34B6B" w:rsidP="00D34B6B">
      <w:pPr>
        <w:spacing w:line="360" w:lineRule="auto"/>
        <w:jc w:val="both"/>
        <w:rPr>
          <w:rFonts w:ascii="Arial" w:hAnsi="Arial" w:cs="Arial"/>
          <w:sz w:val="24"/>
          <w:szCs w:val="24"/>
        </w:rPr>
      </w:pPr>
      <w:r w:rsidRPr="00D34B6B">
        <w:rPr>
          <w:rFonts w:ascii="Arial" w:hAnsi="Arial" w:cs="Arial"/>
          <w:sz w:val="24"/>
          <w:szCs w:val="24"/>
        </w:rPr>
        <w:t xml:space="preserve">It is possible to discern both complementary and contradictory insights that educators need to grapple with from a critical reflection from these two most influential educators. On the one hand, Blooms and Montessori are reflective of different responses to the same central challenge of education, namely, how to promote learning in a systematic way </w:t>
      </w:r>
      <w:r w:rsidRPr="00D34B6B">
        <w:rPr>
          <w:rFonts w:ascii="Arial" w:hAnsi="Arial" w:cs="Arial"/>
          <w:sz w:val="24"/>
          <w:szCs w:val="24"/>
        </w:rPr>
        <w:lastRenderedPageBreak/>
        <w:t>without losing sight of the developmental and individual differences of the child. Montessori's priority is the learner. She starts with the child and makes her observations on how children develop and what they are motivated to learn. Her learning theory is essentially descriptive in that it seeks to capture the learning that occurs within the provision and support of the right learning environment. On the other hand, Bloom's priority is the learning objective</w:t>
      </w:r>
      <w:r w:rsidR="006072BE">
        <w:rPr>
          <w:rFonts w:ascii="Arial" w:hAnsi="Arial" w:cs="Arial"/>
          <w:sz w:val="24"/>
          <w:szCs w:val="24"/>
        </w:rPr>
        <w:t xml:space="preserve"> </w:t>
      </w:r>
      <w:r w:rsidR="006072BE" w:rsidRPr="006072BE">
        <w:rPr>
          <w:rFonts w:ascii="Arial" w:hAnsi="Arial" w:cs="Arial"/>
          <w:sz w:val="24"/>
          <w:szCs w:val="24"/>
        </w:rPr>
        <w:t>(Bawarshi, 2026)</w:t>
      </w:r>
      <w:r w:rsidRPr="00D34B6B">
        <w:rPr>
          <w:rFonts w:ascii="Arial" w:hAnsi="Arial" w:cs="Arial"/>
          <w:sz w:val="24"/>
          <w:szCs w:val="24"/>
        </w:rPr>
        <w:t>. His fundamental starting question is what are the cognitive levels that the learner is expected to attain and what are the means of measuring these levels? His theory is prescriptive and seeks to provide an outcome-based order to educational systems. Bloom is, in your reading materials, located in the neo-</w:t>
      </w:r>
      <w:r w:rsidR="00C23D59" w:rsidRPr="00D34B6B">
        <w:rPr>
          <w:rFonts w:ascii="Arial" w:hAnsi="Arial" w:cs="Arial"/>
          <w:sz w:val="24"/>
          <w:szCs w:val="24"/>
        </w:rPr>
        <w:t>behaviourist</w:t>
      </w:r>
      <w:r w:rsidRPr="00D34B6B">
        <w:rPr>
          <w:rFonts w:ascii="Arial" w:hAnsi="Arial" w:cs="Arial"/>
          <w:sz w:val="24"/>
          <w:szCs w:val="24"/>
        </w:rPr>
        <w:t xml:space="preserve"> school of thought and Montessori in a constructivist school of thought. There are descriptions of children actively building their own levels of knowledge through mental interaction with the environment prepared for that purpose. These theoretical positionings also have immense practical implications</w:t>
      </w:r>
      <w:r w:rsidR="0008226C">
        <w:rPr>
          <w:rFonts w:ascii="Arial" w:hAnsi="Arial" w:cs="Arial"/>
          <w:sz w:val="24"/>
          <w:szCs w:val="24"/>
        </w:rPr>
        <w:t xml:space="preserve"> </w:t>
      </w:r>
      <w:r w:rsidR="0008226C" w:rsidRPr="0008226C">
        <w:rPr>
          <w:rFonts w:ascii="Arial" w:hAnsi="Arial" w:cs="Arial"/>
          <w:sz w:val="24"/>
          <w:szCs w:val="24"/>
        </w:rPr>
        <w:t>(Askari, 2026)</w:t>
      </w:r>
      <w:r w:rsidRPr="00D34B6B">
        <w:rPr>
          <w:rFonts w:ascii="Arial" w:hAnsi="Arial" w:cs="Arial"/>
          <w:sz w:val="24"/>
          <w:szCs w:val="24"/>
        </w:rPr>
        <w:t xml:space="preserve">. There has been a significant increase in the strength of the evidence that supports Montessori education theory largely because of credible and systematic </w:t>
      </w:r>
      <w:r w:rsidR="00C23D59" w:rsidRPr="00D34B6B">
        <w:rPr>
          <w:rFonts w:ascii="Arial" w:hAnsi="Arial" w:cs="Arial"/>
          <w:sz w:val="24"/>
          <w:szCs w:val="24"/>
        </w:rPr>
        <w:t>large-scale</w:t>
      </w:r>
      <w:r w:rsidRPr="00D34B6B">
        <w:rPr>
          <w:rFonts w:ascii="Arial" w:hAnsi="Arial" w:cs="Arial"/>
          <w:sz w:val="24"/>
          <w:szCs w:val="24"/>
        </w:rPr>
        <w:t xml:space="preserve"> studies and </w:t>
      </w:r>
      <w:r w:rsidR="00172BE7" w:rsidRPr="00D34B6B">
        <w:rPr>
          <w:rFonts w:ascii="Arial" w:hAnsi="Arial" w:cs="Arial"/>
          <w:sz w:val="24"/>
          <w:szCs w:val="24"/>
        </w:rPr>
        <w:t>meta-analyses</w:t>
      </w:r>
      <w:r w:rsidR="00BB57D8">
        <w:rPr>
          <w:rFonts w:ascii="Arial" w:hAnsi="Arial" w:cs="Arial"/>
          <w:sz w:val="24"/>
          <w:szCs w:val="24"/>
        </w:rPr>
        <w:t xml:space="preserve"> </w:t>
      </w:r>
      <w:r w:rsidR="00BB57D8" w:rsidRPr="00CB443C">
        <w:rPr>
          <w:rFonts w:ascii="Arial" w:hAnsi="Arial" w:cs="Arial"/>
          <w:sz w:val="24"/>
          <w:szCs w:val="24"/>
        </w:rPr>
        <w:t>(Luke</w:t>
      </w:r>
      <w:r w:rsidR="00BB57D8">
        <w:rPr>
          <w:rFonts w:ascii="Arial" w:hAnsi="Arial" w:cs="Arial"/>
          <w:sz w:val="24"/>
          <w:szCs w:val="24"/>
        </w:rPr>
        <w:t xml:space="preserve">, </w:t>
      </w:r>
      <w:r w:rsidR="00BB57D8" w:rsidRPr="00CB443C">
        <w:rPr>
          <w:rFonts w:ascii="Arial" w:hAnsi="Arial" w:cs="Arial"/>
          <w:sz w:val="24"/>
          <w:szCs w:val="24"/>
        </w:rPr>
        <w:t>2014)</w:t>
      </w:r>
      <w:r w:rsidRPr="00D34B6B">
        <w:rPr>
          <w:rFonts w:ascii="Arial" w:hAnsi="Arial" w:cs="Arial"/>
          <w:sz w:val="24"/>
          <w:szCs w:val="24"/>
        </w:rPr>
        <w:t>.</w:t>
      </w:r>
    </w:p>
    <w:p w14:paraId="2A97FEC2" w14:textId="2C55B442" w:rsidR="00D34B6B" w:rsidRPr="00D34B6B" w:rsidRDefault="00CB443C" w:rsidP="00D34B6B">
      <w:pPr>
        <w:spacing w:line="360" w:lineRule="auto"/>
        <w:jc w:val="both"/>
        <w:rPr>
          <w:rFonts w:ascii="Arial" w:hAnsi="Arial" w:cs="Arial"/>
          <w:sz w:val="24"/>
          <w:szCs w:val="24"/>
        </w:rPr>
      </w:pPr>
      <w:r w:rsidRPr="00CB443C">
        <w:rPr>
          <w:rFonts w:ascii="Arial" w:hAnsi="Arial" w:cs="Arial"/>
          <w:sz w:val="24"/>
          <w:szCs w:val="24"/>
        </w:rPr>
        <w:t>Probably the most indicative of these drawings is the merging of structure and flexibility, and the fusion of planning with the immediacy that good teaching requires</w:t>
      </w:r>
      <w:r w:rsidR="002A18D2" w:rsidRPr="002A18D2">
        <w:rPr>
          <w:rFonts w:ascii="Arial" w:hAnsi="Arial" w:cs="Arial"/>
          <w:sz w:val="24"/>
          <w:szCs w:val="24"/>
        </w:rPr>
        <w:t>. Bloom's formulation of learning outcomes is systematic and of real promise</w:t>
      </w:r>
      <w:r w:rsidR="00D34B6B" w:rsidRPr="00D34B6B">
        <w:rPr>
          <w:rFonts w:ascii="Arial" w:hAnsi="Arial" w:cs="Arial"/>
          <w:sz w:val="24"/>
          <w:szCs w:val="24"/>
        </w:rPr>
        <w:t>. Educators need to have some level of understanding concerning what learning outcomes they want students to reach and the purpose of those outcomes. However, this clarity should not solidify into a rigid, hierarchical, and simplistically system. Montessori's child-centredness, observation, and responsiveness to developmental readiness provide important counterbalances to the over-reliance on pre-defined, linear, and mechanistic curricula and constructs, yet her approaches also need structure, and so do her approaches; and environmental preparation is not a case of just letting children do what they want</w:t>
      </w:r>
      <w:r w:rsidR="006072BE">
        <w:rPr>
          <w:rFonts w:ascii="Arial" w:hAnsi="Arial" w:cs="Arial"/>
          <w:sz w:val="24"/>
          <w:szCs w:val="24"/>
        </w:rPr>
        <w:t xml:space="preserve"> </w:t>
      </w:r>
      <w:r w:rsidR="006072BE" w:rsidRPr="006072BE">
        <w:rPr>
          <w:rFonts w:ascii="Arial" w:hAnsi="Arial" w:cs="Arial"/>
          <w:sz w:val="24"/>
          <w:szCs w:val="24"/>
        </w:rPr>
        <w:t>(Beetham and Sharpe, 2019)</w:t>
      </w:r>
      <w:r w:rsidR="00D34B6B" w:rsidRPr="00D34B6B">
        <w:rPr>
          <w:rFonts w:ascii="Arial" w:hAnsi="Arial" w:cs="Arial"/>
          <w:sz w:val="24"/>
          <w:szCs w:val="24"/>
        </w:rPr>
        <w:t xml:space="preserve">. Evidence-based practice, which is contemporary education and emphasised in your module materials, might combine the two approaches; using systematised frameworks such as Bloom's to plan and express learning outcomes, while also adopting Montessori's focus on observation of individual learner differences, and her cultivation of intrinsic motivation, and advocacy for work with purposeful materials. Your </w:t>
      </w:r>
      <w:r w:rsidR="00D34B6B" w:rsidRPr="00D34B6B">
        <w:rPr>
          <w:rFonts w:ascii="Arial" w:hAnsi="Arial" w:cs="Arial"/>
          <w:sz w:val="24"/>
          <w:szCs w:val="24"/>
        </w:rPr>
        <w:lastRenderedPageBreak/>
        <w:t>materials state that, in addition to understanding a lot about the content, great teaching is about creating safe and supportive learning environments, maximising the learning opportunities, and making hard thinking work, which are all components that, in large part, require Bloom's clarity around cognitive outcomes, and, as Montessori recognised, how to create real engagement and development</w:t>
      </w:r>
      <w:r w:rsidR="006072BE">
        <w:rPr>
          <w:rFonts w:ascii="Arial" w:hAnsi="Arial" w:cs="Arial"/>
          <w:sz w:val="24"/>
          <w:szCs w:val="24"/>
        </w:rPr>
        <w:t xml:space="preserve"> </w:t>
      </w:r>
      <w:r w:rsidR="006072BE" w:rsidRPr="006072BE">
        <w:rPr>
          <w:rFonts w:ascii="Arial" w:hAnsi="Arial" w:cs="Arial"/>
          <w:sz w:val="24"/>
          <w:szCs w:val="24"/>
        </w:rPr>
        <w:t>(Giroux, 2018)</w:t>
      </w:r>
      <w:r w:rsidR="00D34B6B" w:rsidRPr="00D34B6B">
        <w:rPr>
          <w:rFonts w:ascii="Arial" w:hAnsi="Arial" w:cs="Arial"/>
          <w:sz w:val="24"/>
          <w:szCs w:val="24"/>
        </w:rPr>
        <w:t>.</w:t>
      </w:r>
    </w:p>
    <w:p w14:paraId="3A969F2F" w14:textId="7F7B2A78" w:rsidR="004413BE" w:rsidRDefault="00D34B6B" w:rsidP="004E01B0">
      <w:pPr>
        <w:spacing w:line="360" w:lineRule="auto"/>
        <w:jc w:val="both"/>
        <w:rPr>
          <w:rFonts w:ascii="Arial" w:hAnsi="Arial" w:cs="Arial"/>
          <w:sz w:val="24"/>
          <w:szCs w:val="24"/>
        </w:rPr>
      </w:pPr>
      <w:r w:rsidRPr="00D34B6B">
        <w:rPr>
          <w:rFonts w:ascii="Arial" w:hAnsi="Arial" w:cs="Arial"/>
          <w:sz w:val="24"/>
          <w:szCs w:val="24"/>
        </w:rPr>
        <w:t xml:space="preserve">The evidence increasingly suggest that the extremes reside in the boundary of both objective driven (Bloom) and child </w:t>
      </w:r>
      <w:r w:rsidR="0095474C" w:rsidRPr="00D34B6B">
        <w:rPr>
          <w:rFonts w:ascii="Arial" w:hAnsi="Arial" w:cs="Arial"/>
          <w:sz w:val="24"/>
          <w:szCs w:val="24"/>
        </w:rPr>
        <w:t>centred</w:t>
      </w:r>
      <w:r w:rsidRPr="00D34B6B">
        <w:rPr>
          <w:rFonts w:ascii="Arial" w:hAnsi="Arial" w:cs="Arial"/>
          <w:sz w:val="24"/>
          <w:szCs w:val="24"/>
        </w:rPr>
        <w:t xml:space="preserve"> (Montessori) models. Rather, most effective educators do integrate both; they set learning goals and curriculum aims, </w:t>
      </w:r>
      <w:r w:rsidR="00F770D7" w:rsidRPr="00D34B6B">
        <w:rPr>
          <w:rFonts w:ascii="Arial" w:hAnsi="Arial" w:cs="Arial"/>
          <w:sz w:val="24"/>
          <w:szCs w:val="24"/>
        </w:rPr>
        <w:t>yet</w:t>
      </w:r>
      <w:r w:rsidRPr="00D34B6B">
        <w:rPr>
          <w:rFonts w:ascii="Arial" w:hAnsi="Arial" w:cs="Arial"/>
          <w:sz w:val="24"/>
          <w:szCs w:val="24"/>
        </w:rPr>
        <w:t xml:space="preserve"> they attend to students as unique, encourage </w:t>
      </w:r>
      <w:r w:rsidR="00BF474E" w:rsidRPr="00D34B6B">
        <w:rPr>
          <w:rFonts w:ascii="Arial" w:hAnsi="Arial" w:cs="Arial"/>
          <w:sz w:val="24"/>
          <w:szCs w:val="24"/>
        </w:rPr>
        <w:t>self-determination</w:t>
      </w:r>
      <w:r w:rsidRPr="00D34B6B">
        <w:rPr>
          <w:rFonts w:ascii="Arial" w:hAnsi="Arial" w:cs="Arial"/>
          <w:sz w:val="24"/>
          <w:szCs w:val="24"/>
        </w:rPr>
        <w:t>, and build purposeful and relatable to real life learning situations</w:t>
      </w:r>
      <w:r w:rsidR="0008226C">
        <w:rPr>
          <w:rFonts w:ascii="Arial" w:hAnsi="Arial" w:cs="Arial"/>
          <w:sz w:val="24"/>
          <w:szCs w:val="24"/>
        </w:rPr>
        <w:t xml:space="preserve"> </w:t>
      </w:r>
      <w:r w:rsidR="0008226C" w:rsidRPr="0008226C">
        <w:rPr>
          <w:rFonts w:ascii="Arial" w:hAnsi="Arial" w:cs="Arial"/>
          <w:sz w:val="24"/>
          <w:szCs w:val="24"/>
        </w:rPr>
        <w:t>(Kelly, 2022)</w:t>
      </w:r>
      <w:r w:rsidRPr="00D34B6B">
        <w:rPr>
          <w:rFonts w:ascii="Arial" w:hAnsi="Arial" w:cs="Arial"/>
          <w:sz w:val="24"/>
          <w:szCs w:val="24"/>
        </w:rPr>
        <w:t xml:space="preserve">. Montessori's knowledge, based on science and factual observation, regarding children's natural learning and development, deserves to be valued highly in the present time, where </w:t>
      </w:r>
      <w:r w:rsidR="0044332D" w:rsidRPr="00D34B6B">
        <w:rPr>
          <w:rFonts w:ascii="Arial" w:hAnsi="Arial" w:cs="Arial"/>
          <w:sz w:val="24"/>
          <w:szCs w:val="24"/>
        </w:rPr>
        <w:t>evidence-based</w:t>
      </w:r>
      <w:r w:rsidRPr="00D34B6B">
        <w:rPr>
          <w:rFonts w:ascii="Arial" w:hAnsi="Arial" w:cs="Arial"/>
          <w:sz w:val="24"/>
          <w:szCs w:val="24"/>
        </w:rPr>
        <w:t xml:space="preserve"> practice is valued the most. Bloom's contribution is valid, as planning, but critiques and a great degree of humility are required regarding the science, and the limitations of the complexities of learning and development in humans</w:t>
      </w:r>
      <w:r w:rsidR="006072BE">
        <w:rPr>
          <w:rFonts w:ascii="Arial" w:hAnsi="Arial" w:cs="Arial"/>
          <w:sz w:val="24"/>
          <w:szCs w:val="24"/>
        </w:rPr>
        <w:t xml:space="preserve"> </w:t>
      </w:r>
      <w:r w:rsidR="006072BE" w:rsidRPr="006072BE">
        <w:rPr>
          <w:rFonts w:ascii="Arial" w:hAnsi="Arial" w:cs="Arial"/>
          <w:sz w:val="24"/>
          <w:szCs w:val="24"/>
        </w:rPr>
        <w:t>(Giroux, 2018)</w:t>
      </w:r>
      <w:r w:rsidR="004413BE" w:rsidRPr="004413BE">
        <w:rPr>
          <w:rFonts w:ascii="Arial" w:hAnsi="Arial" w:cs="Arial"/>
          <w:sz w:val="24"/>
          <w:szCs w:val="24"/>
        </w:rPr>
        <w:t>.​</w:t>
      </w:r>
    </w:p>
    <w:p w14:paraId="4CFEDC17" w14:textId="29483BC1" w:rsidR="008874CA" w:rsidRPr="00FC3820" w:rsidRDefault="008874CA" w:rsidP="00FC3820">
      <w:pPr>
        <w:pStyle w:val="Titolo1"/>
        <w:rPr>
          <w:rFonts w:ascii="Arial" w:hAnsi="Arial" w:cs="Arial"/>
          <w:b/>
          <w:bCs/>
          <w:color w:val="000000" w:themeColor="text1"/>
          <w:sz w:val="24"/>
          <w:szCs w:val="24"/>
        </w:rPr>
      </w:pPr>
      <w:bookmarkStart w:id="5" w:name="_Toc218719451"/>
      <w:r w:rsidRPr="00FC3820">
        <w:rPr>
          <w:rFonts w:ascii="Arial" w:hAnsi="Arial" w:cs="Arial"/>
          <w:b/>
          <w:bCs/>
          <w:color w:val="000000" w:themeColor="text1"/>
          <w:sz w:val="24"/>
          <w:szCs w:val="24"/>
        </w:rPr>
        <w:t>Conclusion</w:t>
      </w:r>
      <w:bookmarkEnd w:id="5"/>
      <w:r w:rsidRPr="00FC3820">
        <w:rPr>
          <w:rFonts w:ascii="Arial" w:hAnsi="Arial" w:cs="Arial"/>
          <w:b/>
          <w:bCs/>
          <w:color w:val="000000" w:themeColor="text1"/>
          <w:sz w:val="24"/>
          <w:szCs w:val="24"/>
        </w:rPr>
        <w:t xml:space="preserve"> </w:t>
      </w:r>
    </w:p>
    <w:p w14:paraId="301DDA60" w14:textId="57A2EF9D" w:rsidR="008874CA" w:rsidRPr="008874CA" w:rsidRDefault="008874CA" w:rsidP="008874CA">
      <w:pPr>
        <w:spacing w:line="360" w:lineRule="auto"/>
        <w:jc w:val="both"/>
        <w:rPr>
          <w:rFonts w:ascii="Arial" w:hAnsi="Arial" w:cs="Arial"/>
          <w:sz w:val="24"/>
          <w:szCs w:val="24"/>
        </w:rPr>
      </w:pPr>
      <w:r w:rsidRPr="008874CA">
        <w:rPr>
          <w:rFonts w:ascii="Arial" w:hAnsi="Arial" w:cs="Arial"/>
          <w:sz w:val="24"/>
          <w:szCs w:val="24"/>
        </w:rPr>
        <w:t>The analysis of Maria Montessori and Benjamin Bloom proves that a synthesis of ideas of both theorists and critical attention to evidence from practice to theory suggests the most conducive pedagogical principles. Montessori's legacy shows that dynamic child-</w:t>
      </w:r>
      <w:r w:rsidR="00244434" w:rsidRPr="008874CA">
        <w:rPr>
          <w:rFonts w:ascii="Arial" w:hAnsi="Arial" w:cs="Arial"/>
          <w:sz w:val="24"/>
          <w:szCs w:val="24"/>
        </w:rPr>
        <w:t>centred</w:t>
      </w:r>
      <w:r w:rsidRPr="008874CA">
        <w:rPr>
          <w:rFonts w:ascii="Arial" w:hAnsi="Arial" w:cs="Arial"/>
          <w:sz w:val="24"/>
          <w:szCs w:val="24"/>
        </w:rPr>
        <w:t xml:space="preserve"> learning, coupled with the observation of challenging materials, fosters academic and non-academic learning. This validates her belief that education should reflect the developmental stages of children. Her publications, coupled with the most recent meta-analyses that document educational gains of students in executive function, creativity, social and emotional skills, and academic achievement, intensively argue for the educational value of environments that promote the freedom to learn and self-directed learning. Nevertheless, she bore the Montessori Method that demands a higher degree of sophistication from the educators, preparation of the environments, and a greater degree of flexibility from the education systems, which explains the evidence-inspired Montessori method's slow adoption Bloom's taxonomy, despite its limitations on theory, will at least provide educators with an abundantly clear learning objective and a commonly </w:t>
      </w:r>
      <w:r w:rsidRPr="008874CA">
        <w:rPr>
          <w:rFonts w:ascii="Arial" w:hAnsi="Arial" w:cs="Arial"/>
          <w:sz w:val="24"/>
          <w:szCs w:val="24"/>
        </w:rPr>
        <w:lastRenderedPageBreak/>
        <w:t>accepted language to talk about the different levels of cognitive skills. Nevertheless, a strong reliance on Bloom's framework neglects the social, emotional, and motivational aspect of learning. It also does not reflect how modern neuroscience perceives cognition, and it is based on assumptions that are in contrast with modern learning science research.</w:t>
      </w:r>
    </w:p>
    <w:p w14:paraId="044F4F8C" w14:textId="6D378B1C" w:rsidR="008874CA" w:rsidRPr="008874CA" w:rsidRDefault="008874CA" w:rsidP="008874CA">
      <w:pPr>
        <w:spacing w:line="360" w:lineRule="auto"/>
        <w:jc w:val="both"/>
        <w:rPr>
          <w:rFonts w:ascii="Arial" w:hAnsi="Arial" w:cs="Arial"/>
          <w:sz w:val="24"/>
          <w:szCs w:val="24"/>
        </w:rPr>
      </w:pPr>
      <w:r w:rsidRPr="008874CA">
        <w:rPr>
          <w:rFonts w:ascii="Arial" w:hAnsi="Arial" w:cs="Arial"/>
          <w:sz w:val="24"/>
          <w:szCs w:val="24"/>
        </w:rPr>
        <w:t xml:space="preserve">Instead of viewing theorists as adversaries, contemporary educators take advantage of synthesis: Bloom’s framework for clarifying learning goals, coupled with Montessori’s focus on the observation of, and engagement with, the learner’s developmental readiness. The frameworks of evidence-informed teaching outlined in ECES7004 demonstrate that great teaching draws on both: teaching with understanding, an environment that supports learning, fully attentive learning, and the eliciting of deep thinking. With the </w:t>
      </w:r>
      <w:r w:rsidR="005D73E5" w:rsidRPr="008874CA">
        <w:rPr>
          <w:rFonts w:ascii="Arial" w:hAnsi="Arial" w:cs="Arial"/>
          <w:sz w:val="24"/>
          <w:szCs w:val="24"/>
        </w:rPr>
        <w:t>persistent</w:t>
      </w:r>
      <w:r w:rsidRPr="008874CA">
        <w:rPr>
          <w:rFonts w:ascii="Arial" w:hAnsi="Arial" w:cs="Arial"/>
          <w:sz w:val="24"/>
          <w:szCs w:val="24"/>
        </w:rPr>
        <w:t xml:space="preserve"> inequities in educational systems and the teacher retention crisis, the need for blended frameworks is urgent. Montessori reminds us that learning flourishes when we stimulate children’s internal drives. Bloom reminds us that we need to be clear, and that our objectives must be outlined in a logical order. Educators must develop the ability to integrate child-</w:t>
      </w:r>
      <w:r w:rsidR="005D73E5" w:rsidRPr="008874CA">
        <w:rPr>
          <w:rFonts w:ascii="Arial" w:hAnsi="Arial" w:cs="Arial"/>
          <w:sz w:val="24"/>
          <w:szCs w:val="24"/>
        </w:rPr>
        <w:t>centred</w:t>
      </w:r>
      <w:r w:rsidRPr="008874CA">
        <w:rPr>
          <w:rFonts w:ascii="Arial" w:hAnsi="Arial" w:cs="Arial"/>
          <w:sz w:val="24"/>
          <w:szCs w:val="24"/>
        </w:rPr>
        <w:t xml:space="preserve"> responsiveness and systematic framework; to balance autonomy and control; to reconcile both the pleasure of learning and the attainment of goals. This portfolio, in the end, defends the value of epistemological humility, the belief that no learning theory can incorporate the full complexity of learning, and the need for ongoing improvement based on empirical evidence and not loyalty to a theory.</w:t>
      </w:r>
    </w:p>
    <w:p w14:paraId="03CF3109" w14:textId="77777777" w:rsidR="002D211A" w:rsidRDefault="002D211A">
      <w:pPr>
        <w:rPr>
          <w:rFonts w:ascii="Arial" w:eastAsiaTheme="majorEastAsia" w:hAnsi="Arial" w:cs="Arial"/>
          <w:b/>
          <w:bCs/>
          <w:color w:val="000000" w:themeColor="text1"/>
          <w:sz w:val="24"/>
          <w:szCs w:val="24"/>
        </w:rPr>
      </w:pPr>
      <w:bookmarkStart w:id="6" w:name="_Toc218719452"/>
      <w:r>
        <w:rPr>
          <w:rFonts w:ascii="Arial" w:hAnsi="Arial" w:cs="Arial"/>
          <w:b/>
          <w:bCs/>
          <w:color w:val="000000" w:themeColor="text1"/>
          <w:sz w:val="24"/>
          <w:szCs w:val="24"/>
        </w:rPr>
        <w:br w:type="page"/>
      </w:r>
    </w:p>
    <w:p w14:paraId="7F729D25" w14:textId="17B1F516" w:rsidR="0008226C" w:rsidRDefault="000B2319" w:rsidP="00EA237C">
      <w:pPr>
        <w:pStyle w:val="Titolo1"/>
        <w:rPr>
          <w:rFonts w:ascii="Arial" w:hAnsi="Arial" w:cs="Arial"/>
          <w:b/>
          <w:bCs/>
          <w:color w:val="000000" w:themeColor="text1"/>
          <w:sz w:val="24"/>
          <w:szCs w:val="24"/>
        </w:rPr>
      </w:pPr>
      <w:r w:rsidRPr="00D41DDD">
        <w:rPr>
          <w:rFonts w:ascii="Arial" w:hAnsi="Arial" w:cs="Arial"/>
          <w:b/>
          <w:bCs/>
          <w:color w:val="000000" w:themeColor="text1"/>
          <w:sz w:val="24"/>
          <w:szCs w:val="24"/>
        </w:rPr>
        <w:lastRenderedPageBreak/>
        <w:t>References</w:t>
      </w:r>
      <w:bookmarkEnd w:id="6"/>
    </w:p>
    <w:p w14:paraId="35D3B143"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Askari, N.H. (2026) 'Is Maria Montessori's philosophy still relevant for the 21st century?', pp. 91–106. Available at: </w:t>
      </w:r>
      <w:hyperlink r:id="rId6" w:tgtFrame="_blank" w:history="1">
        <w:r w:rsidRPr="00EA237C">
          <w:rPr>
            <w:rStyle w:val="Collegamentoipertestuale"/>
            <w:rFonts w:ascii="Arial" w:hAnsi="Arial" w:cs="Arial"/>
            <w:sz w:val="24"/>
            <w:szCs w:val="24"/>
          </w:rPr>
          <w:t>https://doi.org/10.1108/978-1-80592-621-420261007</w:t>
        </w:r>
      </w:hyperlink>
      <w:r w:rsidRPr="00EA237C">
        <w:rPr>
          <w:rFonts w:ascii="Arial" w:hAnsi="Arial" w:cs="Arial"/>
          <w:sz w:val="24"/>
          <w:szCs w:val="24"/>
        </w:rPr>
        <w:t>.</w:t>
      </w:r>
    </w:p>
    <w:p w14:paraId="15443168"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Baggio, C. (2025) </w:t>
      </w:r>
      <w:r w:rsidRPr="00EA237C">
        <w:rPr>
          <w:rFonts w:ascii="Arial" w:hAnsi="Arial" w:cs="Arial"/>
          <w:i/>
          <w:iCs/>
          <w:sz w:val="24"/>
          <w:szCs w:val="24"/>
        </w:rPr>
        <w:t>Language teaching accessibility of students with specific language needs: a Montessori approach to reading and writing</w:t>
      </w:r>
      <w:r w:rsidRPr="00EA237C">
        <w:rPr>
          <w:rFonts w:ascii="Arial" w:hAnsi="Arial" w:cs="Arial"/>
          <w:sz w:val="24"/>
          <w:szCs w:val="24"/>
        </w:rPr>
        <w:t>. Available at: </w:t>
      </w:r>
      <w:hyperlink r:id="rId7" w:tgtFrame="_blank" w:history="1">
        <w:r w:rsidRPr="00EA237C">
          <w:rPr>
            <w:rStyle w:val="Collegamentoipertestuale"/>
            <w:rFonts w:ascii="Arial" w:hAnsi="Arial" w:cs="Arial"/>
            <w:sz w:val="24"/>
            <w:szCs w:val="24"/>
          </w:rPr>
          <w:t>https://hdl.handle.net/20.500.14247/12811</w:t>
        </w:r>
      </w:hyperlink>
      <w:r w:rsidRPr="00EA237C">
        <w:rPr>
          <w:rFonts w:ascii="Arial" w:hAnsi="Arial" w:cs="Arial"/>
          <w:sz w:val="24"/>
          <w:szCs w:val="24"/>
        </w:rPr>
        <w:t>.</w:t>
      </w:r>
    </w:p>
    <w:p w14:paraId="742822FE"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Bawarshi, A. (2026) </w:t>
      </w:r>
      <w:r w:rsidRPr="00EA237C">
        <w:rPr>
          <w:rFonts w:ascii="Arial" w:hAnsi="Arial" w:cs="Arial"/>
          <w:i/>
          <w:iCs/>
          <w:sz w:val="24"/>
          <w:szCs w:val="24"/>
        </w:rPr>
        <w:t>Genre</w:t>
      </w:r>
      <w:r w:rsidRPr="00EA237C">
        <w:rPr>
          <w:rFonts w:ascii="Arial" w:hAnsi="Arial" w:cs="Arial"/>
          <w:sz w:val="24"/>
          <w:szCs w:val="24"/>
        </w:rPr>
        <w:t>. Google Books. Available at: </w:t>
      </w:r>
      <w:hyperlink r:id="rId8" w:anchor="v=onepage&amp;q=pedagogy%20theorists&amp;f=false" w:tgtFrame="_blank" w:history="1">
        <w:r w:rsidRPr="00EA237C">
          <w:rPr>
            <w:rStyle w:val="Collegamentoipertestuale"/>
            <w:rFonts w:ascii="Arial" w:hAnsi="Arial" w:cs="Arial"/>
            <w:sz w:val="24"/>
            <w:szCs w:val="24"/>
          </w:rPr>
          <w:t>https://books.google.com.pk/books?hl=en&amp;lr=&amp;id=oqoWEAAAQBAJ&amp;oi=fnd&amp;pg=PT9&amp;dq=pedagogy+theorists&amp;ots=HkYhsKk3m5&amp;sig=NZWxkLwx3-Mahme4X1-KnePHPTA&amp;redir_esc=y#v=onepage&amp;q=pedagogy%20theorists&amp;f=false</w:t>
        </w:r>
      </w:hyperlink>
      <w:r w:rsidRPr="00EA237C">
        <w:rPr>
          <w:rFonts w:ascii="Arial" w:hAnsi="Arial" w:cs="Arial"/>
          <w:sz w:val="24"/>
          <w:szCs w:val="24"/>
        </w:rPr>
        <w:t> (Accessed: 7 January 2026).</w:t>
      </w:r>
    </w:p>
    <w:p w14:paraId="42D35DAA"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Beetham, H. and Sharpe, R. (2019) 'An introduction to rethinking pedagogy', pp. 1–14. Available at: </w:t>
      </w:r>
      <w:hyperlink r:id="rId9" w:tgtFrame="_blank" w:history="1">
        <w:r w:rsidRPr="00EA237C">
          <w:rPr>
            <w:rStyle w:val="Collegamentoipertestuale"/>
            <w:rFonts w:ascii="Arial" w:hAnsi="Arial" w:cs="Arial"/>
            <w:sz w:val="24"/>
            <w:szCs w:val="24"/>
          </w:rPr>
          <w:t>https://doi.org/10.4324/9781351252805-1</w:t>
        </w:r>
      </w:hyperlink>
      <w:r w:rsidRPr="00EA237C">
        <w:rPr>
          <w:rFonts w:ascii="Arial" w:hAnsi="Arial" w:cs="Arial"/>
          <w:sz w:val="24"/>
          <w:szCs w:val="24"/>
        </w:rPr>
        <w:t>.</w:t>
      </w:r>
    </w:p>
    <w:p w14:paraId="41BD121B"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Breunig, M. (2005) 'Turning experiential education and critical pedagogy theory into praxis', </w:t>
      </w:r>
      <w:r w:rsidRPr="00EA237C">
        <w:rPr>
          <w:rFonts w:ascii="Arial" w:hAnsi="Arial" w:cs="Arial"/>
          <w:i/>
          <w:iCs/>
          <w:sz w:val="24"/>
          <w:szCs w:val="24"/>
        </w:rPr>
        <w:t>Journal of Experiential Education</w:t>
      </w:r>
      <w:r w:rsidRPr="00EA237C">
        <w:rPr>
          <w:rFonts w:ascii="Arial" w:hAnsi="Arial" w:cs="Arial"/>
          <w:sz w:val="24"/>
          <w:szCs w:val="24"/>
        </w:rPr>
        <w:t>, 28(2), pp. 106–122. Available at: </w:t>
      </w:r>
      <w:hyperlink r:id="rId10" w:tgtFrame="_blank" w:history="1">
        <w:r w:rsidRPr="00EA237C">
          <w:rPr>
            <w:rStyle w:val="Collegamentoipertestuale"/>
            <w:rFonts w:ascii="Arial" w:hAnsi="Arial" w:cs="Arial"/>
            <w:sz w:val="24"/>
            <w:szCs w:val="24"/>
          </w:rPr>
          <w:t>https://doi.org/10.1177/105382590502800205</w:t>
        </w:r>
      </w:hyperlink>
      <w:r w:rsidRPr="00EA237C">
        <w:rPr>
          <w:rFonts w:ascii="Arial" w:hAnsi="Arial" w:cs="Arial"/>
          <w:sz w:val="24"/>
          <w:szCs w:val="24"/>
        </w:rPr>
        <w:t>.</w:t>
      </w:r>
    </w:p>
    <w:p w14:paraId="0D6C7D5D"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Daboll, M. (2024) </w:t>
      </w:r>
      <w:r w:rsidRPr="00EA237C">
        <w:rPr>
          <w:rFonts w:ascii="Arial" w:hAnsi="Arial" w:cs="Arial"/>
          <w:i/>
          <w:iCs/>
          <w:sz w:val="24"/>
          <w:szCs w:val="24"/>
        </w:rPr>
        <w:t>Preparing the forest: designing intersections between Montessori and nature-based education</w:t>
      </w:r>
      <w:r w:rsidRPr="00EA237C">
        <w:rPr>
          <w:rFonts w:ascii="Arial" w:hAnsi="Arial" w:cs="Arial"/>
          <w:sz w:val="24"/>
          <w:szCs w:val="24"/>
        </w:rPr>
        <w:t>. ProQuest Dissertations and Theses. Available at: </w:t>
      </w:r>
      <w:hyperlink r:id="rId11" w:tgtFrame="_blank" w:history="1">
        <w:r w:rsidRPr="00EA237C">
          <w:rPr>
            <w:rStyle w:val="Collegamentoipertestuale"/>
            <w:rFonts w:ascii="Arial" w:hAnsi="Arial" w:cs="Arial"/>
            <w:sz w:val="24"/>
            <w:szCs w:val="24"/>
          </w:rPr>
          <w:t>https://www.proquest.com/openview/e8d0ae59bc4675ca20334c3d638bb0c8/1?pq-origsite=gscholar&amp;cbl=18750&amp;diss=y</w:t>
        </w:r>
      </w:hyperlink>
      <w:r w:rsidRPr="00EA237C">
        <w:rPr>
          <w:rFonts w:ascii="Arial" w:hAnsi="Arial" w:cs="Arial"/>
          <w:sz w:val="24"/>
          <w:szCs w:val="24"/>
        </w:rPr>
        <w:t> (Accessed: 7 January 2026).</w:t>
      </w:r>
    </w:p>
    <w:p w14:paraId="16120D50"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Daria, L. (2026) </w:t>
      </w:r>
      <w:r w:rsidRPr="00EA237C">
        <w:rPr>
          <w:rFonts w:ascii="Arial" w:hAnsi="Arial" w:cs="Arial"/>
          <w:i/>
          <w:iCs/>
          <w:sz w:val="24"/>
          <w:szCs w:val="24"/>
        </w:rPr>
        <w:t>Comparison of the application of Maria Montessori's language arts ideas and practices in two periods of development in the United States: 1909-1921 and 1953-1963</w:t>
      </w:r>
      <w:r w:rsidRPr="00EA237C">
        <w:rPr>
          <w:rFonts w:ascii="Arial" w:hAnsi="Arial" w:cs="Arial"/>
          <w:sz w:val="24"/>
          <w:szCs w:val="24"/>
        </w:rPr>
        <w:t>. ProQuest Dissertations and Theses. Available at: </w:t>
      </w:r>
      <w:hyperlink r:id="rId12" w:tgtFrame="_blank" w:history="1">
        <w:r w:rsidRPr="00EA237C">
          <w:rPr>
            <w:rStyle w:val="Collegamentoipertestuale"/>
            <w:rFonts w:ascii="Arial" w:hAnsi="Arial" w:cs="Arial"/>
            <w:sz w:val="24"/>
            <w:szCs w:val="24"/>
          </w:rPr>
          <w:t>https://www.proquest.com/openview/75d2006a845dd9aad03acd8087d32f17/1?pq-origsite=gscholar&amp;cbl=18750&amp;diss=y</w:t>
        </w:r>
      </w:hyperlink>
      <w:r w:rsidRPr="00EA237C">
        <w:rPr>
          <w:rFonts w:ascii="Arial" w:hAnsi="Arial" w:cs="Arial"/>
          <w:sz w:val="24"/>
          <w:szCs w:val="24"/>
        </w:rPr>
        <w:t> (Accessed: 13 January 2026).</w:t>
      </w:r>
    </w:p>
    <w:p w14:paraId="4D957633"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Fiddler, W. (2009) 'The Montessori method', </w:t>
      </w:r>
      <w:r w:rsidRPr="00EA237C">
        <w:rPr>
          <w:rFonts w:ascii="Arial" w:hAnsi="Arial" w:cs="Arial"/>
          <w:i/>
          <w:iCs/>
          <w:sz w:val="24"/>
          <w:szCs w:val="24"/>
        </w:rPr>
        <w:t>Practical Pre-School</w:t>
      </w:r>
      <w:r w:rsidRPr="00EA237C">
        <w:rPr>
          <w:rFonts w:ascii="Arial" w:hAnsi="Arial" w:cs="Arial"/>
          <w:sz w:val="24"/>
          <w:szCs w:val="24"/>
        </w:rPr>
        <w:t>, 2009(99), pp. 19–20. Available at: </w:t>
      </w:r>
      <w:hyperlink r:id="rId13" w:tgtFrame="_blank" w:history="1">
        <w:r w:rsidRPr="00EA237C">
          <w:rPr>
            <w:rStyle w:val="Collegamentoipertestuale"/>
            <w:rFonts w:ascii="Arial" w:hAnsi="Arial" w:cs="Arial"/>
            <w:sz w:val="24"/>
            <w:szCs w:val="24"/>
          </w:rPr>
          <w:t>https://doi.org/10.12968/prps.2009.1.99.40961</w:t>
        </w:r>
      </w:hyperlink>
      <w:r w:rsidRPr="00EA237C">
        <w:rPr>
          <w:rFonts w:ascii="Arial" w:hAnsi="Arial" w:cs="Arial"/>
          <w:sz w:val="24"/>
          <w:szCs w:val="24"/>
        </w:rPr>
        <w:t>.</w:t>
      </w:r>
    </w:p>
    <w:p w14:paraId="79E46EF2"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lastRenderedPageBreak/>
        <w:t>Foster, L.K. (2025) 'Early childhood classroom design', </w:t>
      </w:r>
      <w:r w:rsidRPr="00EA237C">
        <w:rPr>
          <w:rFonts w:ascii="Arial" w:hAnsi="Arial" w:cs="Arial"/>
          <w:i/>
          <w:iCs/>
          <w:sz w:val="24"/>
          <w:szCs w:val="24"/>
        </w:rPr>
        <w:t>Journal of Montessori Research</w:t>
      </w:r>
      <w:r w:rsidRPr="00EA237C">
        <w:rPr>
          <w:rFonts w:ascii="Arial" w:hAnsi="Arial" w:cs="Arial"/>
          <w:sz w:val="24"/>
          <w:szCs w:val="24"/>
        </w:rPr>
        <w:t>, 11(2). Available at: </w:t>
      </w:r>
      <w:hyperlink r:id="rId14" w:tgtFrame="_blank" w:history="1">
        <w:r w:rsidRPr="00EA237C">
          <w:rPr>
            <w:rStyle w:val="Collegamentoipertestuale"/>
            <w:rFonts w:ascii="Arial" w:hAnsi="Arial" w:cs="Arial"/>
            <w:sz w:val="24"/>
            <w:szCs w:val="24"/>
          </w:rPr>
          <w:t>https://doi.org/10.17161/jomr.v11i2.24130</w:t>
        </w:r>
      </w:hyperlink>
      <w:r w:rsidRPr="00EA237C">
        <w:rPr>
          <w:rFonts w:ascii="Arial" w:hAnsi="Arial" w:cs="Arial"/>
          <w:sz w:val="24"/>
          <w:szCs w:val="24"/>
        </w:rPr>
        <w:t>.</w:t>
      </w:r>
    </w:p>
    <w:p w14:paraId="4B8133BF"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Gergely, G., Egyed, K. and Király, I. (2007) 'On pedagogy', </w:t>
      </w:r>
      <w:r w:rsidRPr="00EA237C">
        <w:rPr>
          <w:rFonts w:ascii="Arial" w:hAnsi="Arial" w:cs="Arial"/>
          <w:i/>
          <w:iCs/>
          <w:sz w:val="24"/>
          <w:szCs w:val="24"/>
        </w:rPr>
        <w:t>Developmental Science</w:t>
      </w:r>
      <w:r w:rsidRPr="00EA237C">
        <w:rPr>
          <w:rFonts w:ascii="Arial" w:hAnsi="Arial" w:cs="Arial"/>
          <w:sz w:val="24"/>
          <w:szCs w:val="24"/>
        </w:rPr>
        <w:t>, 10(1), pp. 139–146. Available at: </w:t>
      </w:r>
      <w:hyperlink r:id="rId15" w:tgtFrame="_blank" w:history="1">
        <w:r w:rsidRPr="00EA237C">
          <w:rPr>
            <w:rStyle w:val="Collegamentoipertestuale"/>
            <w:rFonts w:ascii="Arial" w:hAnsi="Arial" w:cs="Arial"/>
            <w:sz w:val="24"/>
            <w:szCs w:val="24"/>
          </w:rPr>
          <w:t>https://doi.org/10.1111/j.1467-7687.2007.00576.x</w:t>
        </w:r>
      </w:hyperlink>
      <w:r w:rsidRPr="00EA237C">
        <w:rPr>
          <w:rFonts w:ascii="Arial" w:hAnsi="Arial" w:cs="Arial"/>
          <w:sz w:val="24"/>
          <w:szCs w:val="24"/>
        </w:rPr>
        <w:t>.</w:t>
      </w:r>
    </w:p>
    <w:p w14:paraId="36AB0DB7"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Giroux, H.A. (2018) </w:t>
      </w:r>
      <w:r w:rsidRPr="00EA237C">
        <w:rPr>
          <w:rFonts w:ascii="Arial" w:hAnsi="Arial" w:cs="Arial"/>
          <w:i/>
          <w:iCs/>
          <w:sz w:val="24"/>
          <w:szCs w:val="24"/>
        </w:rPr>
        <w:t>Pedagogy and the politics of hope</w:t>
      </w:r>
      <w:r w:rsidRPr="00EA237C">
        <w:rPr>
          <w:rFonts w:ascii="Arial" w:hAnsi="Arial" w:cs="Arial"/>
          <w:sz w:val="24"/>
          <w:szCs w:val="24"/>
        </w:rPr>
        <w:t>. Routledge. Available at: </w:t>
      </w:r>
      <w:hyperlink r:id="rId16" w:tgtFrame="_blank" w:history="1">
        <w:r w:rsidRPr="00EA237C">
          <w:rPr>
            <w:rStyle w:val="Collegamentoipertestuale"/>
            <w:rFonts w:ascii="Arial" w:hAnsi="Arial" w:cs="Arial"/>
            <w:sz w:val="24"/>
            <w:szCs w:val="24"/>
          </w:rPr>
          <w:t>https://doi.org/10.4324/9780429498428</w:t>
        </w:r>
      </w:hyperlink>
      <w:r w:rsidRPr="00EA237C">
        <w:rPr>
          <w:rFonts w:ascii="Arial" w:hAnsi="Arial" w:cs="Arial"/>
          <w:sz w:val="24"/>
          <w:szCs w:val="24"/>
        </w:rPr>
        <w:t>.</w:t>
      </w:r>
    </w:p>
    <w:p w14:paraId="5B39EB76"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Hanson, D. (2026) </w:t>
      </w:r>
      <w:r w:rsidRPr="00EA237C">
        <w:rPr>
          <w:rFonts w:ascii="Arial" w:hAnsi="Arial" w:cs="Arial"/>
          <w:i/>
          <w:iCs/>
          <w:sz w:val="24"/>
          <w:szCs w:val="24"/>
        </w:rPr>
        <w:t>An exploratory study on the effectiveness of Montessori constructs and traditional teaching methodology as change agents to increase academic achievement of elementary Black students</w:t>
      </w:r>
      <w:r w:rsidRPr="00EA237C">
        <w:rPr>
          <w:rFonts w:ascii="Arial" w:hAnsi="Arial" w:cs="Arial"/>
          <w:sz w:val="24"/>
          <w:szCs w:val="24"/>
        </w:rPr>
        <w:t>. ProQuest Dissertations and Theses. Available at: </w:t>
      </w:r>
      <w:hyperlink r:id="rId17" w:tgtFrame="_blank" w:history="1">
        <w:r w:rsidRPr="00EA237C">
          <w:rPr>
            <w:rStyle w:val="Collegamentoipertestuale"/>
            <w:rFonts w:ascii="Arial" w:hAnsi="Arial" w:cs="Arial"/>
            <w:sz w:val="24"/>
            <w:szCs w:val="24"/>
          </w:rPr>
          <w:t>https://www.proquest.com/openview/0a70642fca1873c7cf41c69c8f4caa34/1?pq-origsite=gscholar&amp;cbl=18750</w:t>
        </w:r>
      </w:hyperlink>
      <w:r w:rsidRPr="00EA237C">
        <w:rPr>
          <w:rFonts w:ascii="Arial" w:hAnsi="Arial" w:cs="Arial"/>
          <w:sz w:val="24"/>
          <w:szCs w:val="24"/>
        </w:rPr>
        <w:t> (Accessed: 13 January 2026).</w:t>
      </w:r>
    </w:p>
    <w:p w14:paraId="580B00BB"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Harris, K. (2026) </w:t>
      </w:r>
      <w:r w:rsidRPr="00EA237C">
        <w:rPr>
          <w:rFonts w:ascii="Arial" w:hAnsi="Arial" w:cs="Arial"/>
          <w:i/>
          <w:iCs/>
          <w:sz w:val="24"/>
          <w:szCs w:val="24"/>
        </w:rPr>
        <w:t>The role of metacognition in a Montessori environment and the effects on academic achievement</w:t>
      </w:r>
      <w:r w:rsidRPr="00EA237C">
        <w:rPr>
          <w:rFonts w:ascii="Arial" w:hAnsi="Arial" w:cs="Arial"/>
          <w:sz w:val="24"/>
          <w:szCs w:val="24"/>
        </w:rPr>
        <w:t>. ProQuest Dissertations and Theses. Available at: </w:t>
      </w:r>
      <w:hyperlink r:id="rId18" w:tgtFrame="_blank" w:history="1">
        <w:r w:rsidRPr="00EA237C">
          <w:rPr>
            <w:rStyle w:val="Collegamentoipertestuale"/>
            <w:rFonts w:ascii="Arial" w:hAnsi="Arial" w:cs="Arial"/>
            <w:sz w:val="24"/>
            <w:szCs w:val="24"/>
          </w:rPr>
          <w:t>https://www.proquest.com/openview/909bcac47cfd61f819da8529608fe61b/1?pq-origsite=gscholar&amp;cbl=18750</w:t>
        </w:r>
      </w:hyperlink>
      <w:r w:rsidRPr="00EA237C">
        <w:rPr>
          <w:rFonts w:ascii="Arial" w:hAnsi="Arial" w:cs="Arial"/>
          <w:sz w:val="24"/>
          <w:szCs w:val="24"/>
        </w:rPr>
        <w:t> (Accessed: 7 January 2026).</w:t>
      </w:r>
    </w:p>
    <w:p w14:paraId="3927F13B"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Kelly, M. (2022) </w:t>
      </w:r>
      <w:r w:rsidRPr="00EA237C">
        <w:rPr>
          <w:rFonts w:ascii="Arial" w:hAnsi="Arial" w:cs="Arial"/>
          <w:i/>
          <w:iCs/>
          <w:sz w:val="24"/>
          <w:szCs w:val="24"/>
        </w:rPr>
        <w:t>School readiness for at-risk preschool students in Southern Arizona: a comparative study</w:t>
      </w:r>
      <w:r w:rsidRPr="00EA237C">
        <w:rPr>
          <w:rFonts w:ascii="Arial" w:hAnsi="Arial" w:cs="Arial"/>
          <w:sz w:val="24"/>
          <w:szCs w:val="24"/>
        </w:rPr>
        <w:t>. ProQuest Dissertations and Theses. Available at: </w:t>
      </w:r>
      <w:hyperlink r:id="rId19" w:tgtFrame="_blank" w:history="1">
        <w:r w:rsidRPr="00EA237C">
          <w:rPr>
            <w:rStyle w:val="Collegamentoipertestuale"/>
            <w:rFonts w:ascii="Arial" w:hAnsi="Arial" w:cs="Arial"/>
            <w:sz w:val="24"/>
            <w:szCs w:val="24"/>
          </w:rPr>
          <w:t>https://www.proquest.com/openview/264fba446571db9e110e3855726b085c/1?pq-origsite=gscholar&amp;cbl=18750&amp;diss=y</w:t>
        </w:r>
      </w:hyperlink>
      <w:r w:rsidRPr="00EA237C">
        <w:rPr>
          <w:rFonts w:ascii="Arial" w:hAnsi="Arial" w:cs="Arial"/>
          <w:sz w:val="24"/>
          <w:szCs w:val="24"/>
        </w:rPr>
        <w:t> (Accessed: 13 January 2026).</w:t>
      </w:r>
    </w:p>
    <w:p w14:paraId="4C5E4278"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L'Hommedieu, R. (2026) </w:t>
      </w:r>
      <w:r w:rsidRPr="00EA237C">
        <w:rPr>
          <w:rFonts w:ascii="Arial" w:hAnsi="Arial" w:cs="Arial"/>
          <w:i/>
          <w:iCs/>
          <w:sz w:val="24"/>
          <w:szCs w:val="24"/>
        </w:rPr>
        <w:t>The management of selected educational process variables by master studio teachers in music performance</w:t>
      </w:r>
      <w:r w:rsidRPr="00EA237C">
        <w:rPr>
          <w:rFonts w:ascii="Arial" w:hAnsi="Arial" w:cs="Arial"/>
          <w:sz w:val="24"/>
          <w:szCs w:val="24"/>
        </w:rPr>
        <w:t>. ProQuest Dissertations and Theses. Available at: </w:t>
      </w:r>
      <w:hyperlink r:id="rId20" w:tgtFrame="_blank" w:history="1">
        <w:r w:rsidRPr="00EA237C">
          <w:rPr>
            <w:rStyle w:val="Collegamentoipertestuale"/>
            <w:rFonts w:ascii="Arial" w:hAnsi="Arial" w:cs="Arial"/>
            <w:sz w:val="24"/>
            <w:szCs w:val="24"/>
          </w:rPr>
          <w:t>https://www.proquest.com/openview/a06571b998ca365a2030147fa65abbfe/1?pq-origsite=gscholar&amp;cbl=18750&amp;diss=y</w:t>
        </w:r>
      </w:hyperlink>
      <w:r w:rsidRPr="00EA237C">
        <w:rPr>
          <w:rFonts w:ascii="Arial" w:hAnsi="Arial" w:cs="Arial"/>
          <w:sz w:val="24"/>
          <w:szCs w:val="24"/>
        </w:rPr>
        <w:t> (Accessed: 13 January 2026).</w:t>
      </w:r>
    </w:p>
    <w:p w14:paraId="5728CDDC"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Luke, C. (2014) 'Feminist politics in radical pedagogy', pp. 25–53. Available at: </w:t>
      </w:r>
      <w:hyperlink r:id="rId21" w:tgtFrame="_blank" w:history="1">
        <w:r w:rsidRPr="00EA237C">
          <w:rPr>
            <w:rStyle w:val="Collegamentoipertestuale"/>
            <w:rFonts w:ascii="Arial" w:hAnsi="Arial" w:cs="Arial"/>
            <w:sz w:val="24"/>
            <w:szCs w:val="24"/>
          </w:rPr>
          <w:t>https://doi.org/10.4324/9781315021287-3</w:t>
        </w:r>
      </w:hyperlink>
      <w:r w:rsidRPr="00EA237C">
        <w:rPr>
          <w:rFonts w:ascii="Arial" w:hAnsi="Arial" w:cs="Arial"/>
          <w:sz w:val="24"/>
          <w:szCs w:val="24"/>
        </w:rPr>
        <w:t>.</w:t>
      </w:r>
    </w:p>
    <w:p w14:paraId="536E49B6"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lastRenderedPageBreak/>
        <w:t>Marjona Sayfullayeva (2025) 'Quality education – the foundation of progress', 4(9), pp. 52–58. Available at: </w:t>
      </w:r>
      <w:hyperlink r:id="rId22" w:tgtFrame="_blank" w:history="1">
        <w:r w:rsidRPr="00EA237C">
          <w:rPr>
            <w:rStyle w:val="Collegamentoipertestuale"/>
            <w:rFonts w:ascii="Arial" w:hAnsi="Arial" w:cs="Arial"/>
            <w:sz w:val="24"/>
            <w:szCs w:val="24"/>
          </w:rPr>
          <w:t>https://inlibrary.uz/index.php/tafps/article/view/85361</w:t>
        </w:r>
      </w:hyperlink>
      <w:r w:rsidRPr="00EA237C">
        <w:rPr>
          <w:rFonts w:ascii="Arial" w:hAnsi="Arial" w:cs="Arial"/>
          <w:sz w:val="24"/>
          <w:szCs w:val="24"/>
        </w:rPr>
        <w:t> (Accessed: 7 January 2026).</w:t>
      </w:r>
    </w:p>
    <w:p w14:paraId="490EAE52"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Oxman, R. (2008) 'Digital architecture as a challenge for design pedagogy: theory, knowledge, models and medium', </w:t>
      </w:r>
      <w:r w:rsidRPr="00EA237C">
        <w:rPr>
          <w:rFonts w:ascii="Arial" w:hAnsi="Arial" w:cs="Arial"/>
          <w:i/>
          <w:iCs/>
          <w:sz w:val="24"/>
          <w:szCs w:val="24"/>
        </w:rPr>
        <w:t>Design Studies</w:t>
      </w:r>
      <w:r w:rsidRPr="00EA237C">
        <w:rPr>
          <w:rFonts w:ascii="Arial" w:hAnsi="Arial" w:cs="Arial"/>
          <w:sz w:val="24"/>
          <w:szCs w:val="24"/>
        </w:rPr>
        <w:t>, 29(2), pp. 99–120. Available at: </w:t>
      </w:r>
      <w:hyperlink r:id="rId23" w:tgtFrame="_blank" w:history="1">
        <w:r w:rsidRPr="00EA237C">
          <w:rPr>
            <w:rStyle w:val="Collegamentoipertestuale"/>
            <w:rFonts w:ascii="Arial" w:hAnsi="Arial" w:cs="Arial"/>
            <w:sz w:val="24"/>
            <w:szCs w:val="24"/>
          </w:rPr>
          <w:t>https://doi.org/10.1016/j.destud.2007.12.003</w:t>
        </w:r>
      </w:hyperlink>
      <w:r w:rsidRPr="00EA237C">
        <w:rPr>
          <w:rFonts w:ascii="Arial" w:hAnsi="Arial" w:cs="Arial"/>
          <w:sz w:val="24"/>
          <w:szCs w:val="24"/>
        </w:rPr>
        <w:t>.</w:t>
      </w:r>
    </w:p>
    <w:p w14:paraId="53426C82"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Phelps, S. (2025) </w:t>
      </w:r>
      <w:r w:rsidRPr="00EA237C">
        <w:rPr>
          <w:rFonts w:ascii="Arial" w:hAnsi="Arial" w:cs="Arial"/>
          <w:i/>
          <w:iCs/>
          <w:sz w:val="24"/>
          <w:szCs w:val="24"/>
        </w:rPr>
        <w:t>Investigating the relationship between discovery learning and students' engagement and knowledge acquisition in Montessori and traditional schools</w:t>
      </w:r>
      <w:r w:rsidRPr="00EA237C">
        <w:rPr>
          <w:rFonts w:ascii="Arial" w:hAnsi="Arial" w:cs="Arial"/>
          <w:sz w:val="24"/>
          <w:szCs w:val="24"/>
        </w:rPr>
        <w:t>. ProQuest Dissertations and Theses. Available at: </w:t>
      </w:r>
      <w:hyperlink r:id="rId24" w:tgtFrame="_blank" w:history="1">
        <w:r w:rsidRPr="00EA237C">
          <w:rPr>
            <w:rStyle w:val="Collegamentoipertestuale"/>
            <w:rFonts w:ascii="Arial" w:hAnsi="Arial" w:cs="Arial"/>
            <w:sz w:val="24"/>
            <w:szCs w:val="24"/>
          </w:rPr>
          <w:t>https://www.proquest.com/openview/5eb3a6660c37cdee10012652c54d4949/1?pq-origsite=gscholar&amp;cbl=18750&amp;diss=y</w:t>
        </w:r>
      </w:hyperlink>
      <w:r w:rsidRPr="00EA237C">
        <w:rPr>
          <w:rFonts w:ascii="Arial" w:hAnsi="Arial" w:cs="Arial"/>
          <w:sz w:val="24"/>
          <w:szCs w:val="24"/>
        </w:rPr>
        <w:t> (Accessed: 7 January 2026).</w:t>
      </w:r>
    </w:p>
    <w:p w14:paraId="3649A692"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Schaap, K. (2021) ''Preparing for a messy world': how the ability to make the right choices and learn from them will help adolescents prepare for a meaningful life', in </w:t>
      </w:r>
      <w:r w:rsidRPr="00EA237C">
        <w:rPr>
          <w:rFonts w:ascii="Arial" w:hAnsi="Arial" w:cs="Arial"/>
          <w:i/>
          <w:iCs/>
          <w:sz w:val="24"/>
          <w:szCs w:val="24"/>
        </w:rPr>
        <w:t>Global perspectives on adolescence and education</w:t>
      </w:r>
      <w:r w:rsidRPr="00EA237C">
        <w:rPr>
          <w:rFonts w:ascii="Arial" w:hAnsi="Arial" w:cs="Arial"/>
          <w:sz w:val="24"/>
          <w:szCs w:val="24"/>
        </w:rPr>
        <w:t>, pp. 35–53. Available at: </w:t>
      </w:r>
      <w:hyperlink r:id="rId25" w:tgtFrame="_blank" w:history="1">
        <w:r w:rsidRPr="00EA237C">
          <w:rPr>
            <w:rStyle w:val="Collegamentoipertestuale"/>
            <w:rFonts w:ascii="Arial" w:hAnsi="Arial" w:cs="Arial"/>
            <w:sz w:val="24"/>
            <w:szCs w:val="24"/>
          </w:rPr>
          <w:t>https://doi.org/10.1007/978-3-030-52889-8_4</w:t>
        </w:r>
      </w:hyperlink>
      <w:r w:rsidRPr="00EA237C">
        <w:rPr>
          <w:rFonts w:ascii="Arial" w:hAnsi="Arial" w:cs="Arial"/>
          <w:sz w:val="24"/>
          <w:szCs w:val="24"/>
        </w:rPr>
        <w:t>.</w:t>
      </w:r>
    </w:p>
    <w:p w14:paraId="428805BB" w14:textId="77777777" w:rsidR="00EA237C" w:rsidRPr="00EA237C" w:rsidRDefault="00EA237C" w:rsidP="00D15067">
      <w:pPr>
        <w:spacing w:line="360" w:lineRule="auto"/>
        <w:rPr>
          <w:rFonts w:ascii="Arial" w:hAnsi="Arial" w:cs="Arial"/>
          <w:sz w:val="24"/>
          <w:szCs w:val="24"/>
        </w:rPr>
      </w:pPr>
      <w:r w:rsidRPr="00EA237C">
        <w:rPr>
          <w:rFonts w:ascii="Arial" w:hAnsi="Arial" w:cs="Arial"/>
          <w:sz w:val="24"/>
          <w:szCs w:val="24"/>
        </w:rPr>
        <w:t>Taylor, D.L., Cordeiro, P.A. and Chrispeels, J.H. (2009) 'Pedagogy', pp. 333–384. Available at: </w:t>
      </w:r>
      <w:hyperlink r:id="rId26" w:tgtFrame="_blank" w:history="1">
        <w:r w:rsidRPr="00EA237C">
          <w:rPr>
            <w:rStyle w:val="Collegamentoipertestuale"/>
            <w:rFonts w:ascii="Arial" w:hAnsi="Arial" w:cs="Arial"/>
            <w:sz w:val="24"/>
            <w:szCs w:val="24"/>
          </w:rPr>
          <w:t>https://doi.org/10.4324/9780203878866-16</w:t>
        </w:r>
      </w:hyperlink>
      <w:r w:rsidRPr="00EA237C">
        <w:rPr>
          <w:rFonts w:ascii="Arial" w:hAnsi="Arial" w:cs="Arial"/>
          <w:sz w:val="24"/>
          <w:szCs w:val="24"/>
        </w:rPr>
        <w:t>.</w:t>
      </w:r>
    </w:p>
    <w:p w14:paraId="1BBE1B17" w14:textId="77777777" w:rsidR="00EA237C" w:rsidRPr="00EA237C" w:rsidRDefault="00EA237C" w:rsidP="00EA237C"/>
    <w:p w14:paraId="4A132B5D" w14:textId="77777777" w:rsidR="00893739" w:rsidRPr="00893739" w:rsidRDefault="00893739" w:rsidP="00893739">
      <w:r w:rsidRPr="00893739">
        <w:t>‌</w:t>
      </w:r>
    </w:p>
    <w:p w14:paraId="5809D218" w14:textId="77777777" w:rsidR="005F4307" w:rsidRPr="005F4307" w:rsidRDefault="005F4307" w:rsidP="005F4307"/>
    <w:p w14:paraId="497F5A2B" w14:textId="1D4A9A25" w:rsidR="008874CA" w:rsidRDefault="000B2319" w:rsidP="00D41DDD">
      <w:pPr>
        <w:pStyle w:val="Titolo1"/>
        <w:rPr>
          <w:rFonts w:ascii="Arial" w:hAnsi="Arial" w:cs="Arial"/>
          <w:b/>
          <w:bCs/>
          <w:color w:val="000000" w:themeColor="text1"/>
          <w:sz w:val="24"/>
          <w:szCs w:val="24"/>
        </w:rPr>
      </w:pPr>
      <w:r w:rsidRPr="00D41DDD">
        <w:rPr>
          <w:rFonts w:ascii="Arial" w:hAnsi="Arial" w:cs="Arial"/>
          <w:b/>
          <w:bCs/>
          <w:color w:val="000000" w:themeColor="text1"/>
          <w:sz w:val="24"/>
          <w:szCs w:val="24"/>
        </w:rPr>
        <w:t xml:space="preserve"> </w:t>
      </w:r>
    </w:p>
    <w:p w14:paraId="0D0D26A4" w14:textId="7FA71612" w:rsidR="004A6025" w:rsidRPr="004E01B0" w:rsidRDefault="004A6025" w:rsidP="00C80830">
      <w:pPr>
        <w:rPr>
          <w:rFonts w:ascii="Arial" w:hAnsi="Arial" w:cs="Arial"/>
          <w:sz w:val="24"/>
          <w:szCs w:val="24"/>
        </w:rPr>
      </w:pPr>
    </w:p>
    <w:sectPr w:rsidR="004A6025" w:rsidRPr="004E01B0" w:rsidSect="006B54CF">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8E8E8" w14:textId="77777777" w:rsidR="00C37A7A" w:rsidRDefault="00C37A7A" w:rsidP="00DB1C12">
      <w:pPr>
        <w:spacing w:after="0" w:line="240" w:lineRule="auto"/>
      </w:pPr>
      <w:r>
        <w:separator/>
      </w:r>
    </w:p>
  </w:endnote>
  <w:endnote w:type="continuationSeparator" w:id="0">
    <w:p w14:paraId="33ADF030" w14:textId="77777777" w:rsidR="00C37A7A" w:rsidRDefault="00C37A7A" w:rsidP="00DB1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2FABF" w14:textId="77777777" w:rsidR="00C37A7A" w:rsidRDefault="00C37A7A" w:rsidP="00DB1C12">
      <w:pPr>
        <w:spacing w:after="0" w:line="240" w:lineRule="auto"/>
      </w:pPr>
      <w:r>
        <w:separator/>
      </w:r>
    </w:p>
  </w:footnote>
  <w:footnote w:type="continuationSeparator" w:id="0">
    <w:p w14:paraId="53687330" w14:textId="77777777" w:rsidR="00C37A7A" w:rsidRDefault="00C37A7A" w:rsidP="00DB1C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8719671"/>
      <w:docPartObj>
        <w:docPartGallery w:val="Page Numbers (Top of Page)"/>
        <w:docPartUnique/>
      </w:docPartObj>
    </w:sdtPr>
    <w:sdtEndPr>
      <w:rPr>
        <w:noProof/>
      </w:rPr>
    </w:sdtEndPr>
    <w:sdtContent>
      <w:p w14:paraId="5A63F0C6" w14:textId="1A8EF1E7" w:rsidR="00DB1C12" w:rsidRDefault="00DB1C12">
        <w:pPr>
          <w:pStyle w:val="Intestazione"/>
          <w:jc w:val="right"/>
        </w:pPr>
        <w:r>
          <w:fldChar w:fldCharType="begin"/>
        </w:r>
        <w:r>
          <w:instrText xml:space="preserve"> PAGE   \* MERGEFORMAT </w:instrText>
        </w:r>
        <w:r>
          <w:fldChar w:fldCharType="separate"/>
        </w:r>
        <w:r>
          <w:rPr>
            <w:noProof/>
          </w:rPr>
          <w:t>2</w:t>
        </w:r>
        <w:r>
          <w:rPr>
            <w:noProof/>
          </w:rPr>
          <w:fldChar w:fldCharType="end"/>
        </w:r>
      </w:p>
    </w:sdtContent>
  </w:sdt>
  <w:p w14:paraId="4A0A220F" w14:textId="77777777" w:rsidR="00DB1C12" w:rsidRDefault="00DB1C12">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92E"/>
    <w:rsid w:val="000343A6"/>
    <w:rsid w:val="00041741"/>
    <w:rsid w:val="0008226C"/>
    <w:rsid w:val="000B2319"/>
    <w:rsid w:val="0015408C"/>
    <w:rsid w:val="001542A3"/>
    <w:rsid w:val="0015563E"/>
    <w:rsid w:val="00172BE7"/>
    <w:rsid w:val="001A5C10"/>
    <w:rsid w:val="002037C4"/>
    <w:rsid w:val="00244434"/>
    <w:rsid w:val="002449A0"/>
    <w:rsid w:val="00280096"/>
    <w:rsid w:val="002A18D2"/>
    <w:rsid w:val="002B66E9"/>
    <w:rsid w:val="002C6EAA"/>
    <w:rsid w:val="002D211A"/>
    <w:rsid w:val="00317061"/>
    <w:rsid w:val="00332125"/>
    <w:rsid w:val="003914D8"/>
    <w:rsid w:val="003E5C3E"/>
    <w:rsid w:val="00404D9E"/>
    <w:rsid w:val="004413BE"/>
    <w:rsid w:val="0044332D"/>
    <w:rsid w:val="004673E6"/>
    <w:rsid w:val="004A6025"/>
    <w:rsid w:val="004D6FB9"/>
    <w:rsid w:val="004E01B0"/>
    <w:rsid w:val="00522033"/>
    <w:rsid w:val="005235E5"/>
    <w:rsid w:val="005323AE"/>
    <w:rsid w:val="005A0FFD"/>
    <w:rsid w:val="005D73E5"/>
    <w:rsid w:val="005E4390"/>
    <w:rsid w:val="005F1AB8"/>
    <w:rsid w:val="005F4307"/>
    <w:rsid w:val="006015DB"/>
    <w:rsid w:val="006072BE"/>
    <w:rsid w:val="006109D1"/>
    <w:rsid w:val="00631120"/>
    <w:rsid w:val="00677382"/>
    <w:rsid w:val="006A604A"/>
    <w:rsid w:val="006B54CF"/>
    <w:rsid w:val="00734F9F"/>
    <w:rsid w:val="007623E0"/>
    <w:rsid w:val="00786CCD"/>
    <w:rsid w:val="007D6914"/>
    <w:rsid w:val="007F01F5"/>
    <w:rsid w:val="008449C3"/>
    <w:rsid w:val="00864483"/>
    <w:rsid w:val="00880436"/>
    <w:rsid w:val="008874CA"/>
    <w:rsid w:val="00893739"/>
    <w:rsid w:val="008C092E"/>
    <w:rsid w:val="008F3C11"/>
    <w:rsid w:val="009361F4"/>
    <w:rsid w:val="00952D1A"/>
    <w:rsid w:val="0095474C"/>
    <w:rsid w:val="009D7D27"/>
    <w:rsid w:val="00A048ED"/>
    <w:rsid w:val="00A065DC"/>
    <w:rsid w:val="00A6225F"/>
    <w:rsid w:val="00B60C62"/>
    <w:rsid w:val="00B67BC1"/>
    <w:rsid w:val="00B97C8A"/>
    <w:rsid w:val="00BA1721"/>
    <w:rsid w:val="00BB57D8"/>
    <w:rsid w:val="00BF474E"/>
    <w:rsid w:val="00C23D59"/>
    <w:rsid w:val="00C32CA2"/>
    <w:rsid w:val="00C37A7A"/>
    <w:rsid w:val="00C80830"/>
    <w:rsid w:val="00CB443C"/>
    <w:rsid w:val="00CC2EF5"/>
    <w:rsid w:val="00D1256F"/>
    <w:rsid w:val="00D15067"/>
    <w:rsid w:val="00D34B6B"/>
    <w:rsid w:val="00D41DDD"/>
    <w:rsid w:val="00DA0501"/>
    <w:rsid w:val="00DA477C"/>
    <w:rsid w:val="00DB174F"/>
    <w:rsid w:val="00DB1C12"/>
    <w:rsid w:val="00DB333B"/>
    <w:rsid w:val="00DD0FD6"/>
    <w:rsid w:val="00DF5362"/>
    <w:rsid w:val="00E1240D"/>
    <w:rsid w:val="00E147F7"/>
    <w:rsid w:val="00E456F2"/>
    <w:rsid w:val="00EA237C"/>
    <w:rsid w:val="00EC64A7"/>
    <w:rsid w:val="00F105AD"/>
    <w:rsid w:val="00F46A50"/>
    <w:rsid w:val="00F770D7"/>
    <w:rsid w:val="00FC1F79"/>
    <w:rsid w:val="00FC3820"/>
    <w:rsid w:val="00FE3FC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1BF17"/>
  <w15:chartTrackingRefBased/>
  <w15:docId w15:val="{2EB3B906-FB05-43C4-A1DD-590DE8E1D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8C09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unhideWhenUsed/>
    <w:qFormat/>
    <w:rsid w:val="008C09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8C092E"/>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8C092E"/>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8C092E"/>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8C092E"/>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8C092E"/>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8C092E"/>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8C092E"/>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C092E"/>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rsid w:val="008C092E"/>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8C092E"/>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8C092E"/>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8C092E"/>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8C092E"/>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8C092E"/>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8C092E"/>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8C092E"/>
    <w:rPr>
      <w:rFonts w:eastAsiaTheme="majorEastAsia" w:cstheme="majorBidi"/>
      <w:color w:val="272727" w:themeColor="text1" w:themeTint="D8"/>
    </w:rPr>
  </w:style>
  <w:style w:type="paragraph" w:styleId="Titolo">
    <w:name w:val="Title"/>
    <w:basedOn w:val="Normale"/>
    <w:next w:val="Normale"/>
    <w:link w:val="TitoloCarattere"/>
    <w:uiPriority w:val="10"/>
    <w:qFormat/>
    <w:rsid w:val="008C09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8C092E"/>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8C092E"/>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8C092E"/>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8C092E"/>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8C092E"/>
    <w:rPr>
      <w:i/>
      <w:iCs/>
      <w:color w:val="404040" w:themeColor="text1" w:themeTint="BF"/>
    </w:rPr>
  </w:style>
  <w:style w:type="paragraph" w:styleId="Paragrafoelenco">
    <w:name w:val="List Paragraph"/>
    <w:basedOn w:val="Normale"/>
    <w:uiPriority w:val="34"/>
    <w:qFormat/>
    <w:rsid w:val="008C092E"/>
    <w:pPr>
      <w:ind w:left="720"/>
      <w:contextualSpacing/>
    </w:pPr>
  </w:style>
  <w:style w:type="character" w:styleId="Enfasiintensa">
    <w:name w:val="Intense Emphasis"/>
    <w:basedOn w:val="Carpredefinitoparagrafo"/>
    <w:uiPriority w:val="21"/>
    <w:qFormat/>
    <w:rsid w:val="008C092E"/>
    <w:rPr>
      <w:i/>
      <w:iCs/>
      <w:color w:val="0F4761" w:themeColor="accent1" w:themeShade="BF"/>
    </w:rPr>
  </w:style>
  <w:style w:type="paragraph" w:styleId="Citazioneintensa">
    <w:name w:val="Intense Quote"/>
    <w:basedOn w:val="Normale"/>
    <w:next w:val="Normale"/>
    <w:link w:val="CitazioneintensaCarattere"/>
    <w:uiPriority w:val="30"/>
    <w:qFormat/>
    <w:rsid w:val="008C09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8C092E"/>
    <w:rPr>
      <w:i/>
      <w:iCs/>
      <w:color w:val="0F4761" w:themeColor="accent1" w:themeShade="BF"/>
    </w:rPr>
  </w:style>
  <w:style w:type="character" w:styleId="Riferimentointenso">
    <w:name w:val="Intense Reference"/>
    <w:basedOn w:val="Carpredefinitoparagrafo"/>
    <w:uiPriority w:val="32"/>
    <w:qFormat/>
    <w:rsid w:val="008C092E"/>
    <w:rPr>
      <w:b/>
      <w:bCs/>
      <w:smallCaps/>
      <w:color w:val="0F4761" w:themeColor="accent1" w:themeShade="BF"/>
      <w:spacing w:val="5"/>
    </w:rPr>
  </w:style>
  <w:style w:type="paragraph" w:styleId="Titolosommario">
    <w:name w:val="TOC Heading"/>
    <w:basedOn w:val="Titolo1"/>
    <w:next w:val="Normale"/>
    <w:uiPriority w:val="39"/>
    <w:unhideWhenUsed/>
    <w:qFormat/>
    <w:rsid w:val="00C32CA2"/>
    <w:pPr>
      <w:spacing w:before="240" w:after="0"/>
      <w:outlineLvl w:val="9"/>
    </w:pPr>
    <w:rPr>
      <w:sz w:val="32"/>
      <w:szCs w:val="32"/>
      <w:lang w:val="en-US"/>
      <w14:ligatures w14:val="none"/>
    </w:rPr>
  </w:style>
  <w:style w:type="paragraph" w:styleId="Sommario1">
    <w:name w:val="toc 1"/>
    <w:basedOn w:val="Normale"/>
    <w:next w:val="Normale"/>
    <w:autoRedefine/>
    <w:uiPriority w:val="39"/>
    <w:unhideWhenUsed/>
    <w:rsid w:val="00C32CA2"/>
    <w:pPr>
      <w:spacing w:after="100"/>
    </w:pPr>
  </w:style>
  <w:style w:type="character" w:styleId="Collegamentoipertestuale">
    <w:name w:val="Hyperlink"/>
    <w:basedOn w:val="Carpredefinitoparagrafo"/>
    <w:uiPriority w:val="99"/>
    <w:unhideWhenUsed/>
    <w:rsid w:val="00C32CA2"/>
    <w:rPr>
      <w:color w:val="467886" w:themeColor="hyperlink"/>
      <w:u w:val="single"/>
    </w:rPr>
  </w:style>
  <w:style w:type="paragraph" w:styleId="Intestazione">
    <w:name w:val="header"/>
    <w:basedOn w:val="Normale"/>
    <w:link w:val="IntestazioneCarattere"/>
    <w:uiPriority w:val="99"/>
    <w:unhideWhenUsed/>
    <w:rsid w:val="00DB1C12"/>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DB1C12"/>
  </w:style>
  <w:style w:type="paragraph" w:styleId="Pidipagina">
    <w:name w:val="footer"/>
    <w:basedOn w:val="Normale"/>
    <w:link w:val="PidipaginaCarattere"/>
    <w:uiPriority w:val="99"/>
    <w:unhideWhenUsed/>
    <w:rsid w:val="00DB1C12"/>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DB1C12"/>
  </w:style>
  <w:style w:type="paragraph" w:styleId="NormaleWeb">
    <w:name w:val="Normal (Web)"/>
    <w:basedOn w:val="Normale"/>
    <w:uiPriority w:val="99"/>
    <w:semiHidden/>
    <w:unhideWhenUsed/>
    <w:rsid w:val="00A048ED"/>
    <w:rPr>
      <w:rFonts w:ascii="Times New Roman" w:hAnsi="Times New Roman" w:cs="Times New Roman"/>
      <w:sz w:val="24"/>
      <w:szCs w:val="24"/>
    </w:rPr>
  </w:style>
  <w:style w:type="character" w:styleId="Menzionenonrisolta">
    <w:name w:val="Unresolved Mention"/>
    <w:basedOn w:val="Carpredefinitoparagrafo"/>
    <w:uiPriority w:val="99"/>
    <w:semiHidden/>
    <w:unhideWhenUsed/>
    <w:rsid w:val="00EA23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pk/books?hl=en&amp;lr=&amp;id=oqoWEAAAQBAJ&amp;oi=fnd&amp;pg=PT9&amp;dq=pedagogy+theorists&amp;ots=HkYhsKk3m5&amp;sig=NZWxkLwx3-Mahme4X1-KnePHPTA&amp;redir_esc=y" TargetMode="External" /><Relationship Id="rId13" Type="http://schemas.openxmlformats.org/officeDocument/2006/relationships/hyperlink" Target="https://doi.org/10.12968/prps.2009.1.99.40961" TargetMode="External" /><Relationship Id="rId18" Type="http://schemas.openxmlformats.org/officeDocument/2006/relationships/hyperlink" Target="https://www.proquest.com/openview/909bcac47cfd61f819da8529608fe61b/1?pq-origsite=gscholar&amp;cbl=18750" TargetMode="External" /><Relationship Id="rId26" Type="http://schemas.openxmlformats.org/officeDocument/2006/relationships/hyperlink" Target="https://doi.org/10.4324/9780203878866-16" TargetMode="External" /><Relationship Id="rId3" Type="http://schemas.openxmlformats.org/officeDocument/2006/relationships/webSettings" Target="webSettings.xml" /><Relationship Id="rId21" Type="http://schemas.openxmlformats.org/officeDocument/2006/relationships/hyperlink" Target="https://doi.org/10.4324/9781315021287-3" TargetMode="External" /><Relationship Id="rId7" Type="http://schemas.openxmlformats.org/officeDocument/2006/relationships/hyperlink" Target="https://hdl.handle.net/20.500.14247/12811" TargetMode="External" /><Relationship Id="rId12" Type="http://schemas.openxmlformats.org/officeDocument/2006/relationships/hyperlink" Target="https://www.proquest.com/openview/75d2006a845dd9aad03acd8087d32f17/1?pq-origsite=gscholar&amp;cbl=18750&amp;diss=y" TargetMode="External" /><Relationship Id="rId17" Type="http://schemas.openxmlformats.org/officeDocument/2006/relationships/hyperlink" Target="https://www.proquest.com/openview/0a70642fca1873c7cf41c69c8f4caa34/1?pq-origsite=gscholar&amp;cbl=18750" TargetMode="External" /><Relationship Id="rId25" Type="http://schemas.openxmlformats.org/officeDocument/2006/relationships/hyperlink" Target="https://doi.org/10.1007/978-3-030-52889-8_4" TargetMode="External" /><Relationship Id="rId2" Type="http://schemas.openxmlformats.org/officeDocument/2006/relationships/settings" Target="settings.xml" /><Relationship Id="rId16" Type="http://schemas.openxmlformats.org/officeDocument/2006/relationships/hyperlink" Target="https://doi.org/10.4324/9780429498428" TargetMode="External" /><Relationship Id="rId20" Type="http://schemas.openxmlformats.org/officeDocument/2006/relationships/hyperlink" Target="https://www.proquest.com/openview/a06571b998ca365a2030147fa65abbfe/1?pq-origsite=gscholar&amp;cbl=18750&amp;diss=y" TargetMode="External" /><Relationship Id="rId29"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doi.org/10.1108/978-1-80592-621-420261007" TargetMode="External" /><Relationship Id="rId11" Type="http://schemas.openxmlformats.org/officeDocument/2006/relationships/hyperlink" Target="https://www.proquest.com/openview/e8d0ae59bc4675ca20334c3d638bb0c8/1?pq-origsite=gscholar&amp;cbl=18750&amp;diss=y" TargetMode="External" /><Relationship Id="rId24" Type="http://schemas.openxmlformats.org/officeDocument/2006/relationships/hyperlink" Target="https://www.proquest.com/openview/5eb3a6660c37cdee10012652c54d4949/1?pq-origsite=gscholar&amp;cbl=18750&amp;diss=y" TargetMode="External" /><Relationship Id="rId5" Type="http://schemas.openxmlformats.org/officeDocument/2006/relationships/endnotes" Target="endnotes.xml" /><Relationship Id="rId15" Type="http://schemas.openxmlformats.org/officeDocument/2006/relationships/hyperlink" Target="https://doi.org/10.1111/j.1467-7687.2007.00576.x" TargetMode="External" /><Relationship Id="rId23" Type="http://schemas.openxmlformats.org/officeDocument/2006/relationships/hyperlink" Target="https://doi.org/10.1016/j.destud.2007.12.003" TargetMode="External" /><Relationship Id="rId28" Type="http://schemas.openxmlformats.org/officeDocument/2006/relationships/fontTable" Target="fontTable.xml" /><Relationship Id="rId10" Type="http://schemas.openxmlformats.org/officeDocument/2006/relationships/hyperlink" Target="https://doi.org/10.1177/105382590502800205" TargetMode="External" /><Relationship Id="rId19" Type="http://schemas.openxmlformats.org/officeDocument/2006/relationships/hyperlink" Target="https://www.proquest.com/openview/264fba446571db9e110e3855726b085c/1?pq-origsite=gscholar&amp;cbl=18750&amp;diss=y" TargetMode="External" /><Relationship Id="rId4" Type="http://schemas.openxmlformats.org/officeDocument/2006/relationships/footnotes" Target="footnotes.xml" /><Relationship Id="rId9" Type="http://schemas.openxmlformats.org/officeDocument/2006/relationships/hyperlink" Target="https://doi.org/10.4324/9781351252805-1" TargetMode="External" /><Relationship Id="rId14" Type="http://schemas.openxmlformats.org/officeDocument/2006/relationships/hyperlink" Target="https://doi.org/10.17161/jomr.v11i2.24130" TargetMode="External" /><Relationship Id="rId22" Type="http://schemas.openxmlformats.org/officeDocument/2006/relationships/hyperlink" Target="https://inlibrary.uz/index.php/tafps/article/view/85361" TargetMode="External" /><Relationship Id="rId27"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5020</Words>
  <Characters>28619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basmah mian azhar</cp:lastModifiedBy>
  <cp:revision>2</cp:revision>
  <dcterms:created xsi:type="dcterms:W3CDTF">2026-01-14T18:24:00Z</dcterms:created>
  <dcterms:modified xsi:type="dcterms:W3CDTF">2026-01-14T18:24:00Z</dcterms:modified>
</cp:coreProperties>
</file>