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6C9E2" w14:textId="77777777" w:rsidR="00C233CD" w:rsidRDefault="00C233CD">
      <w:pPr>
        <w:rPr>
          <w:rFonts w:cs="Times New Roman"/>
          <w:b/>
          <w:bCs/>
          <w:color w:val="000000" w:themeColor="text1"/>
          <w:szCs w:val="24"/>
        </w:rPr>
      </w:pPr>
    </w:p>
    <w:p w14:paraId="143FF3CF" w14:textId="77777777" w:rsidR="00C233CD" w:rsidRDefault="00C233CD">
      <w:pPr>
        <w:rPr>
          <w:rFonts w:cs="Times New Roman"/>
          <w:b/>
          <w:bCs/>
          <w:color w:val="000000" w:themeColor="text1"/>
          <w:szCs w:val="24"/>
        </w:rPr>
      </w:pPr>
    </w:p>
    <w:p w14:paraId="61823B2E" w14:textId="77777777" w:rsidR="00C233CD" w:rsidRDefault="00C233CD">
      <w:pPr>
        <w:rPr>
          <w:rFonts w:cs="Times New Roman"/>
          <w:b/>
          <w:bCs/>
          <w:color w:val="000000" w:themeColor="text1"/>
          <w:szCs w:val="24"/>
        </w:rPr>
      </w:pPr>
    </w:p>
    <w:p w14:paraId="40DF4479" w14:textId="77777777" w:rsidR="00C233CD" w:rsidRPr="00C233CD" w:rsidRDefault="004333D0" w:rsidP="00C233CD">
      <w:pPr>
        <w:jc w:val="center"/>
        <w:rPr>
          <w:rFonts w:cs="Times New Roman"/>
          <w:b/>
          <w:bCs/>
          <w:color w:val="000000" w:themeColor="text1"/>
          <w:szCs w:val="24"/>
        </w:rPr>
      </w:pPr>
      <w:r w:rsidRPr="00C233CD">
        <w:rPr>
          <w:rFonts w:cs="Times New Roman"/>
          <w:b/>
          <w:bCs/>
          <w:color w:val="000000" w:themeColor="text1"/>
          <w:szCs w:val="24"/>
        </w:rPr>
        <w:t>Module Code: BMLW4005/BMPL4009</w:t>
      </w:r>
    </w:p>
    <w:p w14:paraId="5052B471" w14:textId="77777777" w:rsidR="00C233CD" w:rsidRPr="00C233CD" w:rsidRDefault="004333D0" w:rsidP="00C233CD">
      <w:pPr>
        <w:jc w:val="center"/>
        <w:rPr>
          <w:rFonts w:cs="Times New Roman"/>
          <w:b/>
          <w:bCs/>
          <w:color w:val="000000" w:themeColor="text1"/>
          <w:szCs w:val="24"/>
        </w:rPr>
      </w:pPr>
      <w:r w:rsidRPr="00C233CD">
        <w:rPr>
          <w:rFonts w:cs="Times New Roman"/>
          <w:b/>
          <w:bCs/>
          <w:color w:val="000000" w:themeColor="text1"/>
          <w:szCs w:val="24"/>
        </w:rPr>
        <w:t>Module Title: Criminal law – Assignment 1</w:t>
      </w:r>
    </w:p>
    <w:p w14:paraId="0FE12EC4" w14:textId="77777777" w:rsidR="00C233CD" w:rsidRPr="00C233CD" w:rsidRDefault="004333D0" w:rsidP="00C233CD">
      <w:pPr>
        <w:jc w:val="center"/>
        <w:rPr>
          <w:rFonts w:cs="Times New Roman"/>
          <w:b/>
          <w:bCs/>
          <w:color w:val="000000" w:themeColor="text1"/>
          <w:szCs w:val="24"/>
        </w:rPr>
      </w:pPr>
      <w:r w:rsidRPr="00C233CD">
        <w:rPr>
          <w:rFonts w:cs="Times New Roman"/>
          <w:b/>
          <w:bCs/>
          <w:color w:val="000000" w:themeColor="text1"/>
          <w:szCs w:val="24"/>
        </w:rPr>
        <w:t>Assignment Title: Liability by Omission</w:t>
      </w:r>
    </w:p>
    <w:p w14:paraId="7F23CE5B" w14:textId="4CCBD544" w:rsidR="00C8415C" w:rsidRDefault="004333D0" w:rsidP="00C233CD">
      <w:pPr>
        <w:jc w:val="center"/>
        <w:rPr>
          <w:rFonts w:eastAsiaTheme="majorEastAsia" w:cs="Times New Roman"/>
          <w:b/>
          <w:bCs/>
          <w:color w:val="000000" w:themeColor="text1"/>
          <w:szCs w:val="24"/>
        </w:rPr>
      </w:pPr>
      <w:r w:rsidRPr="00C233CD">
        <w:rPr>
          <w:rFonts w:cs="Times New Roman"/>
          <w:b/>
          <w:bCs/>
          <w:color w:val="000000" w:themeColor="text1"/>
          <w:szCs w:val="24"/>
        </w:rPr>
        <w:t>Word Count: 1500 words</w:t>
      </w:r>
      <w:r>
        <w:rPr>
          <w:rFonts w:cs="Times New Roman"/>
          <w:b/>
          <w:bCs/>
          <w:color w:val="000000" w:themeColor="text1"/>
          <w:szCs w:val="24"/>
        </w:rPr>
        <w:br w:type="page"/>
      </w:r>
    </w:p>
    <w:sdt>
      <w:sdtPr>
        <w:rPr>
          <w:rFonts w:ascii="Times New Roman" w:eastAsiaTheme="minorHAnsi" w:hAnsi="Times New Roman" w:cstheme="minorBidi"/>
          <w:color w:val="auto"/>
          <w:sz w:val="24"/>
          <w:szCs w:val="22"/>
          <w:lang w:val="en-GB"/>
        </w:rPr>
        <w:id w:val="-458107464"/>
        <w:docPartObj>
          <w:docPartGallery w:val="Table of Contents"/>
          <w:docPartUnique/>
        </w:docPartObj>
      </w:sdtPr>
      <w:sdtEndPr>
        <w:rPr>
          <w:b/>
          <w:bCs/>
          <w:noProof/>
        </w:rPr>
      </w:sdtEndPr>
      <w:sdtContent>
        <w:p w14:paraId="0859707E" w14:textId="42735D49" w:rsidR="00C8415C" w:rsidRPr="00C8415C" w:rsidRDefault="004333D0" w:rsidP="00C8415C">
          <w:pPr>
            <w:pStyle w:val="TOCHeading"/>
            <w:jc w:val="center"/>
            <w:rPr>
              <w:rFonts w:ascii="Times New Roman" w:hAnsi="Times New Roman" w:cs="Times New Roman"/>
              <w:b/>
              <w:bCs/>
              <w:color w:val="000000" w:themeColor="text1"/>
              <w:sz w:val="24"/>
              <w:szCs w:val="24"/>
            </w:rPr>
          </w:pPr>
          <w:r w:rsidRPr="00C8415C">
            <w:rPr>
              <w:rFonts w:ascii="Times New Roman" w:hAnsi="Times New Roman" w:cs="Times New Roman"/>
              <w:b/>
              <w:bCs/>
              <w:color w:val="000000" w:themeColor="text1"/>
              <w:sz w:val="24"/>
              <w:szCs w:val="24"/>
            </w:rPr>
            <w:t>Table of Contents</w:t>
          </w:r>
        </w:p>
        <w:p w14:paraId="22DA7F42" w14:textId="503EC7CD" w:rsidR="00C8415C" w:rsidRPr="00C8415C" w:rsidRDefault="004333D0" w:rsidP="00C8415C">
          <w:pPr>
            <w:pStyle w:val="TOC1"/>
            <w:tabs>
              <w:tab w:val="left" w:pos="440"/>
              <w:tab w:val="right" w:leader="dot" w:pos="9016"/>
            </w:tabs>
            <w:jc w:val="center"/>
            <w:rPr>
              <w:rFonts w:cs="Times New Roman"/>
              <w:noProof/>
              <w:color w:val="000000" w:themeColor="text1"/>
              <w:szCs w:val="24"/>
            </w:rPr>
          </w:pPr>
          <w:r w:rsidRPr="00C8415C">
            <w:rPr>
              <w:rFonts w:cs="Times New Roman"/>
              <w:color w:val="000000" w:themeColor="text1"/>
              <w:szCs w:val="24"/>
            </w:rPr>
            <w:fldChar w:fldCharType="begin"/>
          </w:r>
          <w:r w:rsidRPr="00C8415C">
            <w:rPr>
              <w:rFonts w:cs="Times New Roman"/>
              <w:color w:val="000000" w:themeColor="text1"/>
              <w:szCs w:val="24"/>
            </w:rPr>
            <w:instrText xml:space="preserve"> TOC \o "1-3" \h \z \u </w:instrText>
          </w:r>
          <w:r w:rsidRPr="00C8415C">
            <w:rPr>
              <w:rFonts w:cs="Times New Roman"/>
              <w:color w:val="000000" w:themeColor="text1"/>
              <w:szCs w:val="24"/>
            </w:rPr>
            <w:fldChar w:fldCharType="separate"/>
          </w:r>
          <w:hyperlink w:anchor="_Toc117957147" w:history="1">
            <w:r w:rsidRPr="00C8415C">
              <w:rPr>
                <w:rStyle w:val="Hyperlink"/>
                <w:rFonts w:cs="Times New Roman"/>
                <w:noProof/>
                <w:color w:val="000000" w:themeColor="text1"/>
                <w:szCs w:val="24"/>
              </w:rPr>
              <w:t>1</w:t>
            </w:r>
            <w:r w:rsidRPr="00C8415C">
              <w:rPr>
                <w:rFonts w:cs="Times New Roman"/>
                <w:noProof/>
                <w:color w:val="000000" w:themeColor="text1"/>
                <w:szCs w:val="24"/>
              </w:rPr>
              <w:tab/>
            </w:r>
            <w:r w:rsidRPr="00C8415C">
              <w:rPr>
                <w:rStyle w:val="Hyperlink"/>
                <w:rFonts w:cs="Times New Roman"/>
                <w:noProof/>
                <w:color w:val="000000" w:themeColor="text1"/>
                <w:szCs w:val="24"/>
              </w:rPr>
              <w:t>Introduction</w:t>
            </w:r>
            <w:r w:rsidRPr="00C8415C">
              <w:rPr>
                <w:rFonts w:cs="Times New Roman"/>
                <w:noProof/>
                <w:webHidden/>
                <w:color w:val="000000" w:themeColor="text1"/>
                <w:szCs w:val="24"/>
              </w:rPr>
              <w:tab/>
            </w:r>
            <w:r w:rsidRPr="00C8415C">
              <w:rPr>
                <w:rFonts w:cs="Times New Roman"/>
                <w:noProof/>
                <w:webHidden/>
                <w:color w:val="000000" w:themeColor="text1"/>
                <w:szCs w:val="24"/>
              </w:rPr>
              <w:fldChar w:fldCharType="begin"/>
            </w:r>
            <w:r w:rsidRPr="00C8415C">
              <w:rPr>
                <w:rFonts w:cs="Times New Roman"/>
                <w:noProof/>
                <w:webHidden/>
                <w:color w:val="000000" w:themeColor="text1"/>
                <w:szCs w:val="24"/>
              </w:rPr>
              <w:instrText xml:space="preserve"> PAGEREF _Toc117957147 \h </w:instrText>
            </w:r>
            <w:r w:rsidRPr="00C8415C">
              <w:rPr>
                <w:rFonts w:cs="Times New Roman"/>
                <w:noProof/>
                <w:webHidden/>
                <w:color w:val="000000" w:themeColor="text1"/>
                <w:szCs w:val="24"/>
              </w:rPr>
            </w:r>
            <w:r w:rsidRPr="00C8415C">
              <w:rPr>
                <w:rFonts w:cs="Times New Roman"/>
                <w:noProof/>
                <w:webHidden/>
                <w:color w:val="000000" w:themeColor="text1"/>
                <w:szCs w:val="24"/>
              </w:rPr>
              <w:fldChar w:fldCharType="separate"/>
            </w:r>
            <w:r w:rsidRPr="00C8415C">
              <w:rPr>
                <w:rFonts w:cs="Times New Roman"/>
                <w:noProof/>
                <w:webHidden/>
                <w:color w:val="000000" w:themeColor="text1"/>
                <w:szCs w:val="24"/>
              </w:rPr>
              <w:t>3</w:t>
            </w:r>
            <w:r w:rsidRPr="00C8415C">
              <w:rPr>
                <w:rFonts w:cs="Times New Roman"/>
                <w:noProof/>
                <w:webHidden/>
                <w:color w:val="000000" w:themeColor="text1"/>
                <w:szCs w:val="24"/>
              </w:rPr>
              <w:fldChar w:fldCharType="end"/>
            </w:r>
          </w:hyperlink>
        </w:p>
        <w:p w14:paraId="3350BF2D" w14:textId="205EAB63" w:rsidR="00C8415C" w:rsidRPr="00C8415C" w:rsidRDefault="004333D0" w:rsidP="00C8415C">
          <w:pPr>
            <w:pStyle w:val="TOC1"/>
            <w:tabs>
              <w:tab w:val="left" w:pos="440"/>
              <w:tab w:val="right" w:leader="dot" w:pos="9016"/>
            </w:tabs>
            <w:jc w:val="center"/>
            <w:rPr>
              <w:rFonts w:cs="Times New Roman"/>
              <w:noProof/>
              <w:color w:val="000000" w:themeColor="text1"/>
              <w:szCs w:val="24"/>
            </w:rPr>
          </w:pPr>
          <w:hyperlink w:anchor="_Toc117957148" w:history="1">
            <w:r w:rsidRPr="00C8415C">
              <w:rPr>
                <w:rStyle w:val="Hyperlink"/>
                <w:rFonts w:cs="Times New Roman"/>
                <w:noProof/>
                <w:color w:val="000000" w:themeColor="text1"/>
                <w:szCs w:val="24"/>
              </w:rPr>
              <w:t>2</w:t>
            </w:r>
            <w:r w:rsidRPr="00C8415C">
              <w:rPr>
                <w:rFonts w:cs="Times New Roman"/>
                <w:noProof/>
                <w:color w:val="000000" w:themeColor="text1"/>
                <w:szCs w:val="24"/>
              </w:rPr>
              <w:tab/>
            </w:r>
            <w:r w:rsidRPr="00C8415C">
              <w:rPr>
                <w:rStyle w:val="Hyperlink"/>
                <w:rFonts w:cs="Times New Roman"/>
                <w:noProof/>
                <w:color w:val="000000" w:themeColor="text1"/>
                <w:szCs w:val="24"/>
              </w:rPr>
              <w:t>Discuss when Criminal Liability will be Upheld for Filing to Act</w:t>
            </w:r>
            <w:r w:rsidRPr="00C8415C">
              <w:rPr>
                <w:rFonts w:cs="Times New Roman"/>
                <w:noProof/>
                <w:webHidden/>
                <w:color w:val="000000" w:themeColor="text1"/>
                <w:szCs w:val="24"/>
              </w:rPr>
              <w:tab/>
            </w:r>
            <w:r w:rsidRPr="00C8415C">
              <w:rPr>
                <w:rFonts w:cs="Times New Roman"/>
                <w:noProof/>
                <w:webHidden/>
                <w:color w:val="000000" w:themeColor="text1"/>
                <w:szCs w:val="24"/>
              </w:rPr>
              <w:fldChar w:fldCharType="begin"/>
            </w:r>
            <w:r w:rsidRPr="00C8415C">
              <w:rPr>
                <w:rFonts w:cs="Times New Roman"/>
                <w:noProof/>
                <w:webHidden/>
                <w:color w:val="000000" w:themeColor="text1"/>
                <w:szCs w:val="24"/>
              </w:rPr>
              <w:instrText xml:space="preserve"> PAGEREF _Toc117957148 \h </w:instrText>
            </w:r>
            <w:r w:rsidRPr="00C8415C">
              <w:rPr>
                <w:rFonts w:cs="Times New Roman"/>
                <w:noProof/>
                <w:webHidden/>
                <w:color w:val="000000" w:themeColor="text1"/>
                <w:szCs w:val="24"/>
              </w:rPr>
            </w:r>
            <w:r w:rsidRPr="00C8415C">
              <w:rPr>
                <w:rFonts w:cs="Times New Roman"/>
                <w:noProof/>
                <w:webHidden/>
                <w:color w:val="000000" w:themeColor="text1"/>
                <w:szCs w:val="24"/>
              </w:rPr>
              <w:fldChar w:fldCharType="separate"/>
            </w:r>
            <w:r w:rsidRPr="00C8415C">
              <w:rPr>
                <w:rFonts w:cs="Times New Roman"/>
                <w:noProof/>
                <w:webHidden/>
                <w:color w:val="000000" w:themeColor="text1"/>
                <w:szCs w:val="24"/>
              </w:rPr>
              <w:t>3</w:t>
            </w:r>
            <w:r w:rsidRPr="00C8415C">
              <w:rPr>
                <w:rFonts w:cs="Times New Roman"/>
                <w:noProof/>
                <w:webHidden/>
                <w:color w:val="000000" w:themeColor="text1"/>
                <w:szCs w:val="24"/>
              </w:rPr>
              <w:fldChar w:fldCharType="end"/>
            </w:r>
          </w:hyperlink>
        </w:p>
        <w:p w14:paraId="3BC2DDAA" w14:textId="4EED3FF1" w:rsidR="00C8415C" w:rsidRPr="00C8415C" w:rsidRDefault="004333D0" w:rsidP="00C8415C">
          <w:pPr>
            <w:pStyle w:val="TOC1"/>
            <w:tabs>
              <w:tab w:val="left" w:pos="440"/>
              <w:tab w:val="right" w:leader="dot" w:pos="9016"/>
            </w:tabs>
            <w:jc w:val="center"/>
            <w:rPr>
              <w:rFonts w:cs="Times New Roman"/>
              <w:noProof/>
              <w:color w:val="000000" w:themeColor="text1"/>
              <w:szCs w:val="24"/>
            </w:rPr>
          </w:pPr>
          <w:hyperlink w:anchor="_Toc117957149" w:history="1">
            <w:r w:rsidRPr="00C8415C">
              <w:rPr>
                <w:rStyle w:val="Hyperlink"/>
                <w:rFonts w:cs="Times New Roman"/>
                <w:noProof/>
                <w:color w:val="000000" w:themeColor="text1"/>
                <w:szCs w:val="24"/>
              </w:rPr>
              <w:t>3</w:t>
            </w:r>
            <w:r w:rsidRPr="00C8415C">
              <w:rPr>
                <w:rFonts w:cs="Times New Roman"/>
                <w:noProof/>
                <w:color w:val="000000" w:themeColor="text1"/>
                <w:szCs w:val="24"/>
              </w:rPr>
              <w:tab/>
            </w:r>
            <w:r w:rsidRPr="00C8415C">
              <w:rPr>
                <w:rStyle w:val="Hyperlink"/>
                <w:rFonts w:cs="Times New Roman"/>
                <w:noProof/>
                <w:color w:val="000000" w:themeColor="text1"/>
                <w:szCs w:val="24"/>
              </w:rPr>
              <w:t>Conclusion</w:t>
            </w:r>
            <w:r w:rsidRPr="00C8415C">
              <w:rPr>
                <w:rFonts w:cs="Times New Roman"/>
                <w:noProof/>
                <w:webHidden/>
                <w:color w:val="000000" w:themeColor="text1"/>
                <w:szCs w:val="24"/>
              </w:rPr>
              <w:tab/>
            </w:r>
            <w:r w:rsidRPr="00C8415C">
              <w:rPr>
                <w:rFonts w:cs="Times New Roman"/>
                <w:noProof/>
                <w:webHidden/>
                <w:color w:val="000000" w:themeColor="text1"/>
                <w:szCs w:val="24"/>
              </w:rPr>
              <w:fldChar w:fldCharType="begin"/>
            </w:r>
            <w:r w:rsidRPr="00C8415C">
              <w:rPr>
                <w:rFonts w:cs="Times New Roman"/>
                <w:noProof/>
                <w:webHidden/>
                <w:color w:val="000000" w:themeColor="text1"/>
                <w:szCs w:val="24"/>
              </w:rPr>
              <w:instrText xml:space="preserve"> PAGEREF _Toc117957149 \h </w:instrText>
            </w:r>
            <w:r w:rsidRPr="00C8415C">
              <w:rPr>
                <w:rFonts w:cs="Times New Roman"/>
                <w:noProof/>
                <w:webHidden/>
                <w:color w:val="000000" w:themeColor="text1"/>
                <w:szCs w:val="24"/>
              </w:rPr>
            </w:r>
            <w:r w:rsidRPr="00C8415C">
              <w:rPr>
                <w:rFonts w:cs="Times New Roman"/>
                <w:noProof/>
                <w:webHidden/>
                <w:color w:val="000000" w:themeColor="text1"/>
                <w:szCs w:val="24"/>
              </w:rPr>
              <w:fldChar w:fldCharType="separate"/>
            </w:r>
            <w:r w:rsidRPr="00C8415C">
              <w:rPr>
                <w:rFonts w:cs="Times New Roman"/>
                <w:noProof/>
                <w:webHidden/>
                <w:color w:val="000000" w:themeColor="text1"/>
                <w:szCs w:val="24"/>
              </w:rPr>
              <w:t>5</w:t>
            </w:r>
            <w:r w:rsidRPr="00C8415C">
              <w:rPr>
                <w:rFonts w:cs="Times New Roman"/>
                <w:noProof/>
                <w:webHidden/>
                <w:color w:val="000000" w:themeColor="text1"/>
                <w:szCs w:val="24"/>
              </w:rPr>
              <w:fldChar w:fldCharType="end"/>
            </w:r>
          </w:hyperlink>
        </w:p>
        <w:p w14:paraId="3DBEA510" w14:textId="1B309E67" w:rsidR="00C8415C" w:rsidRPr="00C8415C" w:rsidRDefault="004333D0" w:rsidP="00C8415C">
          <w:pPr>
            <w:pStyle w:val="TOC1"/>
            <w:tabs>
              <w:tab w:val="left" w:pos="440"/>
              <w:tab w:val="right" w:leader="dot" w:pos="9016"/>
            </w:tabs>
            <w:jc w:val="center"/>
            <w:rPr>
              <w:rFonts w:cs="Times New Roman"/>
              <w:noProof/>
              <w:color w:val="000000" w:themeColor="text1"/>
              <w:szCs w:val="24"/>
            </w:rPr>
          </w:pPr>
          <w:hyperlink w:anchor="_Toc117957150" w:history="1">
            <w:r w:rsidRPr="00C8415C">
              <w:rPr>
                <w:rStyle w:val="Hyperlink"/>
                <w:rFonts w:cs="Times New Roman"/>
                <w:noProof/>
                <w:color w:val="000000" w:themeColor="text1"/>
                <w:szCs w:val="24"/>
              </w:rPr>
              <w:t>4</w:t>
            </w:r>
            <w:r w:rsidRPr="00C8415C">
              <w:rPr>
                <w:rFonts w:cs="Times New Roman"/>
                <w:noProof/>
                <w:color w:val="000000" w:themeColor="text1"/>
                <w:szCs w:val="24"/>
              </w:rPr>
              <w:tab/>
            </w:r>
            <w:r w:rsidRPr="00C8415C">
              <w:rPr>
                <w:rStyle w:val="Hyperlink"/>
                <w:rFonts w:cs="Times New Roman"/>
                <w:noProof/>
                <w:color w:val="000000" w:themeColor="text1"/>
                <w:szCs w:val="24"/>
              </w:rPr>
              <w:t>References</w:t>
            </w:r>
            <w:r w:rsidRPr="00C8415C">
              <w:rPr>
                <w:rFonts w:cs="Times New Roman"/>
                <w:noProof/>
                <w:webHidden/>
                <w:color w:val="000000" w:themeColor="text1"/>
                <w:szCs w:val="24"/>
              </w:rPr>
              <w:tab/>
            </w:r>
            <w:r w:rsidRPr="00C8415C">
              <w:rPr>
                <w:rFonts w:cs="Times New Roman"/>
                <w:noProof/>
                <w:webHidden/>
                <w:color w:val="000000" w:themeColor="text1"/>
                <w:szCs w:val="24"/>
              </w:rPr>
              <w:fldChar w:fldCharType="begin"/>
            </w:r>
            <w:r w:rsidRPr="00C8415C">
              <w:rPr>
                <w:rFonts w:cs="Times New Roman"/>
                <w:noProof/>
                <w:webHidden/>
                <w:color w:val="000000" w:themeColor="text1"/>
                <w:szCs w:val="24"/>
              </w:rPr>
              <w:instrText xml:space="preserve"> PAGEREF _Toc117957150 \h </w:instrText>
            </w:r>
            <w:r w:rsidRPr="00C8415C">
              <w:rPr>
                <w:rFonts w:cs="Times New Roman"/>
                <w:noProof/>
                <w:webHidden/>
                <w:color w:val="000000" w:themeColor="text1"/>
                <w:szCs w:val="24"/>
              </w:rPr>
            </w:r>
            <w:r w:rsidRPr="00C8415C">
              <w:rPr>
                <w:rFonts w:cs="Times New Roman"/>
                <w:noProof/>
                <w:webHidden/>
                <w:color w:val="000000" w:themeColor="text1"/>
                <w:szCs w:val="24"/>
              </w:rPr>
              <w:fldChar w:fldCharType="separate"/>
            </w:r>
            <w:r w:rsidRPr="00C8415C">
              <w:rPr>
                <w:rFonts w:cs="Times New Roman"/>
                <w:noProof/>
                <w:webHidden/>
                <w:color w:val="000000" w:themeColor="text1"/>
                <w:szCs w:val="24"/>
              </w:rPr>
              <w:t>7</w:t>
            </w:r>
            <w:r w:rsidRPr="00C8415C">
              <w:rPr>
                <w:rFonts w:cs="Times New Roman"/>
                <w:noProof/>
                <w:webHidden/>
                <w:color w:val="000000" w:themeColor="text1"/>
                <w:szCs w:val="24"/>
              </w:rPr>
              <w:fldChar w:fldCharType="end"/>
            </w:r>
          </w:hyperlink>
        </w:p>
        <w:p w14:paraId="6A3D354A" w14:textId="333990C3" w:rsidR="00C8415C" w:rsidRDefault="004333D0" w:rsidP="00C8415C">
          <w:pPr>
            <w:jc w:val="center"/>
          </w:pPr>
          <w:r w:rsidRPr="00C8415C">
            <w:rPr>
              <w:rFonts w:cs="Times New Roman"/>
              <w:noProof/>
              <w:color w:val="000000" w:themeColor="text1"/>
              <w:szCs w:val="24"/>
            </w:rPr>
            <w:fldChar w:fldCharType="end"/>
          </w:r>
        </w:p>
      </w:sdtContent>
    </w:sdt>
    <w:p w14:paraId="5C7F0D35" w14:textId="77777777" w:rsidR="00C8415C" w:rsidRDefault="004333D0">
      <w:pPr>
        <w:rPr>
          <w:rFonts w:eastAsiaTheme="majorEastAsia" w:cs="Times New Roman"/>
          <w:b/>
          <w:bCs/>
          <w:color w:val="000000" w:themeColor="text1"/>
          <w:szCs w:val="24"/>
        </w:rPr>
      </w:pPr>
      <w:r>
        <w:rPr>
          <w:rFonts w:cs="Times New Roman"/>
          <w:b/>
          <w:bCs/>
          <w:color w:val="000000" w:themeColor="text1"/>
          <w:szCs w:val="24"/>
        </w:rPr>
        <w:br w:type="page"/>
      </w:r>
    </w:p>
    <w:p w14:paraId="3891A6FC" w14:textId="1BB07B83" w:rsidR="00A06ADA" w:rsidRDefault="004333D0" w:rsidP="00762280">
      <w:pPr>
        <w:pStyle w:val="Heading1"/>
        <w:rPr>
          <w:rFonts w:ascii="Times New Roman" w:hAnsi="Times New Roman" w:cs="Times New Roman"/>
          <w:b/>
          <w:bCs/>
          <w:color w:val="000000" w:themeColor="text1"/>
          <w:sz w:val="24"/>
          <w:szCs w:val="24"/>
        </w:rPr>
      </w:pPr>
      <w:bookmarkStart w:id="0" w:name="_Toc117957147"/>
      <w:r w:rsidRPr="00762280">
        <w:rPr>
          <w:rFonts w:ascii="Times New Roman" w:hAnsi="Times New Roman" w:cs="Times New Roman"/>
          <w:b/>
          <w:bCs/>
          <w:color w:val="000000" w:themeColor="text1"/>
          <w:sz w:val="24"/>
          <w:szCs w:val="24"/>
        </w:rPr>
        <w:t>Introduction</w:t>
      </w:r>
      <w:bookmarkEnd w:id="0"/>
      <w:r w:rsidRPr="00762280">
        <w:rPr>
          <w:rFonts w:ascii="Times New Roman" w:hAnsi="Times New Roman" w:cs="Times New Roman"/>
          <w:b/>
          <w:bCs/>
          <w:color w:val="000000" w:themeColor="text1"/>
          <w:sz w:val="24"/>
          <w:szCs w:val="24"/>
        </w:rPr>
        <w:t xml:space="preserve"> </w:t>
      </w:r>
    </w:p>
    <w:p w14:paraId="7131169F" w14:textId="0B1BD911" w:rsidR="00C871E5" w:rsidRPr="008C271E" w:rsidRDefault="004333D0" w:rsidP="00C871E5">
      <w:r>
        <w:t xml:space="preserve">Criminal liability is when an individual is held responsible for breaking a regulation. </w:t>
      </w:r>
      <w:r w:rsidR="00A40EA5">
        <w:t xml:space="preserve">Criminal liability for the outcome requires that the harm that is inflicted must be caused by the defendant. </w:t>
      </w:r>
      <w:r w:rsidR="00A639A8">
        <w:t xml:space="preserve">Criminal liability can further be described as the responsibility of unlawful behaviour that causes damage or harm to something or someone. </w:t>
      </w:r>
      <w:r w:rsidR="002D2405">
        <w:t xml:space="preserve">The three major </w:t>
      </w:r>
      <w:r w:rsidR="000B0124">
        <w:t>values</w:t>
      </w:r>
      <w:r w:rsidR="002D2405">
        <w:t xml:space="preserve"> of criminal </w:t>
      </w:r>
      <w:r w:rsidR="000B0124">
        <w:t>obligation</w:t>
      </w:r>
      <w:r w:rsidR="002D2405">
        <w:t xml:space="preserve"> are </w:t>
      </w:r>
      <w:proofErr w:type="spellStart"/>
      <w:r w:rsidR="002D2405">
        <w:t>actus</w:t>
      </w:r>
      <w:proofErr w:type="spellEnd"/>
      <w:r w:rsidR="002D2405">
        <w:t xml:space="preserve"> </w:t>
      </w:r>
      <w:proofErr w:type="spellStart"/>
      <w:r w:rsidR="002D2405">
        <w:t>reus</w:t>
      </w:r>
      <w:proofErr w:type="spellEnd"/>
      <w:r w:rsidR="002D2405">
        <w:t xml:space="preserve"> and </w:t>
      </w:r>
      <w:proofErr w:type="spellStart"/>
      <w:r w:rsidR="002D2405">
        <w:t>mens</w:t>
      </w:r>
      <w:proofErr w:type="spellEnd"/>
      <w:r w:rsidR="002D2405">
        <w:t xml:space="preserve"> rea, constructive and joint liability and </w:t>
      </w:r>
      <w:proofErr w:type="spellStart"/>
      <w:r w:rsidR="002D2405">
        <w:t>mens</w:t>
      </w:r>
      <w:proofErr w:type="spellEnd"/>
      <w:r w:rsidR="002D2405">
        <w:t xml:space="preserve"> rea in statutory offences.</w:t>
      </w:r>
      <w:r w:rsidR="008C271E">
        <w:t xml:space="preserve"> This assignment will highlight criminal liability as well as the general duty to criminal law. This assignment will also highlight case law for assessing the omission and duty to act.</w:t>
      </w:r>
    </w:p>
    <w:p w14:paraId="25AD68D9" w14:textId="359A9DAB" w:rsidR="00762280" w:rsidRDefault="004333D0" w:rsidP="00762280">
      <w:pPr>
        <w:pStyle w:val="Heading1"/>
        <w:rPr>
          <w:rFonts w:ascii="Times New Roman" w:hAnsi="Times New Roman" w:cs="Times New Roman"/>
          <w:b/>
          <w:bCs/>
          <w:color w:val="000000" w:themeColor="text1"/>
          <w:sz w:val="24"/>
          <w:szCs w:val="24"/>
        </w:rPr>
      </w:pPr>
      <w:bookmarkStart w:id="1" w:name="_Toc117957148"/>
      <w:r w:rsidRPr="00762280">
        <w:rPr>
          <w:rFonts w:ascii="Times New Roman" w:hAnsi="Times New Roman" w:cs="Times New Roman"/>
          <w:b/>
          <w:bCs/>
          <w:color w:val="000000" w:themeColor="text1"/>
          <w:sz w:val="24"/>
          <w:szCs w:val="24"/>
        </w:rPr>
        <w:t>Discuss when Criminal Liability will be Upheld for Filing to Act</w:t>
      </w:r>
      <w:bookmarkEnd w:id="1"/>
      <w:r w:rsidRPr="00762280">
        <w:rPr>
          <w:rFonts w:ascii="Times New Roman" w:hAnsi="Times New Roman" w:cs="Times New Roman"/>
          <w:b/>
          <w:bCs/>
          <w:color w:val="000000" w:themeColor="text1"/>
          <w:sz w:val="24"/>
          <w:szCs w:val="24"/>
        </w:rPr>
        <w:t xml:space="preserve"> </w:t>
      </w:r>
    </w:p>
    <w:p w14:paraId="079F6A2A" w14:textId="09C2A847" w:rsidR="007C1503" w:rsidRPr="00772547" w:rsidRDefault="004333D0" w:rsidP="007C1503">
      <w:r>
        <w:t xml:space="preserve">Based on the research of </w:t>
      </w:r>
      <w:proofErr w:type="spellStart"/>
      <w:r w:rsidR="00397A15" w:rsidRPr="007F043B">
        <w:rPr>
          <w:color w:val="000000" w:themeColor="text1"/>
        </w:rPr>
        <w:t>Gless</w:t>
      </w:r>
      <w:proofErr w:type="spellEnd"/>
      <w:r w:rsidR="00397A15">
        <w:t xml:space="preserve"> </w:t>
      </w:r>
      <w:r w:rsidR="00397A15" w:rsidRPr="00397A15">
        <w:rPr>
          <w:i/>
          <w:iCs/>
        </w:rPr>
        <w:t>et al.</w:t>
      </w:r>
      <w:r w:rsidR="00397A15">
        <w:t xml:space="preserve"> </w:t>
      </w:r>
      <w:r>
        <w:t>(</w:t>
      </w:r>
      <w:r w:rsidR="00397A15">
        <w:t>2016</w:t>
      </w:r>
      <w:r>
        <w:t xml:space="preserve">), the criminal omission is related to failure to perform a lawful responsibility when an individual has the capacity to do it. This is considered a substitute for a commission of an offence when harm is inflicted. </w:t>
      </w:r>
      <w:r w:rsidR="004717C0">
        <w:t xml:space="preserve">The requirement of causation is vital in proving omission. </w:t>
      </w:r>
      <w:r w:rsidR="000B0124">
        <w:t xml:space="preserve">Conducive </w:t>
      </w:r>
      <w:r w:rsidR="0027407D">
        <w:t xml:space="preserve">for a person to be found guilty of the offence, three aspects need to be satisfied, which are </w:t>
      </w:r>
      <w:proofErr w:type="spellStart"/>
      <w:r w:rsidR="0027407D">
        <w:t>actus</w:t>
      </w:r>
      <w:proofErr w:type="spellEnd"/>
      <w:r w:rsidR="0027407D">
        <w:t xml:space="preserve"> </w:t>
      </w:r>
      <w:proofErr w:type="spellStart"/>
      <w:r w:rsidR="0027407D">
        <w:t>reus</w:t>
      </w:r>
      <w:proofErr w:type="spellEnd"/>
      <w:r w:rsidR="0027407D">
        <w:t xml:space="preserve">, </w:t>
      </w:r>
      <w:proofErr w:type="spellStart"/>
      <w:r w:rsidR="0027407D">
        <w:t>mens</w:t>
      </w:r>
      <w:proofErr w:type="spellEnd"/>
      <w:r w:rsidR="0027407D">
        <w:t xml:space="preserve"> rea and no valid defence. In many cases, the accused is </w:t>
      </w:r>
      <w:r w:rsidR="000B0124">
        <w:t>obligatory</w:t>
      </w:r>
      <w:r w:rsidR="0027407D">
        <w:t xml:space="preserve"> to do something to </w:t>
      </w:r>
      <w:r w:rsidR="000B0124">
        <w:t>content</w:t>
      </w:r>
      <w:r w:rsidR="0027407D">
        <w:t xml:space="preserve"> </w:t>
      </w:r>
      <w:proofErr w:type="spellStart"/>
      <w:r w:rsidR="0027407D">
        <w:t>actus</w:t>
      </w:r>
      <w:proofErr w:type="spellEnd"/>
      <w:r w:rsidR="0027407D">
        <w:t xml:space="preserve"> </w:t>
      </w:r>
      <w:proofErr w:type="spellStart"/>
      <w:r w:rsidR="0027407D">
        <w:t>reus</w:t>
      </w:r>
      <w:proofErr w:type="spellEnd"/>
      <w:r w:rsidR="0027407D">
        <w:t xml:space="preserve">. In particular events, </w:t>
      </w:r>
      <w:proofErr w:type="spellStart"/>
      <w:r w:rsidR="0027407D">
        <w:t>actus</w:t>
      </w:r>
      <w:proofErr w:type="spellEnd"/>
      <w:r w:rsidR="0027407D">
        <w:t xml:space="preserve"> </w:t>
      </w:r>
      <w:proofErr w:type="spellStart"/>
      <w:r w:rsidR="0027407D">
        <w:t>reus</w:t>
      </w:r>
      <w:proofErr w:type="spellEnd"/>
      <w:r w:rsidR="0027407D">
        <w:t xml:space="preserve"> need a factor to exist or a particular consequence to follow so that </w:t>
      </w:r>
      <w:proofErr w:type="spellStart"/>
      <w:r w:rsidR="0027407D">
        <w:t>actus</w:t>
      </w:r>
      <w:proofErr w:type="spellEnd"/>
      <w:r w:rsidR="0027407D">
        <w:t xml:space="preserve"> </w:t>
      </w:r>
      <w:proofErr w:type="spellStart"/>
      <w:r w:rsidR="0027407D">
        <w:t>reus</w:t>
      </w:r>
      <w:proofErr w:type="spellEnd"/>
      <w:r w:rsidR="0027407D">
        <w:t xml:space="preserve"> can be developed. </w:t>
      </w:r>
      <w:r w:rsidR="00772547">
        <w:t xml:space="preserve">In the Offences Against the Person Act 1861, the action of the accused should cause </w:t>
      </w:r>
      <w:r w:rsidR="000B0124">
        <w:t>physical</w:t>
      </w:r>
      <w:r w:rsidR="00772547">
        <w:t xml:space="preserve"> harm to the </w:t>
      </w:r>
      <w:r w:rsidR="000B0124">
        <w:t>person</w:t>
      </w:r>
      <w:r w:rsidR="00A264AA">
        <w:t xml:space="preserve"> (</w:t>
      </w:r>
      <w:proofErr w:type="spellStart"/>
      <w:r w:rsidR="00A264AA" w:rsidRPr="008E6264">
        <w:t>Eugenicos</w:t>
      </w:r>
      <w:proofErr w:type="spellEnd"/>
      <w:r w:rsidR="00A264AA">
        <w:t>, 2017)</w:t>
      </w:r>
      <w:r w:rsidR="00772547">
        <w:t xml:space="preserve">. The action of victim assault would not be enough to </w:t>
      </w:r>
      <w:r w:rsidR="000B0124">
        <w:t>gratify</w:t>
      </w:r>
      <w:r w:rsidR="00772547">
        <w:t xml:space="preserve"> </w:t>
      </w:r>
      <w:proofErr w:type="spellStart"/>
      <w:r w:rsidR="00772547">
        <w:t>actus</w:t>
      </w:r>
      <w:proofErr w:type="spellEnd"/>
      <w:r w:rsidR="00772547">
        <w:t xml:space="preserve"> </w:t>
      </w:r>
      <w:proofErr w:type="spellStart"/>
      <w:r w:rsidR="00772547">
        <w:t>reus</w:t>
      </w:r>
      <w:proofErr w:type="spellEnd"/>
      <w:r w:rsidR="00772547">
        <w:t xml:space="preserve"> </w:t>
      </w:r>
      <w:r w:rsidR="000B0124">
        <w:t>exclusive of</w:t>
      </w:r>
      <w:r w:rsidR="00772547">
        <w:t xml:space="preserve"> specific consequences. </w:t>
      </w:r>
    </w:p>
    <w:p w14:paraId="1726EB50" w14:textId="1FDB5CF1" w:rsidR="001748A5" w:rsidRDefault="004333D0" w:rsidP="007C1503">
      <w:proofErr w:type="spellStart"/>
      <w:r w:rsidRPr="00616444">
        <w:t>Solaiman</w:t>
      </w:r>
      <w:proofErr w:type="spellEnd"/>
      <w:r>
        <w:t xml:space="preserve"> </w:t>
      </w:r>
      <w:r w:rsidR="00C72A36">
        <w:t>(</w:t>
      </w:r>
      <w:r>
        <w:t>2017</w:t>
      </w:r>
      <w:r w:rsidR="00C72A36">
        <w:t xml:space="preserve">) described that the activity requirements of criminal law need that there should be a bodily movement that is caused by violation before attaching criminal liability, and that movement is the act that an individual performs. </w:t>
      </w:r>
      <w:r w:rsidR="00B90C35">
        <w:t>For instance, an act of killing is reducible to the act and the demise that it caused</w:t>
      </w:r>
      <w:r w:rsidR="00784AD9">
        <w:t xml:space="preserve">. </w:t>
      </w:r>
      <w:r w:rsidR="00DC2B41">
        <w:t>In many cases, the accused</w:t>
      </w:r>
      <w:r w:rsidR="00D3444B">
        <w:t xml:space="preserve"> needs to act to satisfy the </w:t>
      </w:r>
      <w:proofErr w:type="spellStart"/>
      <w:r w:rsidR="00D3444B">
        <w:t>actus</w:t>
      </w:r>
      <w:proofErr w:type="spellEnd"/>
      <w:r w:rsidR="00D3444B">
        <w:t xml:space="preserve"> </w:t>
      </w:r>
      <w:proofErr w:type="spellStart"/>
      <w:r w:rsidR="00D3444B">
        <w:t>reus</w:t>
      </w:r>
      <w:proofErr w:type="spellEnd"/>
      <w:r w:rsidR="00D3444B">
        <w:t xml:space="preserve"> of offence. There is no general </w:t>
      </w:r>
      <w:r w:rsidR="000B0124">
        <w:t>obligation</w:t>
      </w:r>
      <w:r w:rsidR="00D3444B">
        <w:t xml:space="preserve"> under Welsh and English law for an individual to act.</w:t>
      </w:r>
      <w:r w:rsidR="00540150">
        <w:t xml:space="preserve"> </w:t>
      </w:r>
      <w:r w:rsidR="00435F29">
        <w:t xml:space="preserve">R v </w:t>
      </w:r>
      <w:proofErr w:type="spellStart"/>
      <w:r w:rsidR="00435F29">
        <w:t>Instan</w:t>
      </w:r>
      <w:proofErr w:type="spellEnd"/>
      <w:r w:rsidR="00435F29">
        <w:t xml:space="preserve"> [1893] is a case which shows the omission of duty. </w:t>
      </w:r>
      <w:proofErr w:type="spellStart"/>
      <w:r w:rsidR="00435F29">
        <w:t>Instan</w:t>
      </w:r>
      <w:proofErr w:type="spellEnd"/>
      <w:r w:rsidR="00435F29">
        <w:t xml:space="preserve"> lived with her aunt, who fell ill and eventually died. In this case, </w:t>
      </w:r>
      <w:proofErr w:type="spellStart"/>
      <w:r w:rsidR="00435F29">
        <w:t>Instan</w:t>
      </w:r>
      <w:proofErr w:type="spellEnd"/>
      <w:r w:rsidR="00435F29">
        <w:t xml:space="preserve"> was convicted of manslaughter as she failed to provide any medical aid to her aunt, nor did she feed her, although she was living with them. </w:t>
      </w:r>
      <w:r w:rsidR="009E0700">
        <w:t xml:space="preserve">This case shows omission, as </w:t>
      </w:r>
      <w:proofErr w:type="spellStart"/>
      <w:r w:rsidR="009E0700">
        <w:t>Instan</w:t>
      </w:r>
      <w:proofErr w:type="spellEnd"/>
      <w:r w:rsidR="009E0700">
        <w:t xml:space="preserve"> was living with her aunt but did not perform her duty to take care of her, which led towards the aunt's demise</w:t>
      </w:r>
      <w:r w:rsidR="009B6D07">
        <w:t xml:space="preserve"> (</w:t>
      </w:r>
      <w:proofErr w:type="spellStart"/>
      <w:r w:rsidR="009B6D07" w:rsidRPr="0089003E">
        <w:t>Macnamara</w:t>
      </w:r>
      <w:proofErr w:type="spellEnd"/>
      <w:r w:rsidR="009B6D07" w:rsidRPr="0089003E">
        <w:t xml:space="preserve"> and Young</w:t>
      </w:r>
      <w:r w:rsidR="009B6D07">
        <w:t>, 2022)</w:t>
      </w:r>
      <w:r w:rsidR="009E0700">
        <w:t xml:space="preserve">. </w:t>
      </w:r>
    </w:p>
    <w:p w14:paraId="72E3DFFB" w14:textId="1EB17629" w:rsidR="00A330FA" w:rsidRPr="00B90BC7" w:rsidRDefault="004333D0" w:rsidP="007C1503">
      <w:r>
        <w:t xml:space="preserve">In the view of </w:t>
      </w:r>
      <w:r w:rsidR="003F69E8" w:rsidRPr="00DA7FC9">
        <w:t>Robinson</w:t>
      </w:r>
      <w:r w:rsidR="003F69E8">
        <w:t xml:space="preserve"> </w:t>
      </w:r>
      <w:r>
        <w:t>(</w:t>
      </w:r>
      <w:r w:rsidR="003F69E8">
        <w:t>2017</w:t>
      </w:r>
      <w:r>
        <w:t>), the requirements prescribe that an omission that is done by the individual has the intent of causing harm or becomes the proximate cause for that harm.</w:t>
      </w:r>
      <w:r w:rsidR="001B79A4">
        <w:t xml:space="preserve"> The criminal omission establishment requires that the proximate harm caused was the failure to perform lawful </w:t>
      </w:r>
      <w:r w:rsidR="00B15834">
        <w:t>r</w:t>
      </w:r>
      <w:r w:rsidR="001B79A4">
        <w:t xml:space="preserve">esponsibility. </w:t>
      </w:r>
      <w:r w:rsidR="00824375">
        <w:t xml:space="preserve">R v </w:t>
      </w:r>
      <w:proofErr w:type="spellStart"/>
      <w:r w:rsidR="00824375">
        <w:t>Gibbins</w:t>
      </w:r>
      <w:proofErr w:type="spellEnd"/>
      <w:r w:rsidR="00824375">
        <w:t xml:space="preserve"> &amp; Proctor [1918] showed negligence due to which the child was harmed. </w:t>
      </w:r>
      <w:r w:rsidR="00B90BC7">
        <w:t>This case showed negligence to the duty of care of a stepparent that was responsible for the care of the child</w:t>
      </w:r>
      <w:r w:rsidR="00094BCD">
        <w:t xml:space="preserve"> (</w:t>
      </w:r>
      <w:r w:rsidR="00094BCD" w:rsidRPr="00CE0436">
        <w:t>Peng</w:t>
      </w:r>
      <w:r w:rsidR="00094BCD">
        <w:t>, 2019)</w:t>
      </w:r>
      <w:r w:rsidR="00B90BC7">
        <w:t>.</w:t>
      </w:r>
    </w:p>
    <w:p w14:paraId="4BE426A5" w14:textId="5BE391C1" w:rsidR="00641271" w:rsidRDefault="004333D0" w:rsidP="007C1503">
      <w:r>
        <w:t xml:space="preserve">According to </w:t>
      </w:r>
      <w:r w:rsidR="003F69E8" w:rsidRPr="00177EDC">
        <w:t xml:space="preserve">Van </w:t>
      </w:r>
      <w:proofErr w:type="spellStart"/>
      <w:r w:rsidR="003F69E8" w:rsidRPr="00177EDC">
        <w:t>Dijk</w:t>
      </w:r>
      <w:proofErr w:type="spellEnd"/>
      <w:r w:rsidR="003F69E8">
        <w:t xml:space="preserve"> </w:t>
      </w:r>
      <w:r>
        <w:t>(</w:t>
      </w:r>
      <w:r w:rsidR="003F69E8">
        <w:t>2020</w:t>
      </w:r>
      <w:r>
        <w:t xml:space="preserve">), a statutory duty to act arises when there is a contract or statute that generates that duty; otherwise, no duty to act is found. </w:t>
      </w:r>
      <w:r w:rsidR="000B4350">
        <w:t xml:space="preserve">There are various statutory provision that needs a person to act in a certain way, and if a person fails to do so can cause criminal liability. </w:t>
      </w:r>
      <w:r>
        <w:t>Statutory duty makes a person responsible for the care of another individual. Breach of this duty can make the individual liable for a criminal penalty that is implemented by the statute, and the individual can also be held liable for p</w:t>
      </w:r>
      <w:r>
        <w:t xml:space="preserve">aying damages to the injured party if that person has belonged to the class whose protection the statute was passed. </w:t>
      </w:r>
    </w:p>
    <w:p w14:paraId="0715E375" w14:textId="07E39172" w:rsidR="003931D5" w:rsidRPr="00784778" w:rsidRDefault="004333D0" w:rsidP="007C1503">
      <w:r>
        <w:t xml:space="preserve">Based on the research of </w:t>
      </w:r>
      <w:proofErr w:type="spellStart"/>
      <w:r w:rsidR="003F69E8" w:rsidRPr="00110346">
        <w:t>Kolber</w:t>
      </w:r>
      <w:proofErr w:type="spellEnd"/>
      <w:r w:rsidR="003F69E8">
        <w:t xml:space="preserve"> </w:t>
      </w:r>
      <w:r>
        <w:t>(</w:t>
      </w:r>
      <w:r w:rsidR="003F69E8">
        <w:t>2018</w:t>
      </w:r>
      <w:r>
        <w:t>), contract obligations are considered duties that an individual or party is lawfully responsible for</w:t>
      </w:r>
      <w:r>
        <w:t xml:space="preserve"> in an agreement. </w:t>
      </w:r>
      <w:r w:rsidR="0028379D">
        <w:t xml:space="preserve">An individual can be found liable for a crime if they fail to </w:t>
      </w:r>
      <w:r w:rsidR="000B0124">
        <w:t>fulfil</w:t>
      </w:r>
      <w:r w:rsidR="0028379D">
        <w:t xml:space="preserve"> with the contractual duty. </w:t>
      </w:r>
      <w:r w:rsidR="004B44D2">
        <w:t xml:space="preserve">R v </w:t>
      </w:r>
      <w:proofErr w:type="spellStart"/>
      <w:r w:rsidR="004B44D2">
        <w:t>Pittwood</w:t>
      </w:r>
      <w:proofErr w:type="spellEnd"/>
      <w:r w:rsidR="004B44D2">
        <w:t xml:space="preserve"> [1902] is a case which shows negligence. The accused was an employee who was responsible for level gate crossing. The accused </w:t>
      </w:r>
      <w:r w:rsidR="000B0124">
        <w:t>unsuccessful</w:t>
      </w:r>
      <w:r w:rsidR="004B44D2">
        <w:t xml:space="preserve"> to close the door when the train arrived and killed a carter. This shows negligence, due to which </w:t>
      </w:r>
      <w:proofErr w:type="spellStart"/>
      <w:r w:rsidR="004B44D2">
        <w:t>Pittwood</w:t>
      </w:r>
      <w:proofErr w:type="spellEnd"/>
      <w:r w:rsidR="004B44D2">
        <w:t xml:space="preserve"> was convicted of manslaughter</w:t>
      </w:r>
      <w:r w:rsidR="00F11033">
        <w:t xml:space="preserve"> (</w:t>
      </w:r>
      <w:r w:rsidR="00F11033" w:rsidRPr="004A3D36">
        <w:t>Allen</w:t>
      </w:r>
      <w:r w:rsidR="00F11033">
        <w:t>, 2020)</w:t>
      </w:r>
      <w:r w:rsidR="00D3395D">
        <w:t xml:space="preserve">. </w:t>
      </w:r>
      <w:r w:rsidR="004655E6">
        <w:t xml:space="preserve">The contractual aspect arises from his responsibility to manage to cross. </w:t>
      </w:r>
      <w:r w:rsidR="001A5F06">
        <w:t>A contractual duty imposes a responsibility to do a job to prevent harm to other people.</w:t>
      </w:r>
      <w:r w:rsidR="003F5208">
        <w:t xml:space="preserve"> For instance, a doctor has a duty to work in a hospital and act in a way that prevents harm to pati</w:t>
      </w:r>
      <w:r w:rsidR="00784778">
        <w:t>ents.</w:t>
      </w:r>
      <w:r w:rsidR="00D538DB">
        <w:t xml:space="preserve"> Negligence liability is considered a civil matter rather than a criminal one. </w:t>
      </w:r>
      <w:r w:rsidR="009363BF">
        <w:t xml:space="preserve">In this, it is required by the victim to prove that accused owed that duty of care. Also that the duty was neglected, and some harm or loss occurred due to the negligence. </w:t>
      </w:r>
    </w:p>
    <w:p w14:paraId="343F7B09" w14:textId="42E083B5" w:rsidR="009D6FFA" w:rsidRDefault="004333D0" w:rsidP="007C1503">
      <w:r>
        <w:t xml:space="preserve">When an individual develops a harmful event, they are </w:t>
      </w:r>
      <w:r w:rsidR="000B0124">
        <w:t>in</w:t>
      </w:r>
      <w:r>
        <w:t xml:space="preserve"> an obligation to take appropri</w:t>
      </w:r>
      <w:r>
        <w:t xml:space="preserve">ate steps to reduce the danger, or they can be </w:t>
      </w:r>
      <w:r w:rsidR="000025FB">
        <w:t xml:space="preserve">held </w:t>
      </w:r>
      <w:r>
        <w:t>criminally liable</w:t>
      </w:r>
      <w:r w:rsidR="000025FB">
        <w:t xml:space="preserve"> for not performing their duty</w:t>
      </w:r>
      <w:r>
        <w:t>. Miller [1983] is a case in which courts recognised that a duty to act has risen from the danger that is created. In this case, the accused was found liable</w:t>
      </w:r>
      <w:r>
        <w:t xml:space="preserve"> on the basis of criminal damage that happened due to omission. </w:t>
      </w:r>
      <w:r w:rsidR="009A4422">
        <w:t xml:space="preserve">Miller, in this case, has a duty to act but prefers ignoring that duty which results in damages. This case was a failure to act and provide rise to </w:t>
      </w:r>
      <w:proofErr w:type="spellStart"/>
      <w:r w:rsidR="009A4422">
        <w:t>actus</w:t>
      </w:r>
      <w:proofErr w:type="spellEnd"/>
      <w:r w:rsidR="009A4422">
        <w:t xml:space="preserve"> </w:t>
      </w:r>
      <w:proofErr w:type="spellStart"/>
      <w:r w:rsidR="009A4422">
        <w:t>reus</w:t>
      </w:r>
      <w:proofErr w:type="spellEnd"/>
      <w:r w:rsidR="009A4422">
        <w:t xml:space="preserve">. </w:t>
      </w:r>
      <w:r w:rsidR="00EE0E93">
        <w:t xml:space="preserve">R v Evans [2009] is a case which takes Miller's approach to another level and leads towards manslaughter. Gross negligence was shown in this case, where the victim was supplied with a harmful drug and then failed to attain appropriate treatment for the victim. </w:t>
      </w:r>
      <w:r w:rsidR="008D1C80">
        <w:t>This becomes the cause of her death</w:t>
      </w:r>
      <w:r w:rsidR="00857E18">
        <w:t xml:space="preserve"> (</w:t>
      </w:r>
      <w:r w:rsidR="00857E18" w:rsidRPr="00F7420C">
        <w:t>Crosby</w:t>
      </w:r>
      <w:r w:rsidR="00857E18">
        <w:t>, 2018)</w:t>
      </w:r>
      <w:r w:rsidR="008D1C80">
        <w:t xml:space="preserve">. </w:t>
      </w:r>
      <w:r w:rsidR="004607CA">
        <w:t xml:space="preserve">Another case that shows the duty to act which was neglected and led towards manslaughter. </w:t>
      </w:r>
      <w:r w:rsidR="004607CA" w:rsidRPr="004607CA">
        <w:t>R v Stone and Dobinson [1977]</w:t>
      </w:r>
      <w:r w:rsidR="004607CA">
        <w:t xml:space="preserve"> is a case about a couple who live together and are responsible for Stone's sister Fanny. Sister suffered from anorexia nervosa. Initially, she was able to take care of herself, but later her condition worsened, and she was not able to, Stone and Dobinson did not attain any medical aid for Fanny, and eventually, she died. </w:t>
      </w:r>
      <w:r w:rsidR="00EE5DD6">
        <w:t>The Court found both Stone and Dobinson guilty of the manslaughter of Fanny</w:t>
      </w:r>
      <w:r w:rsidR="00857E18">
        <w:t xml:space="preserve"> (</w:t>
      </w:r>
      <w:r w:rsidR="00857E18" w:rsidRPr="002F6AC7">
        <w:t>Griffith</w:t>
      </w:r>
      <w:r w:rsidR="00857E18">
        <w:t>, 2017)</w:t>
      </w:r>
      <w:r w:rsidR="00EE5DD6">
        <w:t xml:space="preserve">. </w:t>
      </w:r>
    </w:p>
    <w:p w14:paraId="51F54A5D" w14:textId="4F3C5E3F" w:rsidR="000A59D8" w:rsidRDefault="004333D0" w:rsidP="007C1503">
      <w:r>
        <w:t>In most medical treatments, duty to act stops are found. Doctors needed to act in such a way that would provide the patients with the best care.</w:t>
      </w:r>
      <w:r w:rsidR="00815DD1">
        <w:t xml:space="preserve"> This duty stops when a patient refuses </w:t>
      </w:r>
      <w:r w:rsidR="000B0124">
        <w:t>medical treatment</w:t>
      </w:r>
      <w:r w:rsidR="00815DD1">
        <w:t xml:space="preserve">. In </w:t>
      </w:r>
      <w:r w:rsidR="000B0124">
        <w:t>some</w:t>
      </w:r>
      <w:r w:rsidR="00815DD1">
        <w:t xml:space="preserve"> cases, the Court </w:t>
      </w:r>
      <w:r w:rsidR="000B0124">
        <w:t>permit</w:t>
      </w:r>
      <w:r w:rsidR="00815DD1">
        <w:t xml:space="preserve"> doctors to </w:t>
      </w:r>
      <w:r w:rsidR="000B0124">
        <w:t>detach</w:t>
      </w:r>
      <w:r w:rsidR="00815DD1">
        <w:t xml:space="preserve"> a patient from </w:t>
      </w:r>
      <w:r w:rsidR="000B0124">
        <w:t>therapeutic</w:t>
      </w:r>
      <w:r w:rsidR="00815DD1">
        <w:t xml:space="preserve"> treatment for the best interest. </w:t>
      </w:r>
      <w:r w:rsidRPr="000A59D8">
        <w:t>Airedale National Health Service Trust v Bland [1993]</w:t>
      </w:r>
      <w:r>
        <w:t xml:space="preserve"> is a case which shows when the du</w:t>
      </w:r>
      <w:r>
        <w:t xml:space="preserve">ty to act stops. </w:t>
      </w:r>
      <w:r w:rsidR="00042EB9">
        <w:t xml:space="preserve">In this case, doctors sought permission from Court to withdraw from treating a patient who was in a vegetative state. </w:t>
      </w:r>
      <w:r w:rsidR="00CD2C3B">
        <w:t>In this case, the permission was granted by Court, but it also draws a distinction between actions that can be an omission, for instance, failing to feed a patient, and these are considered positive acts</w:t>
      </w:r>
      <w:r w:rsidR="00857E18">
        <w:t xml:space="preserve"> (</w:t>
      </w:r>
      <w:proofErr w:type="spellStart"/>
      <w:r w:rsidR="00857E18" w:rsidRPr="002504DD">
        <w:t>Gorecka</w:t>
      </w:r>
      <w:proofErr w:type="spellEnd"/>
      <w:r w:rsidR="00857E18">
        <w:t>, 2020)</w:t>
      </w:r>
      <w:r w:rsidR="00CD2C3B">
        <w:t>.</w:t>
      </w:r>
    </w:p>
    <w:p w14:paraId="1B50534D" w14:textId="2B025B7E" w:rsidR="004C6FEF" w:rsidRPr="00A330FA" w:rsidRDefault="004333D0" w:rsidP="007C1503">
      <w:proofErr w:type="spellStart"/>
      <w:r w:rsidRPr="00E96746">
        <w:t>Lagioia</w:t>
      </w:r>
      <w:proofErr w:type="spellEnd"/>
      <w:r>
        <w:t xml:space="preserve"> </w:t>
      </w:r>
      <w:r w:rsidRPr="00E96746">
        <w:t xml:space="preserve">and </w:t>
      </w:r>
      <w:proofErr w:type="spellStart"/>
      <w:r w:rsidRPr="00E96746">
        <w:t>Sartor</w:t>
      </w:r>
      <w:proofErr w:type="spellEnd"/>
      <w:r>
        <w:t xml:space="preserve"> (2020) stated that criminal liability might be projected on a failure to act when the defendant has the lawful duty to act and is ably ca</w:t>
      </w:r>
      <w:r>
        <w:t xml:space="preserve">pable of performing the responsibility. The duty to act provide the benefit of developing effective relationship and also developing a sense of trust and fairness. The welfare and well-being of an individual are also safe due to this duty. </w:t>
      </w:r>
      <w:r w:rsidR="00EB74B0">
        <w:t xml:space="preserve">Duty of care also provides the benefit to the individual that requires proper care with the safety and assurance that their health would not be compromised. </w:t>
      </w:r>
      <w:r w:rsidR="005961B9">
        <w:t xml:space="preserve">The drawback of the duty to act is that there is no flexibility, as regulations and law are complex and requires full compliance. </w:t>
      </w:r>
      <w:r w:rsidR="001B2AFC">
        <w:t xml:space="preserve">Even a little careless in duty can develop severe punishments that the person does not deserve. </w:t>
      </w:r>
    </w:p>
    <w:p w14:paraId="664AF45C" w14:textId="46998887" w:rsidR="00762280" w:rsidRDefault="004333D0" w:rsidP="00762280">
      <w:pPr>
        <w:pStyle w:val="Heading1"/>
        <w:rPr>
          <w:rFonts w:ascii="Times New Roman" w:hAnsi="Times New Roman" w:cs="Times New Roman"/>
          <w:b/>
          <w:bCs/>
          <w:color w:val="000000" w:themeColor="text1"/>
          <w:sz w:val="24"/>
          <w:szCs w:val="24"/>
        </w:rPr>
      </w:pPr>
      <w:bookmarkStart w:id="2" w:name="_Toc117957149"/>
      <w:r w:rsidRPr="00762280">
        <w:rPr>
          <w:rFonts w:ascii="Times New Roman" w:hAnsi="Times New Roman" w:cs="Times New Roman"/>
          <w:b/>
          <w:bCs/>
          <w:color w:val="000000" w:themeColor="text1"/>
          <w:sz w:val="24"/>
          <w:szCs w:val="24"/>
        </w:rPr>
        <w:t>Conclusion</w:t>
      </w:r>
      <w:bookmarkEnd w:id="2"/>
      <w:r w:rsidRPr="00762280">
        <w:rPr>
          <w:rFonts w:ascii="Times New Roman" w:hAnsi="Times New Roman" w:cs="Times New Roman"/>
          <w:b/>
          <w:bCs/>
          <w:color w:val="000000" w:themeColor="text1"/>
          <w:sz w:val="24"/>
          <w:szCs w:val="24"/>
        </w:rPr>
        <w:t xml:space="preserve"> </w:t>
      </w:r>
    </w:p>
    <w:p w14:paraId="0B178487" w14:textId="2A76C7D7" w:rsidR="00D236A0" w:rsidRDefault="004333D0" w:rsidP="00B74957">
      <w:r>
        <w:t xml:space="preserve">From the assignment analysis, it is concluded that criminal liability occurs when a person is responsible for breaking a regulation </w:t>
      </w:r>
      <w:r>
        <w:t xml:space="preserve">or law. Criminal omission occurs when a person who has been appointed with a duty fails to fulfil it. </w:t>
      </w:r>
      <w:r w:rsidR="0085743F">
        <w:t xml:space="preserve">Omission mainly happens when a person has the intent of causing harm or becoming the cause of injury. </w:t>
      </w:r>
      <w:r w:rsidR="007660B3">
        <w:t xml:space="preserve">Statutory duty towards the care of an individual generally arises due to a contract or statute otherwise, and the person would not be held responsible for the duty to care. From the assignment, it is also summarised that </w:t>
      </w:r>
      <w:r w:rsidR="002F4EF7">
        <w:t xml:space="preserve">a person can be liable for a crime if they fail to </w:t>
      </w:r>
      <w:r w:rsidR="000B0124">
        <w:t>fulfil</w:t>
      </w:r>
      <w:r w:rsidR="002F4EF7">
        <w:t xml:space="preserve"> with the statutory or contractual duty. There are various case laws that have been described in this assignment for a better understanding of when criminal liability is upheld for failing to act. </w:t>
      </w:r>
    </w:p>
    <w:p w14:paraId="5328B52E" w14:textId="77777777" w:rsidR="00D236A0" w:rsidRDefault="004333D0">
      <w:r>
        <w:br w:type="page"/>
      </w:r>
    </w:p>
    <w:p w14:paraId="4D45ECFC" w14:textId="00DED0C4" w:rsidR="00B74957" w:rsidRDefault="004333D0" w:rsidP="00A4776A">
      <w:pPr>
        <w:pStyle w:val="Heading1"/>
        <w:rPr>
          <w:rFonts w:ascii="Times New Roman" w:hAnsi="Times New Roman" w:cs="Times New Roman"/>
          <w:b/>
          <w:bCs/>
          <w:color w:val="000000" w:themeColor="text1"/>
          <w:sz w:val="24"/>
          <w:szCs w:val="24"/>
        </w:rPr>
      </w:pPr>
      <w:bookmarkStart w:id="3" w:name="_Toc117957150"/>
      <w:r w:rsidRPr="00A4776A">
        <w:rPr>
          <w:rFonts w:ascii="Times New Roman" w:hAnsi="Times New Roman" w:cs="Times New Roman"/>
          <w:b/>
          <w:bCs/>
          <w:color w:val="000000" w:themeColor="text1"/>
          <w:sz w:val="24"/>
          <w:szCs w:val="24"/>
        </w:rPr>
        <w:t>References</w:t>
      </w:r>
      <w:bookmarkEnd w:id="3"/>
    </w:p>
    <w:p w14:paraId="5EE2DB5A" w14:textId="77777777" w:rsidR="004F5558" w:rsidRDefault="004333D0" w:rsidP="004F5558">
      <w:pPr>
        <w:ind w:left="720" w:hanging="720"/>
      </w:pPr>
      <w:r w:rsidRPr="004A3D36">
        <w:t xml:space="preserve">Allen, M., 2020. Concentrate Questions and Answers Criminal Law: Law Q&amp;A </w:t>
      </w:r>
      <w:r w:rsidRPr="004A3D36">
        <w:t>Revision and Study Guide. Concentrate Questions &amp; Answers.</w:t>
      </w:r>
    </w:p>
    <w:p w14:paraId="4005F4E5" w14:textId="77777777" w:rsidR="004F5558" w:rsidRDefault="004333D0" w:rsidP="004F5558">
      <w:pPr>
        <w:ind w:left="720" w:hanging="720"/>
      </w:pPr>
      <w:r w:rsidRPr="00F7420C">
        <w:t>Crosby, C., 2018. Gross Negligence Manslaughter by Omission: the emergence of a Good Samaritan law?. The Journal of Criminal Law, 82(2), pp.127-137.</w:t>
      </w:r>
    </w:p>
    <w:p w14:paraId="3F90CFEE" w14:textId="77777777" w:rsidR="004F5558" w:rsidRDefault="004333D0" w:rsidP="004F5558">
      <w:pPr>
        <w:ind w:left="720" w:hanging="720"/>
      </w:pPr>
      <w:proofErr w:type="spellStart"/>
      <w:r w:rsidRPr="008E6264">
        <w:t>Eugenicos</w:t>
      </w:r>
      <w:proofErr w:type="spellEnd"/>
      <w:r w:rsidRPr="008E6264">
        <w:t>, A.M., 2017. Should We Reform the Offe</w:t>
      </w:r>
      <w:r w:rsidRPr="008E6264">
        <w:t>nces Against the Person Act 1861?. The Journal of Criminal Law, 81(1), pp.26-32.</w:t>
      </w:r>
    </w:p>
    <w:p w14:paraId="3185B607" w14:textId="77777777" w:rsidR="004F5558" w:rsidRDefault="004333D0" w:rsidP="004F5558">
      <w:pPr>
        <w:ind w:left="720" w:hanging="720"/>
        <w:rPr>
          <w:color w:val="000000" w:themeColor="text1"/>
        </w:rPr>
      </w:pPr>
      <w:proofErr w:type="spellStart"/>
      <w:r w:rsidRPr="007F043B">
        <w:rPr>
          <w:color w:val="000000" w:themeColor="text1"/>
        </w:rPr>
        <w:t>Gless</w:t>
      </w:r>
      <w:proofErr w:type="spellEnd"/>
      <w:r w:rsidRPr="007F043B">
        <w:rPr>
          <w:color w:val="000000" w:themeColor="text1"/>
        </w:rPr>
        <w:t xml:space="preserve">, S., Silverman, E. and </w:t>
      </w:r>
      <w:proofErr w:type="spellStart"/>
      <w:r w:rsidRPr="007F043B">
        <w:rPr>
          <w:color w:val="000000" w:themeColor="text1"/>
        </w:rPr>
        <w:t>Weigend</w:t>
      </w:r>
      <w:proofErr w:type="spellEnd"/>
      <w:r w:rsidRPr="007F043B">
        <w:rPr>
          <w:color w:val="000000" w:themeColor="text1"/>
        </w:rPr>
        <w:t>, T., 2016. If robots cause harm, who is to blame? Self-driving cars and criminal liability. New Criminal Law Review, 19(3), pp.412-436.</w:t>
      </w:r>
    </w:p>
    <w:p w14:paraId="71A4F8D7" w14:textId="77777777" w:rsidR="004F5558" w:rsidRPr="007F043B" w:rsidRDefault="004333D0" w:rsidP="004F5558">
      <w:pPr>
        <w:ind w:left="720" w:hanging="720"/>
      </w:pPr>
      <w:proofErr w:type="spellStart"/>
      <w:r w:rsidRPr="002504DD">
        <w:t>Go</w:t>
      </w:r>
      <w:r w:rsidRPr="002504DD">
        <w:t>recka</w:t>
      </w:r>
      <w:proofErr w:type="spellEnd"/>
      <w:r w:rsidRPr="002504DD">
        <w:t>, A., 2020. On the nature of law: The relevance of deontological natural law perspective in modern times. ICJ, 6, p.1.</w:t>
      </w:r>
    </w:p>
    <w:p w14:paraId="60EB4930" w14:textId="77777777" w:rsidR="004F5558" w:rsidRDefault="004333D0" w:rsidP="004F5558">
      <w:pPr>
        <w:ind w:left="720" w:hanging="720"/>
      </w:pPr>
      <w:r w:rsidRPr="002F6AC7">
        <w:t>Griffith, R., 2017. Safeguarding vulnerable adults. British Journal of Neuroscience Nursing, 13(1), pp.46-47.</w:t>
      </w:r>
    </w:p>
    <w:p w14:paraId="3D63A4A8" w14:textId="77777777" w:rsidR="004F5558" w:rsidRDefault="004333D0" w:rsidP="004F5558">
      <w:pPr>
        <w:ind w:left="720" w:hanging="720"/>
      </w:pPr>
      <w:proofErr w:type="spellStart"/>
      <w:r w:rsidRPr="00110346">
        <w:t>Kolber</w:t>
      </w:r>
      <w:proofErr w:type="spellEnd"/>
      <w:r w:rsidRPr="00110346">
        <w:t>, A.J., 2018. No</w:t>
      </w:r>
      <w:r w:rsidRPr="00110346">
        <w:t xml:space="preserve">t-so-smart </w:t>
      </w:r>
      <w:proofErr w:type="spellStart"/>
      <w:r w:rsidRPr="00110346">
        <w:t>blockchain</w:t>
      </w:r>
      <w:proofErr w:type="spellEnd"/>
      <w:r w:rsidRPr="00110346">
        <w:t xml:space="preserve"> contracts and artificial responsibility. Stan. Tech. L. Rev., 21, p.198.</w:t>
      </w:r>
    </w:p>
    <w:p w14:paraId="32B0A24A" w14:textId="77777777" w:rsidR="004F5558" w:rsidRDefault="004333D0" w:rsidP="004F5558">
      <w:pPr>
        <w:ind w:left="720" w:hanging="720"/>
      </w:pPr>
      <w:proofErr w:type="spellStart"/>
      <w:r w:rsidRPr="00E96746">
        <w:t>Lagioia</w:t>
      </w:r>
      <w:proofErr w:type="spellEnd"/>
      <w:r w:rsidRPr="00E96746">
        <w:t xml:space="preserve">, F. and </w:t>
      </w:r>
      <w:proofErr w:type="spellStart"/>
      <w:r w:rsidRPr="00E96746">
        <w:t>Sartor</w:t>
      </w:r>
      <w:proofErr w:type="spellEnd"/>
      <w:r w:rsidRPr="00E96746">
        <w:t>, G., 2020. Ai systems under criminal law: a legal analysis and a regulatory perspective. Philosophy &amp; Technology, 33(3), pp.433-465.</w:t>
      </w:r>
    </w:p>
    <w:p w14:paraId="3D4EC1E1" w14:textId="77777777" w:rsidR="004F5558" w:rsidRDefault="004333D0" w:rsidP="004F5558">
      <w:pPr>
        <w:ind w:left="720" w:hanging="720"/>
      </w:pPr>
      <w:proofErr w:type="spellStart"/>
      <w:r w:rsidRPr="0089003E">
        <w:t>Macna</w:t>
      </w:r>
      <w:r w:rsidRPr="0089003E">
        <w:t>mara</w:t>
      </w:r>
      <w:proofErr w:type="spellEnd"/>
      <w:r w:rsidRPr="0089003E">
        <w:t>, P. and Young, A., 2022. Law, Ethics And Non-Technical Skills. Principles of Acute Care Nursing, p.237.</w:t>
      </w:r>
    </w:p>
    <w:p w14:paraId="1170BC24" w14:textId="77777777" w:rsidR="004F5558" w:rsidRDefault="004333D0" w:rsidP="004F5558">
      <w:pPr>
        <w:ind w:left="720" w:hanging="720"/>
      </w:pPr>
      <w:r w:rsidRPr="00CE0436">
        <w:t>Peng, S.K., 2019. Not My Decision to Make: The Courts, Best Interests, and Legally Incompetent Children. Sing. Comp. L. Rev., p.174.</w:t>
      </w:r>
    </w:p>
    <w:p w14:paraId="2CEE7E08" w14:textId="77777777" w:rsidR="004F5558" w:rsidRDefault="004333D0" w:rsidP="004F5558">
      <w:pPr>
        <w:ind w:left="720" w:hanging="720"/>
      </w:pPr>
      <w:r w:rsidRPr="00DA7FC9">
        <w:t>Robinson, P.H.</w:t>
      </w:r>
      <w:r w:rsidRPr="00DA7FC9">
        <w:t xml:space="preserve">, 2017. Should the Criminal Law Abandon the </w:t>
      </w:r>
      <w:proofErr w:type="spellStart"/>
      <w:r w:rsidRPr="00DA7FC9">
        <w:t>Actus</w:t>
      </w:r>
      <w:proofErr w:type="spellEnd"/>
      <w:r w:rsidRPr="00DA7FC9">
        <w:t xml:space="preserve"> Reus-</w:t>
      </w:r>
      <w:proofErr w:type="spellStart"/>
      <w:r w:rsidRPr="00DA7FC9">
        <w:t>Mens</w:t>
      </w:r>
      <w:proofErr w:type="spellEnd"/>
      <w:r w:rsidRPr="00DA7FC9">
        <w:t xml:space="preserve"> Rea Distinction?. In The Structure and Limits of Criminal Law (pp. 3-28). Routledge.</w:t>
      </w:r>
    </w:p>
    <w:p w14:paraId="5465C149" w14:textId="77777777" w:rsidR="004F5558" w:rsidRDefault="004333D0" w:rsidP="004F5558">
      <w:pPr>
        <w:ind w:left="720" w:hanging="720"/>
      </w:pPr>
      <w:proofErr w:type="spellStart"/>
      <w:r w:rsidRPr="00616444">
        <w:t>Solaiman</w:t>
      </w:r>
      <w:proofErr w:type="spellEnd"/>
      <w:r w:rsidRPr="00616444">
        <w:t>, S.M., 2017. Legal personality of robots, corporations, idols and chimpanzees: a quest for legitimacy.</w:t>
      </w:r>
      <w:r w:rsidRPr="00616444">
        <w:t> </w:t>
      </w:r>
      <w:r w:rsidRPr="00616444">
        <w:rPr>
          <w:i/>
          <w:iCs/>
        </w:rPr>
        <w:t>Artificial intelligence and law</w:t>
      </w:r>
      <w:r w:rsidRPr="00616444">
        <w:t>, </w:t>
      </w:r>
      <w:r w:rsidRPr="00616444">
        <w:rPr>
          <w:i/>
          <w:iCs/>
        </w:rPr>
        <w:t>25</w:t>
      </w:r>
      <w:r w:rsidRPr="00616444">
        <w:t>(2), pp.155-179.</w:t>
      </w:r>
    </w:p>
    <w:p w14:paraId="5EB4F931" w14:textId="77777777" w:rsidR="004F5558" w:rsidRDefault="004333D0" w:rsidP="004F5558">
      <w:pPr>
        <w:ind w:left="720" w:hanging="720"/>
      </w:pPr>
      <w:r w:rsidRPr="00177EDC">
        <w:t xml:space="preserve">Van </w:t>
      </w:r>
      <w:proofErr w:type="spellStart"/>
      <w:r w:rsidRPr="00177EDC">
        <w:t>Dijk</w:t>
      </w:r>
      <w:proofErr w:type="spellEnd"/>
      <w:r w:rsidRPr="00177EDC">
        <w:t>, R., 2020. Religion, reciprocity and restructuring family responsibility in the Ghanaian Pentecostal diaspora. In The transnational family (pp. 173-196). Routledge.</w:t>
      </w:r>
    </w:p>
    <w:p w14:paraId="45937701" w14:textId="77777777" w:rsidR="00762280" w:rsidRDefault="00762280"/>
    <w:sectPr w:rsidR="007622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85C2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63230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DF3"/>
    <w:rsid w:val="000025FB"/>
    <w:rsid w:val="00042EB9"/>
    <w:rsid w:val="00094BCD"/>
    <w:rsid w:val="000A59D8"/>
    <w:rsid w:val="000B0124"/>
    <w:rsid w:val="000B4350"/>
    <w:rsid w:val="00110346"/>
    <w:rsid w:val="001748A5"/>
    <w:rsid w:val="00177EDC"/>
    <w:rsid w:val="001A5F06"/>
    <w:rsid w:val="001B2AFC"/>
    <w:rsid w:val="001B79A4"/>
    <w:rsid w:val="001F0184"/>
    <w:rsid w:val="002504DD"/>
    <w:rsid w:val="0027407D"/>
    <w:rsid w:val="0028379D"/>
    <w:rsid w:val="002B2502"/>
    <w:rsid w:val="002D2405"/>
    <w:rsid w:val="002F4EF7"/>
    <w:rsid w:val="002F6AC7"/>
    <w:rsid w:val="002F72C7"/>
    <w:rsid w:val="003931D5"/>
    <w:rsid w:val="00397A15"/>
    <w:rsid w:val="003F5208"/>
    <w:rsid w:val="003F69E8"/>
    <w:rsid w:val="004333D0"/>
    <w:rsid w:val="00435F29"/>
    <w:rsid w:val="004607CA"/>
    <w:rsid w:val="004655E6"/>
    <w:rsid w:val="004717C0"/>
    <w:rsid w:val="004A3D36"/>
    <w:rsid w:val="004B2B40"/>
    <w:rsid w:val="004B44D2"/>
    <w:rsid w:val="004C6FEF"/>
    <w:rsid w:val="004F5558"/>
    <w:rsid w:val="00540150"/>
    <w:rsid w:val="005961B9"/>
    <w:rsid w:val="005A5275"/>
    <w:rsid w:val="005F40C7"/>
    <w:rsid w:val="00616444"/>
    <w:rsid w:val="00641271"/>
    <w:rsid w:val="006B08E4"/>
    <w:rsid w:val="00762280"/>
    <w:rsid w:val="007660B3"/>
    <w:rsid w:val="00772547"/>
    <w:rsid w:val="00784778"/>
    <w:rsid w:val="00784AD9"/>
    <w:rsid w:val="007C1503"/>
    <w:rsid w:val="007F043B"/>
    <w:rsid w:val="00815DD1"/>
    <w:rsid w:val="00824375"/>
    <w:rsid w:val="0085743F"/>
    <w:rsid w:val="00857E18"/>
    <w:rsid w:val="0089003E"/>
    <w:rsid w:val="008C271E"/>
    <w:rsid w:val="008D1C80"/>
    <w:rsid w:val="008E6264"/>
    <w:rsid w:val="008F77DE"/>
    <w:rsid w:val="009363BF"/>
    <w:rsid w:val="009A4422"/>
    <w:rsid w:val="009B6D07"/>
    <w:rsid w:val="009D6FFA"/>
    <w:rsid w:val="009E0700"/>
    <w:rsid w:val="00A06ADA"/>
    <w:rsid w:val="00A264AA"/>
    <w:rsid w:val="00A330FA"/>
    <w:rsid w:val="00A40EA5"/>
    <w:rsid w:val="00A4776A"/>
    <w:rsid w:val="00A639A8"/>
    <w:rsid w:val="00B15834"/>
    <w:rsid w:val="00B74957"/>
    <w:rsid w:val="00B90BC7"/>
    <w:rsid w:val="00B90C35"/>
    <w:rsid w:val="00BA3683"/>
    <w:rsid w:val="00C233CD"/>
    <w:rsid w:val="00C46ECA"/>
    <w:rsid w:val="00C72A36"/>
    <w:rsid w:val="00C8415C"/>
    <w:rsid w:val="00C871E5"/>
    <w:rsid w:val="00CD2C3B"/>
    <w:rsid w:val="00CE0436"/>
    <w:rsid w:val="00D236A0"/>
    <w:rsid w:val="00D3395D"/>
    <w:rsid w:val="00D3444B"/>
    <w:rsid w:val="00D538DB"/>
    <w:rsid w:val="00DA7FC9"/>
    <w:rsid w:val="00DC2B41"/>
    <w:rsid w:val="00E96746"/>
    <w:rsid w:val="00EB74B0"/>
    <w:rsid w:val="00EE0E93"/>
    <w:rsid w:val="00EE5DD6"/>
    <w:rsid w:val="00F11033"/>
    <w:rsid w:val="00F66088"/>
    <w:rsid w:val="00F7420C"/>
    <w:rsid w:val="00FE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8131C"/>
  <w15:chartTrackingRefBased/>
  <w15:docId w15:val="{A1C1A497-3700-4437-BB91-EFFA4DDD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280"/>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62280"/>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62280"/>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76228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228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6228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6228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6228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6228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2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6228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62280"/>
    <w:rPr>
      <w:rFonts w:asciiTheme="majorHAnsi" w:eastAsiaTheme="majorEastAsia" w:hAnsiTheme="majorHAnsi" w:cstheme="majorBidi"/>
      <w:color w:val="1F3763" w:themeColor="accent1" w:themeShade="7F"/>
      <w:szCs w:val="24"/>
    </w:rPr>
  </w:style>
  <w:style w:type="character" w:customStyle="1" w:styleId="Heading4Char">
    <w:name w:val="Heading 4 Char"/>
    <w:basedOn w:val="DefaultParagraphFont"/>
    <w:link w:val="Heading4"/>
    <w:uiPriority w:val="9"/>
    <w:semiHidden/>
    <w:rsid w:val="0076228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6228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6228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6228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6228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62280"/>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BA3683"/>
    <w:rPr>
      <w:color w:val="0563C1" w:themeColor="hyperlink"/>
      <w:u w:val="single"/>
    </w:rPr>
  </w:style>
  <w:style w:type="character" w:styleId="UnresolvedMention">
    <w:name w:val="Unresolved Mention"/>
    <w:basedOn w:val="DefaultParagraphFont"/>
    <w:uiPriority w:val="99"/>
    <w:semiHidden/>
    <w:unhideWhenUsed/>
    <w:rsid w:val="00BA3683"/>
    <w:rPr>
      <w:color w:val="605E5C"/>
      <w:shd w:val="clear" w:color="auto" w:fill="E1DFDD"/>
    </w:rPr>
  </w:style>
  <w:style w:type="paragraph" w:styleId="TOCHeading">
    <w:name w:val="TOC Heading"/>
    <w:basedOn w:val="Heading1"/>
    <w:next w:val="Normal"/>
    <w:uiPriority w:val="39"/>
    <w:unhideWhenUsed/>
    <w:qFormat/>
    <w:rsid w:val="00C8415C"/>
    <w:pPr>
      <w:numPr>
        <w:numId w:val="0"/>
      </w:numPr>
      <w:spacing w:line="259" w:lineRule="auto"/>
      <w:jc w:val="left"/>
      <w:outlineLvl w:val="9"/>
    </w:pPr>
    <w:rPr>
      <w:lang w:val="en-US"/>
    </w:rPr>
  </w:style>
  <w:style w:type="paragraph" w:styleId="TOC1">
    <w:name w:val="toc 1"/>
    <w:basedOn w:val="Normal"/>
    <w:next w:val="Normal"/>
    <w:autoRedefine/>
    <w:uiPriority w:val="39"/>
    <w:unhideWhenUsed/>
    <w:rsid w:val="00C841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71975-18D2-4A01-BAAB-8E053294D0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1648</Words>
  <Characters>9394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MARIYUM BASHIR</dc:creator>
  <cp:lastModifiedBy>andreea agache</cp:lastModifiedBy>
  <cp:revision>2</cp:revision>
  <dcterms:created xsi:type="dcterms:W3CDTF">2022-11-10T04:33:00Z</dcterms:created>
  <dcterms:modified xsi:type="dcterms:W3CDTF">2022-11-10T04:33:00Z</dcterms:modified>
</cp:coreProperties>
</file>