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57DA5" w:rsidRPr="0058405C" w:rsidRDefault="00F57DA5" w:rsidP="00F57DA5">
      <w:pPr>
        <w:jc w:val="center"/>
        <w:rPr>
          <w:color w:val="000000" w:themeColor="text1"/>
        </w:rPr>
      </w:pPr>
      <w:r w:rsidRPr="0058405C">
        <w:rPr>
          <w:noProof/>
          <w:color w:val="000000" w:themeColor="text1"/>
        </w:rPr>
        <w:drawing>
          <wp:inline distT="0" distB="0" distL="0" distR="0">
            <wp:extent cx="3381375" cy="1752600"/>
            <wp:effectExtent l="0" t="0" r="9525" b="0"/>
            <wp:docPr id="2" name="Picture 2"/>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a:stretch>
                      <a:fillRect/>
                    </a:stretch>
                  </pic:blipFill>
                  <pic:spPr>
                    <a:xfrm>
                      <a:off x="0" y="0"/>
                      <a:ext cx="3381375" cy="1752600"/>
                    </a:xfrm>
                    <a:prstGeom prst="rect">
                      <a:avLst/>
                    </a:prstGeom>
                  </pic:spPr>
                </pic:pic>
              </a:graphicData>
            </a:graphic>
          </wp:inline>
        </w:drawing>
      </w:r>
    </w:p>
    <w:p w:rsidR="00F57DA5" w:rsidRPr="0058405C" w:rsidRDefault="00F57DA5" w:rsidP="00F57DA5">
      <w:pPr>
        <w:jc w:val="center"/>
        <w:rPr>
          <w:rFonts w:ascii="Times New Roman" w:hAnsi="Times New Roman" w:cs="Times New Roman"/>
          <w:b/>
          <w:bCs/>
          <w:color w:val="000000" w:themeColor="text1"/>
          <w:sz w:val="32"/>
          <w:szCs w:val="32"/>
        </w:rPr>
      </w:pPr>
      <w:r w:rsidRPr="0058405C">
        <w:rPr>
          <w:rFonts w:ascii="Times New Roman" w:hAnsi="Times New Roman" w:cs="Times New Roman"/>
          <w:b/>
          <w:bCs/>
          <w:color w:val="000000" w:themeColor="text1"/>
          <w:sz w:val="32"/>
          <w:szCs w:val="32"/>
        </w:rPr>
        <w:t>FINANCIAL MANAGEMENT</w:t>
      </w:r>
    </w:p>
    <w:p w:rsidR="00F57DA5" w:rsidRPr="0058405C" w:rsidRDefault="00F57DA5" w:rsidP="00F57DA5">
      <w:pPr>
        <w:jc w:val="center"/>
        <w:rPr>
          <w:rFonts w:ascii="Times New Roman" w:hAnsi="Times New Roman" w:cs="Times New Roman"/>
          <w:b/>
          <w:color w:val="000000" w:themeColor="text1"/>
          <w:shd w:val="clear" w:color="auto" w:fill="FFFFFF"/>
        </w:rPr>
      </w:pPr>
      <w:r w:rsidRPr="0058405C">
        <w:rPr>
          <w:rFonts w:ascii="Times New Roman" w:hAnsi="Times New Roman" w:cs="Times New Roman"/>
          <w:b/>
          <w:color w:val="000000" w:themeColor="text1"/>
          <w:shd w:val="clear" w:color="auto" w:fill="FFFFFF"/>
        </w:rPr>
        <w:t xml:space="preserve">STUDENTS ID- </w:t>
      </w:r>
      <w:r w:rsidR="002958FF" w:rsidRPr="0058405C">
        <w:rPr>
          <w:rFonts w:ascii="Times New Roman" w:hAnsi="Times New Roman" w:cs="Times New Roman"/>
          <w:b/>
          <w:color w:val="000000" w:themeColor="text1"/>
          <w:shd w:val="clear" w:color="auto" w:fill="FFFFFF"/>
        </w:rPr>
        <w:t>2316191</w:t>
      </w:r>
    </w:p>
    <w:p w:rsidR="00F57DA5" w:rsidRPr="0058405C" w:rsidRDefault="00F57DA5" w:rsidP="00F57DA5">
      <w:pPr>
        <w:jc w:val="center"/>
        <w:rPr>
          <w:rFonts w:ascii="Times New Roman" w:hAnsi="Times New Roman" w:cs="Times New Roman"/>
          <w:b/>
          <w:bCs/>
          <w:color w:val="000000" w:themeColor="text1"/>
          <w:sz w:val="32"/>
          <w:szCs w:val="32"/>
        </w:rPr>
      </w:pPr>
      <w:r w:rsidRPr="0058405C">
        <w:rPr>
          <w:rFonts w:ascii="Times New Roman" w:hAnsi="Times New Roman" w:cs="Times New Roman"/>
          <w:b/>
          <w:color w:val="000000" w:themeColor="text1"/>
          <w:shd w:val="clear" w:color="auto" w:fill="FFFFFF"/>
        </w:rPr>
        <w:t>COMPANY: TESCO</w:t>
      </w:r>
    </w:p>
    <w:p w:rsidR="008E1CFB" w:rsidRPr="0058405C" w:rsidRDefault="00F57DA5" w:rsidP="00F57DA5">
      <w:pPr>
        <w:jc w:val="center"/>
        <w:rPr>
          <w:rFonts w:ascii="Times New Roman" w:eastAsiaTheme="majorEastAsia" w:hAnsi="Times New Roman" w:cstheme="majorBidi"/>
          <w:b/>
          <w:color w:val="000000" w:themeColor="text1"/>
          <w:sz w:val="24"/>
          <w:szCs w:val="32"/>
        </w:rPr>
      </w:pPr>
      <w:r w:rsidRPr="0058405C">
        <w:rPr>
          <w:noProof/>
          <w:color w:val="000000" w:themeColor="text1"/>
        </w:rPr>
        <w:drawing>
          <wp:inline distT="0" distB="0" distL="0" distR="0">
            <wp:extent cx="3219450" cy="240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19450" cy="2400300"/>
                    </a:xfrm>
                    <a:prstGeom prst="rect">
                      <a:avLst/>
                    </a:prstGeom>
                  </pic:spPr>
                </pic:pic>
              </a:graphicData>
            </a:graphic>
          </wp:inline>
        </w:drawing>
      </w:r>
      <w:r w:rsidR="008E1CFB" w:rsidRPr="0058405C">
        <w:rPr>
          <w:color w:val="000000" w:themeColor="text1"/>
        </w:rPr>
        <w:br w:type="page"/>
      </w: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8E1CFB" w:rsidRPr="0058405C" w:rsidRDefault="008E1CFB" w:rsidP="008E1CFB">
      <w:pPr>
        <w:jc w:val="center"/>
        <w:rPr>
          <w:rFonts w:ascii="Times New Roman" w:hAnsi="Times New Roman" w:cs="Times New Roman"/>
          <w:b/>
          <w:bCs/>
          <w:color w:val="000000" w:themeColor="text1"/>
          <w:sz w:val="32"/>
          <w:szCs w:val="32"/>
        </w:rPr>
      </w:pPr>
    </w:p>
    <w:p w:rsidR="00EA6859" w:rsidRPr="0058405C" w:rsidRDefault="008E1CFB" w:rsidP="008E1CFB">
      <w:pPr>
        <w:jc w:val="center"/>
        <w:rPr>
          <w:color w:val="000000" w:themeColor="text1"/>
        </w:rPr>
      </w:pPr>
      <w:r w:rsidRPr="0058405C">
        <w:rPr>
          <w:rFonts w:ascii="Times New Roman" w:hAnsi="Times New Roman" w:cs="Times New Roman"/>
          <w:b/>
          <w:bCs/>
          <w:color w:val="000000" w:themeColor="text1"/>
          <w:sz w:val="32"/>
          <w:szCs w:val="32"/>
        </w:rPr>
        <w:t xml:space="preserve">FINANCIAL MANAGEMENT </w:t>
      </w:r>
      <w:r w:rsidRPr="0058405C">
        <w:rPr>
          <w:color w:val="000000" w:themeColor="text1"/>
        </w:rPr>
        <w:br w:type="page"/>
      </w:r>
    </w:p>
    <w:p w:rsidR="00CF0C2F" w:rsidRPr="0058405C" w:rsidRDefault="00CF0C2F" w:rsidP="00890783">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b/>
          <w:color w:val="000000" w:themeColor="text1"/>
          <w:sz w:val="24"/>
        </w:rPr>
        <w:lastRenderedPageBreak/>
        <w:t>Executive Summary</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Tesco plc, a transnational retail corporation, is on the cut-throat environment of grocery and general merchandise industry. Established in 1919, Tesco has made huge leaps to become one of the "Big Four" supermarket chains in the UK, and is a strong competitor already in many international markets. The business model of our company is a multi-format approach that encompasses a wide range of products, with competitive prices, and across multiple channels, both online and offline. Recent events are molding Tesco's strategic destiny of entering into the alliance with Carrefour to strengthen buying power, going through hardships and prosperities brought along by the COVID-19 pandemic, and hiring a new chief executive to govern the company during its next period of development</w:t>
      </w:r>
      <w:r w:rsidR="00565865">
        <w:rPr>
          <w:rFonts w:ascii="Times New Roman" w:hAnsi="Times New Roman"/>
          <w:color w:val="000000" w:themeColor="text1"/>
          <w:sz w:val="24"/>
        </w:rPr>
        <w:t xml:space="preserve"> (</w:t>
      </w:r>
      <w:r w:rsidR="00565865">
        <w:rPr>
          <w:rFonts w:ascii="Arial" w:hAnsi="Arial" w:cs="Arial"/>
          <w:color w:val="222222"/>
          <w:sz w:val="20"/>
          <w:szCs w:val="20"/>
          <w:shd w:val="clear" w:color="auto" w:fill="FFFFFF"/>
        </w:rPr>
        <w:t>Simons, R., 1994</w:t>
      </w:r>
      <w:r w:rsidR="00565865">
        <w:rPr>
          <w:rFonts w:ascii="Times New Roman" w:hAnsi="Times New Roman"/>
          <w:color w:val="000000" w:themeColor="text1"/>
          <w:sz w:val="24"/>
        </w:rPr>
        <w:t>).</w:t>
      </w:r>
      <w:r w:rsidRPr="0058405C">
        <w:rPr>
          <w:rFonts w:ascii="Times New Roman" w:hAnsi="Times New Roman"/>
          <w:color w:val="000000" w:themeColor="text1"/>
          <w:sz w:val="24"/>
        </w:rPr>
        <w:t xml:space="preserve"> Tesco's dedication to sustainability and innovation can be seen through the implementation of projects aimed at decreasing plastic packaging, food waste and modern technologies for better consumer experience. Among the things Tesco must mull over while considering investments, there are both financial criteria and those that are not financial in nature. These capital budgeting techniques like Payback Period, Accounting Rate of Return, and Net Present Value surely help us to develop profitability projection but we also have to think about strategic fit, market need, technological upgrading, regulatory compliance and social responsibility. Tesco can now make intelligent and informed investment decisions by using financial and non-financial key indicators as a basis for decision making. The ultimate aim is to create long-term value for the company and sustain growth in the future.</w:t>
      </w:r>
    </w:p>
    <w:p w:rsidR="00890783" w:rsidRPr="0058405C" w:rsidRDefault="00890783" w:rsidP="00890783">
      <w:pPr>
        <w:spacing w:line="360" w:lineRule="auto"/>
        <w:jc w:val="both"/>
        <w:rPr>
          <w:rFonts w:ascii="Times New Roman" w:hAnsi="Times New Roman" w:cs="Times New Roman"/>
          <w:color w:val="000000" w:themeColor="text1"/>
          <w:sz w:val="24"/>
          <w:szCs w:val="24"/>
        </w:rPr>
      </w:pPr>
    </w:p>
    <w:p w:rsidR="005709B1" w:rsidRPr="0058405C" w:rsidRDefault="005709B1" w:rsidP="00890783">
      <w:pPr>
        <w:spacing w:line="360" w:lineRule="auto"/>
        <w:jc w:val="both"/>
        <w:rPr>
          <w:rFonts w:ascii="Times New Roman" w:hAnsi="Times New Roman" w:cs="Times New Roman"/>
          <w:color w:val="000000" w:themeColor="text1"/>
          <w:sz w:val="24"/>
          <w:szCs w:val="24"/>
        </w:rPr>
      </w:pPr>
    </w:p>
    <w:p w:rsidR="002E78CE" w:rsidRPr="0058405C" w:rsidRDefault="002E78CE">
      <w:pPr>
        <w:spacing w:line="360" w:lineRule="auto"/>
        <w:jc w:val="both"/>
        <w:rPr>
          <w:rFonts w:ascii="Times New Roman" w:eastAsiaTheme="majorEastAsia" w:hAnsi="Times New Roman" w:cstheme="majorBidi"/>
          <w:b/>
          <w:color w:val="000000" w:themeColor="text1"/>
          <w:sz w:val="24"/>
          <w:szCs w:val="32"/>
        </w:rPr>
      </w:pPr>
      <w:r w:rsidRPr="0058405C">
        <w:rPr>
          <w:rFonts w:ascii="Times New Roman" w:hAnsi="Times New Roman"/>
          <w:color w:val="000000" w:themeColor="text1"/>
          <w:sz w:val="24"/>
        </w:rPr>
        <w:br/>
      </w:r>
    </w:p>
    <w:p w:rsidR="00E577D9" w:rsidRPr="0058405C" w:rsidRDefault="00E577D9">
      <w:pPr>
        <w:rPr>
          <w:rFonts w:ascii="Times New Roman" w:eastAsiaTheme="majorEastAsia" w:hAnsi="Times New Roman" w:cstheme="majorBidi"/>
          <w:b/>
          <w:color w:val="000000" w:themeColor="text1"/>
          <w:sz w:val="24"/>
          <w:szCs w:val="32"/>
        </w:rPr>
      </w:pPr>
      <w:r w:rsidRPr="0058405C">
        <w:rPr>
          <w:color w:val="000000" w:themeColor="text1"/>
        </w:rPr>
        <w:br w:type="page"/>
      </w:r>
    </w:p>
    <w:sdt>
      <w:sdtPr>
        <w:rPr>
          <w:rFonts w:ascii="Times New Roman" w:eastAsiaTheme="minorHAnsi" w:hAnsi="Times New Roman" w:cs="Times New Roman"/>
          <w:color w:val="000000" w:themeColor="text1"/>
          <w:kern w:val="2"/>
          <w:sz w:val="24"/>
          <w:szCs w:val="24"/>
        </w:rPr>
        <w:id w:val="-333532000"/>
        <w:docPartObj>
          <w:docPartGallery w:val="Table of Contents"/>
          <w:docPartUnique/>
        </w:docPartObj>
      </w:sdtPr>
      <w:sdtEndPr>
        <w:rPr>
          <w:b/>
          <w:bCs/>
          <w:noProof/>
        </w:rPr>
      </w:sdtEndPr>
      <w:sdtContent>
        <w:p w:rsidR="00781B30" w:rsidRPr="0058405C" w:rsidRDefault="00781B30" w:rsidP="008B4EFA">
          <w:pPr>
            <w:pStyle w:val="TOCHeading"/>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Table of Contents</w:t>
          </w:r>
        </w:p>
        <w:p w:rsidR="00781B30" w:rsidRPr="0058405C" w:rsidRDefault="00C45C1F" w:rsidP="008B4EFA">
          <w:pPr>
            <w:pStyle w:val="TOC1"/>
            <w:tabs>
              <w:tab w:val="right" w:leader="dot" w:pos="9350"/>
            </w:tabs>
            <w:spacing w:line="360" w:lineRule="auto"/>
            <w:rPr>
              <w:rFonts w:ascii="Times New Roman" w:hAnsi="Times New Roman" w:cs="Times New Roman"/>
              <w:noProof/>
              <w:color w:val="000000" w:themeColor="text1"/>
              <w:sz w:val="24"/>
              <w:szCs w:val="24"/>
            </w:rPr>
          </w:pPr>
          <w:r w:rsidRPr="0058405C">
            <w:rPr>
              <w:rFonts w:ascii="Times New Roman" w:hAnsi="Times New Roman" w:cs="Times New Roman"/>
              <w:color w:val="000000" w:themeColor="text1"/>
              <w:sz w:val="24"/>
              <w:szCs w:val="24"/>
            </w:rPr>
            <w:fldChar w:fldCharType="begin"/>
          </w:r>
          <w:r w:rsidR="00781B30" w:rsidRPr="0058405C">
            <w:rPr>
              <w:rFonts w:ascii="Times New Roman" w:hAnsi="Times New Roman" w:cs="Times New Roman"/>
              <w:color w:val="000000" w:themeColor="text1"/>
              <w:sz w:val="24"/>
              <w:szCs w:val="24"/>
            </w:rPr>
            <w:instrText xml:space="preserve"> TOC \o "1-3" \h \z \u </w:instrText>
          </w:r>
          <w:r w:rsidRPr="0058405C">
            <w:rPr>
              <w:rFonts w:ascii="Times New Roman" w:hAnsi="Times New Roman" w:cs="Times New Roman"/>
              <w:color w:val="000000" w:themeColor="text1"/>
              <w:sz w:val="24"/>
              <w:szCs w:val="24"/>
            </w:rPr>
            <w:fldChar w:fldCharType="separate"/>
          </w:r>
          <w:hyperlink w:anchor="_Toc164765081" w:history="1">
            <w:r w:rsidR="00781B30" w:rsidRPr="0058405C">
              <w:rPr>
                <w:rStyle w:val="Hyperlink"/>
                <w:rFonts w:ascii="Times New Roman" w:hAnsi="Times New Roman" w:cs="Times New Roman"/>
                <w:noProof/>
                <w:color w:val="000000" w:themeColor="text1"/>
                <w:sz w:val="24"/>
                <w:szCs w:val="24"/>
              </w:rPr>
              <w:t>Part A</w:t>
            </w:r>
            <w:r w:rsidR="00781B30" w:rsidRPr="0058405C">
              <w:rPr>
                <w:rFonts w:ascii="Times New Roman" w:hAnsi="Times New Roman" w:cs="Times New Roman"/>
                <w:noProof/>
                <w:webHidden/>
                <w:color w:val="000000" w:themeColor="text1"/>
                <w:sz w:val="24"/>
                <w:szCs w:val="24"/>
              </w:rPr>
              <w:tab/>
            </w:r>
            <w:r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_Toc164765081 \h </w:instrText>
            </w:r>
            <w:r w:rsidRPr="0058405C">
              <w:rPr>
                <w:rFonts w:ascii="Times New Roman" w:hAnsi="Times New Roman" w:cs="Times New Roman"/>
                <w:noProof/>
                <w:webHidden/>
                <w:color w:val="000000" w:themeColor="text1"/>
                <w:sz w:val="24"/>
                <w:szCs w:val="24"/>
              </w:rPr>
            </w:r>
            <w:r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5</w:t>
            </w:r>
            <w:r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2"/>
            <w:tabs>
              <w:tab w:val="right" w:leader="dot" w:pos="9350"/>
            </w:tabs>
            <w:spacing w:line="360" w:lineRule="auto"/>
            <w:rPr>
              <w:rFonts w:ascii="Times New Roman" w:hAnsi="Times New Roman" w:cs="Times New Roman"/>
              <w:noProof/>
              <w:color w:val="000000" w:themeColor="text1"/>
              <w:sz w:val="24"/>
              <w:szCs w:val="24"/>
            </w:rPr>
          </w:pPr>
          <w:hyperlink w:anchor="_Toc164765082" w:history="1">
            <w:r w:rsidR="00781B30" w:rsidRPr="0058405C">
              <w:rPr>
                <w:rStyle w:val="Hyperlink"/>
                <w:rFonts w:ascii="Times New Roman" w:hAnsi="Times New Roman" w:cs="Times New Roman"/>
                <w:noProof/>
                <w:color w:val="000000" w:themeColor="text1"/>
                <w:sz w:val="24"/>
                <w:szCs w:val="24"/>
              </w:rPr>
              <w:t>Company Overview and Recent Events</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_Toc164765082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5</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1"/>
            <w:tabs>
              <w:tab w:val="right" w:leader="dot" w:pos="9350"/>
            </w:tabs>
            <w:spacing w:line="360" w:lineRule="auto"/>
            <w:rPr>
              <w:rFonts w:ascii="Times New Roman" w:hAnsi="Times New Roman" w:cs="Times New Roman"/>
              <w:noProof/>
              <w:color w:val="000000" w:themeColor="text1"/>
              <w:sz w:val="24"/>
              <w:szCs w:val="24"/>
            </w:rPr>
          </w:pPr>
          <w:hyperlink w:anchor="_Toc164765083" w:history="1">
            <w:r w:rsidR="00781B30" w:rsidRPr="0058405C">
              <w:rPr>
                <w:rStyle w:val="Hyperlink"/>
                <w:rFonts w:ascii="Times New Roman" w:hAnsi="Times New Roman" w:cs="Times New Roman"/>
                <w:noProof/>
                <w:color w:val="000000" w:themeColor="text1"/>
                <w:sz w:val="24"/>
                <w:szCs w:val="24"/>
              </w:rPr>
              <w:t>Part B</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_Toc164765083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8</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2"/>
            <w:tabs>
              <w:tab w:val="right" w:leader="dot" w:pos="9350"/>
            </w:tabs>
            <w:spacing w:line="360" w:lineRule="auto"/>
            <w:rPr>
              <w:rFonts w:ascii="Times New Roman" w:hAnsi="Times New Roman" w:cs="Times New Roman"/>
              <w:noProof/>
              <w:color w:val="000000" w:themeColor="text1"/>
              <w:sz w:val="24"/>
              <w:szCs w:val="24"/>
            </w:rPr>
          </w:pPr>
          <w:hyperlink w:anchor="_Toc164765084" w:history="1">
            <w:r w:rsidR="00781B30" w:rsidRPr="0058405C">
              <w:rPr>
                <w:rStyle w:val="Hyperlink"/>
                <w:rFonts w:ascii="Times New Roman" w:hAnsi="Times New Roman" w:cs="Times New Roman"/>
                <w:noProof/>
                <w:color w:val="000000" w:themeColor="text1"/>
                <w:sz w:val="24"/>
                <w:szCs w:val="24"/>
              </w:rPr>
              <w:t>Financial Performance Analysis</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_Toc164765084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8</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1"/>
            <w:tabs>
              <w:tab w:val="right" w:leader="dot" w:pos="9350"/>
            </w:tabs>
            <w:spacing w:line="360" w:lineRule="auto"/>
            <w:rPr>
              <w:rFonts w:ascii="Times New Roman" w:hAnsi="Times New Roman" w:cs="Times New Roman"/>
              <w:noProof/>
              <w:color w:val="000000" w:themeColor="text1"/>
              <w:sz w:val="24"/>
              <w:szCs w:val="24"/>
            </w:rPr>
          </w:pPr>
          <w:hyperlink w:anchor="_Toc164765085" w:history="1">
            <w:r w:rsidR="00781B30" w:rsidRPr="0058405C">
              <w:rPr>
                <w:rStyle w:val="Hyperlink"/>
                <w:rFonts w:ascii="Times New Roman" w:hAnsi="Times New Roman" w:cs="Times New Roman"/>
                <w:noProof/>
                <w:color w:val="000000" w:themeColor="text1"/>
                <w:sz w:val="24"/>
                <w:szCs w:val="24"/>
              </w:rPr>
              <w:t>Part C</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_Toc164765085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18</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2"/>
            <w:tabs>
              <w:tab w:val="right" w:leader="dot" w:pos="9350"/>
            </w:tabs>
            <w:spacing w:line="360" w:lineRule="auto"/>
            <w:rPr>
              <w:rFonts w:ascii="Times New Roman" w:hAnsi="Times New Roman" w:cs="Times New Roman"/>
              <w:noProof/>
              <w:color w:val="000000" w:themeColor="text1"/>
              <w:sz w:val="24"/>
              <w:szCs w:val="24"/>
            </w:rPr>
          </w:pPr>
          <w:hyperlink w:anchor="_Toc164765086" w:history="1">
            <w:r w:rsidR="00781B30" w:rsidRPr="0058405C">
              <w:rPr>
                <w:rStyle w:val="Hyperlink"/>
                <w:rFonts w:ascii="Times New Roman" w:hAnsi="Times New Roman" w:cs="Times New Roman"/>
                <w:noProof/>
                <w:color w:val="000000" w:themeColor="text1"/>
                <w:sz w:val="24"/>
                <w:szCs w:val="24"/>
              </w:rPr>
              <w:t>Investment Appraisal Techniques</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_Toc164765086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18</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1"/>
            <w:tabs>
              <w:tab w:val="right" w:leader="dot" w:pos="9350"/>
            </w:tabs>
            <w:spacing w:line="360" w:lineRule="auto"/>
            <w:rPr>
              <w:rFonts w:ascii="Times New Roman" w:hAnsi="Times New Roman" w:cs="Times New Roman"/>
              <w:noProof/>
              <w:color w:val="000000" w:themeColor="text1"/>
              <w:sz w:val="24"/>
              <w:szCs w:val="24"/>
            </w:rPr>
          </w:pPr>
          <w:hyperlink w:anchor="_Toc164765087" w:history="1">
            <w:r w:rsidR="00781B30" w:rsidRPr="0058405C">
              <w:rPr>
                <w:rStyle w:val="Hyperlink"/>
                <w:rFonts w:ascii="Times New Roman" w:hAnsi="Times New Roman" w:cs="Times New Roman"/>
                <w:noProof/>
                <w:color w:val="000000" w:themeColor="text1"/>
                <w:sz w:val="24"/>
                <w:szCs w:val="24"/>
              </w:rPr>
              <w:t>Conclusion</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_Toc164765087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22</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000000" w:rsidP="008B4EFA">
          <w:pPr>
            <w:pStyle w:val="TOC1"/>
            <w:tabs>
              <w:tab w:val="right" w:leader="dot" w:pos="9350"/>
            </w:tabs>
            <w:spacing w:line="360" w:lineRule="auto"/>
            <w:rPr>
              <w:rFonts w:ascii="Times New Roman" w:hAnsi="Times New Roman" w:cs="Times New Roman"/>
              <w:noProof/>
              <w:color w:val="000000" w:themeColor="text1"/>
              <w:sz w:val="24"/>
              <w:szCs w:val="24"/>
            </w:rPr>
          </w:pPr>
          <w:hyperlink w:anchor="_Toc164765088" w:history="1">
            <w:r w:rsidR="00781B30" w:rsidRPr="0058405C">
              <w:rPr>
                <w:rStyle w:val="Hyperlink"/>
                <w:rFonts w:ascii="Times New Roman" w:hAnsi="Times New Roman" w:cs="Times New Roman"/>
                <w:noProof/>
                <w:color w:val="000000" w:themeColor="text1"/>
                <w:sz w:val="24"/>
                <w:szCs w:val="24"/>
              </w:rPr>
              <w:t>Reference List</w:t>
            </w:r>
            <w:r w:rsidR="00781B30" w:rsidRPr="0058405C">
              <w:rPr>
                <w:rFonts w:ascii="Times New Roman" w:hAnsi="Times New Roman" w:cs="Times New Roman"/>
                <w:noProof/>
                <w:webHidden/>
                <w:color w:val="000000" w:themeColor="text1"/>
                <w:sz w:val="24"/>
                <w:szCs w:val="24"/>
              </w:rPr>
              <w:tab/>
            </w:r>
            <w:r w:rsidR="00C45C1F" w:rsidRPr="0058405C">
              <w:rPr>
                <w:rFonts w:ascii="Times New Roman" w:hAnsi="Times New Roman" w:cs="Times New Roman"/>
                <w:noProof/>
                <w:webHidden/>
                <w:color w:val="000000" w:themeColor="text1"/>
                <w:sz w:val="24"/>
                <w:szCs w:val="24"/>
              </w:rPr>
              <w:fldChar w:fldCharType="begin"/>
            </w:r>
            <w:r w:rsidR="00781B30" w:rsidRPr="0058405C">
              <w:rPr>
                <w:rFonts w:ascii="Times New Roman" w:hAnsi="Times New Roman" w:cs="Times New Roman"/>
                <w:noProof/>
                <w:webHidden/>
                <w:color w:val="000000" w:themeColor="text1"/>
                <w:sz w:val="24"/>
                <w:szCs w:val="24"/>
              </w:rPr>
              <w:instrText xml:space="preserve"> PAGEREF _Toc164765088 \h </w:instrText>
            </w:r>
            <w:r w:rsidR="00C45C1F" w:rsidRPr="0058405C">
              <w:rPr>
                <w:rFonts w:ascii="Times New Roman" w:hAnsi="Times New Roman" w:cs="Times New Roman"/>
                <w:noProof/>
                <w:webHidden/>
                <w:color w:val="000000" w:themeColor="text1"/>
                <w:sz w:val="24"/>
                <w:szCs w:val="24"/>
              </w:rPr>
            </w:r>
            <w:r w:rsidR="00C45C1F" w:rsidRPr="0058405C">
              <w:rPr>
                <w:rFonts w:ascii="Times New Roman" w:hAnsi="Times New Roman" w:cs="Times New Roman"/>
                <w:noProof/>
                <w:webHidden/>
                <w:color w:val="000000" w:themeColor="text1"/>
                <w:sz w:val="24"/>
                <w:szCs w:val="24"/>
              </w:rPr>
              <w:fldChar w:fldCharType="separate"/>
            </w:r>
            <w:r w:rsidR="00781B30" w:rsidRPr="0058405C">
              <w:rPr>
                <w:rFonts w:ascii="Times New Roman" w:hAnsi="Times New Roman" w:cs="Times New Roman"/>
                <w:noProof/>
                <w:webHidden/>
                <w:color w:val="000000" w:themeColor="text1"/>
                <w:sz w:val="24"/>
                <w:szCs w:val="24"/>
              </w:rPr>
              <w:t>23</w:t>
            </w:r>
            <w:r w:rsidR="00C45C1F" w:rsidRPr="0058405C">
              <w:rPr>
                <w:rFonts w:ascii="Times New Roman" w:hAnsi="Times New Roman" w:cs="Times New Roman"/>
                <w:noProof/>
                <w:webHidden/>
                <w:color w:val="000000" w:themeColor="text1"/>
                <w:sz w:val="24"/>
                <w:szCs w:val="24"/>
              </w:rPr>
              <w:fldChar w:fldCharType="end"/>
            </w:r>
          </w:hyperlink>
        </w:p>
        <w:p w:rsidR="00781B30" w:rsidRPr="0058405C" w:rsidRDefault="00C45C1F" w:rsidP="008B4EFA">
          <w:pPr>
            <w:spacing w:line="360" w:lineRule="auto"/>
            <w:rPr>
              <w:color w:val="000000" w:themeColor="text1"/>
            </w:rPr>
          </w:pPr>
          <w:r w:rsidRPr="0058405C">
            <w:rPr>
              <w:rFonts w:ascii="Times New Roman" w:hAnsi="Times New Roman" w:cs="Times New Roman"/>
              <w:b/>
              <w:bCs/>
              <w:noProof/>
              <w:color w:val="000000" w:themeColor="text1"/>
              <w:sz w:val="24"/>
              <w:szCs w:val="24"/>
            </w:rPr>
            <w:fldChar w:fldCharType="end"/>
          </w:r>
        </w:p>
      </w:sdtContent>
    </w:sdt>
    <w:p w:rsidR="00E577D9" w:rsidRPr="0058405C" w:rsidRDefault="00E577D9">
      <w:pPr>
        <w:rPr>
          <w:rFonts w:ascii="Times New Roman" w:eastAsiaTheme="majorEastAsia" w:hAnsi="Times New Roman" w:cstheme="majorBidi"/>
          <w:b/>
          <w:color w:val="000000" w:themeColor="text1"/>
          <w:sz w:val="24"/>
          <w:szCs w:val="32"/>
        </w:rPr>
      </w:pPr>
      <w:r w:rsidRPr="0058405C">
        <w:rPr>
          <w:color w:val="000000" w:themeColor="text1"/>
        </w:rPr>
        <w:br w:type="page"/>
      </w:r>
    </w:p>
    <w:p w:rsidR="00890783" w:rsidRPr="0058405C" w:rsidRDefault="00890783" w:rsidP="00890783">
      <w:pPr>
        <w:pStyle w:val="Heading1"/>
        <w:jc w:val="both"/>
      </w:pPr>
      <w:bookmarkStart w:id="0" w:name="_Toc164765081"/>
      <w:r w:rsidRPr="0058405C">
        <w:lastRenderedPageBreak/>
        <w:t>Part A</w:t>
      </w:r>
      <w:bookmarkEnd w:id="0"/>
    </w:p>
    <w:p w:rsidR="00890783" w:rsidRPr="0058405C" w:rsidRDefault="00890783" w:rsidP="00890783">
      <w:pPr>
        <w:pStyle w:val="Heading2"/>
        <w:jc w:val="both"/>
      </w:pPr>
      <w:bookmarkStart w:id="1" w:name="_Toc164765082"/>
      <w:r w:rsidRPr="0058405C">
        <w:t>Company Overview and Recent Events</w:t>
      </w:r>
      <w:bookmarkEnd w:id="1"/>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Part A: Company Overview and Recent Events</w:t>
      </w:r>
    </w:p>
    <w:p w:rsidR="00890783" w:rsidRPr="0058405C" w:rsidRDefault="00890783" w:rsidP="00890783">
      <w:pPr>
        <w:spacing w:line="360" w:lineRule="auto"/>
        <w:jc w:val="both"/>
        <w:rPr>
          <w:rFonts w:ascii="Times New Roman" w:hAnsi="Times New Roman"/>
          <w:b/>
          <w:bCs/>
          <w:color w:val="000000" w:themeColor="text1"/>
          <w:sz w:val="24"/>
        </w:rPr>
      </w:pPr>
      <w:r w:rsidRPr="0058405C">
        <w:rPr>
          <w:rFonts w:ascii="Times New Roman" w:hAnsi="Times New Roman"/>
          <w:b/>
          <w:bCs/>
          <w:color w:val="000000" w:themeColor="text1"/>
          <w:sz w:val="24"/>
        </w:rPr>
        <w:t>Company Overview:</w:t>
      </w:r>
    </w:p>
    <w:p w:rsidR="00720E6F" w:rsidRPr="0058405C" w:rsidRDefault="00720E6F" w:rsidP="00720E6F">
      <w:pPr>
        <w:spacing w:line="360" w:lineRule="auto"/>
        <w:jc w:val="center"/>
        <w:rPr>
          <w:rFonts w:ascii="Times New Roman" w:hAnsi="Times New Roman" w:cs="Times New Roman"/>
          <w:b/>
          <w:bCs/>
          <w:color w:val="000000" w:themeColor="text1"/>
          <w:sz w:val="24"/>
          <w:szCs w:val="24"/>
        </w:rPr>
      </w:pPr>
      <w:r w:rsidRPr="0058405C">
        <w:rPr>
          <w:noProof/>
          <w:color w:val="000000" w:themeColor="text1"/>
          <w:sz w:val="24"/>
          <w:szCs w:val="24"/>
        </w:rPr>
        <w:drawing>
          <wp:inline distT="0" distB="0" distL="0" distR="0">
            <wp:extent cx="2887980" cy="2887980"/>
            <wp:effectExtent l="0" t="0" r="7620" b="7620"/>
            <wp:docPr id="1070600132" name="Picture 1" descr="A complete Guide on Business Model vs Business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omplete Guide on Business Model vs Business Pla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87980" cy="2887980"/>
                    </a:xfrm>
                    <a:prstGeom prst="rect">
                      <a:avLst/>
                    </a:prstGeom>
                    <a:noFill/>
                    <a:ln>
                      <a:noFill/>
                    </a:ln>
                  </pic:spPr>
                </pic:pic>
              </a:graphicData>
            </a:graphic>
          </wp:inline>
        </w:drawing>
      </w:r>
    </w:p>
    <w:p w:rsidR="00270162" w:rsidRPr="0058405C" w:rsidRDefault="00720E6F" w:rsidP="00790FC3">
      <w:pPr>
        <w:spacing w:line="360" w:lineRule="auto"/>
        <w:jc w:val="center"/>
        <w:rPr>
          <w:rFonts w:ascii="Times New Roman" w:hAnsi="Times New Roman"/>
          <w:b/>
          <w:bCs/>
          <w:color w:val="000000" w:themeColor="text1"/>
          <w:sz w:val="24"/>
        </w:rPr>
      </w:pPr>
      <w:r w:rsidRPr="0058405C">
        <w:rPr>
          <w:rFonts w:ascii="Times New Roman" w:hAnsi="Times New Roman"/>
          <w:b/>
          <w:bCs/>
          <w:color w:val="000000" w:themeColor="text1"/>
          <w:sz w:val="24"/>
        </w:rPr>
        <w:t>Figure 1: Business model</w:t>
      </w:r>
    </w:p>
    <w:p w:rsidR="004973B1" w:rsidRPr="0058405C" w:rsidRDefault="004973B1" w:rsidP="00790FC3">
      <w:pPr>
        <w:spacing w:line="360" w:lineRule="auto"/>
        <w:jc w:val="center"/>
        <w:rPr>
          <w:rFonts w:ascii="Times New Roman" w:hAnsi="Times New Roman"/>
          <w:bCs/>
          <w:color w:val="000000" w:themeColor="text1"/>
          <w:sz w:val="24"/>
        </w:rPr>
      </w:pPr>
      <w:r w:rsidRPr="0058405C">
        <w:rPr>
          <w:rFonts w:ascii="Times New Roman" w:hAnsi="Times New Roman"/>
          <w:bCs/>
          <w:color w:val="000000" w:themeColor="text1"/>
          <w:sz w:val="24"/>
        </w:rPr>
        <w:t xml:space="preserve">(Source: </w:t>
      </w:r>
      <w:r w:rsidR="002958FF" w:rsidRPr="0058405C">
        <w:rPr>
          <w:rFonts w:ascii="Times New Roman" w:hAnsi="Times New Roman"/>
          <w:bCs/>
          <w:color w:val="000000" w:themeColor="text1"/>
          <w:sz w:val="24"/>
        </w:rPr>
        <w:t>https://alcorfund.com/insight/business-model-vs-business-plan/</w:t>
      </w:r>
      <w:r w:rsidRPr="0058405C">
        <w:rPr>
          <w:rFonts w:ascii="Times New Roman" w:hAnsi="Times New Roman"/>
          <w:bCs/>
          <w:color w:val="000000" w:themeColor="text1"/>
          <w:sz w:val="24"/>
        </w:rPr>
        <w:t>)</w:t>
      </w:r>
      <w:r w:rsidR="002958FF" w:rsidRPr="0058405C">
        <w:rPr>
          <w:rFonts w:ascii="Times New Roman" w:hAnsi="Times New Roman"/>
          <w:bCs/>
          <w:color w:val="000000" w:themeColor="text1"/>
          <w:sz w:val="24"/>
        </w:rPr>
        <w:t xml:space="preserve"> </w:t>
      </w:r>
    </w:p>
    <w:p w:rsidR="00890783" w:rsidRPr="0058405C" w:rsidRDefault="00270162" w:rsidP="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The above image </w:t>
      </w:r>
      <w:r w:rsidR="005D4004" w:rsidRPr="0058405C">
        <w:rPr>
          <w:rFonts w:ascii="Times New Roman" w:hAnsi="Times New Roman"/>
          <w:color w:val="000000" w:themeColor="text1"/>
          <w:sz w:val="24"/>
        </w:rPr>
        <w:t>shows</w:t>
      </w:r>
      <w:r w:rsidRPr="0058405C">
        <w:rPr>
          <w:rFonts w:ascii="Times New Roman" w:hAnsi="Times New Roman"/>
          <w:color w:val="000000" w:themeColor="text1"/>
          <w:sz w:val="24"/>
        </w:rPr>
        <w:t xml:space="preserve"> the diagram that displays six key </w:t>
      </w:r>
      <w:r w:rsidR="005D4004" w:rsidRPr="0058405C">
        <w:rPr>
          <w:rFonts w:ascii="Times New Roman" w:hAnsi="Times New Roman"/>
          <w:color w:val="000000" w:themeColor="text1"/>
          <w:sz w:val="24"/>
        </w:rPr>
        <w:t>components:</w:t>
      </w:r>
      <w:r w:rsidR="00FF30C2" w:rsidRPr="0058405C">
        <w:rPr>
          <w:rFonts w:ascii="Times New Roman" w:hAnsi="Times New Roman"/>
          <w:color w:val="000000" w:themeColor="text1"/>
          <w:sz w:val="24"/>
        </w:rPr>
        <w:t xml:space="preserve"> Cost &amp;</w:t>
      </w:r>
      <w:r w:rsidR="005D4004" w:rsidRPr="0058405C">
        <w:rPr>
          <w:rFonts w:ascii="Times New Roman" w:hAnsi="Times New Roman"/>
          <w:color w:val="000000" w:themeColor="text1"/>
          <w:sz w:val="24"/>
        </w:rPr>
        <w:t xml:space="preserve">Distribution, </w:t>
      </w:r>
      <w:proofErr w:type="spellStart"/>
      <w:r w:rsidR="005D4004" w:rsidRPr="0058405C">
        <w:rPr>
          <w:rFonts w:ascii="Times New Roman" w:hAnsi="Times New Roman"/>
          <w:color w:val="000000" w:themeColor="text1"/>
          <w:sz w:val="24"/>
        </w:rPr>
        <w:t>Corevalue</w:t>
      </w:r>
      <w:proofErr w:type="spellEnd"/>
      <w:r w:rsidR="005D4004" w:rsidRPr="0058405C">
        <w:rPr>
          <w:rFonts w:ascii="Times New Roman" w:hAnsi="Times New Roman"/>
          <w:color w:val="000000" w:themeColor="text1"/>
          <w:sz w:val="24"/>
        </w:rPr>
        <w:t>,</w:t>
      </w:r>
      <w:r w:rsidR="00FF30C2" w:rsidRPr="0058405C">
        <w:rPr>
          <w:rFonts w:ascii="Times New Roman" w:hAnsi="Times New Roman"/>
          <w:color w:val="000000" w:themeColor="text1"/>
          <w:sz w:val="24"/>
        </w:rPr>
        <w:t xml:space="preserve"> Marketing &amp; Servicing, </w:t>
      </w:r>
      <w:r w:rsidR="005D4004" w:rsidRPr="0058405C">
        <w:rPr>
          <w:rFonts w:ascii="Times New Roman" w:hAnsi="Times New Roman"/>
          <w:color w:val="000000" w:themeColor="text1"/>
          <w:sz w:val="24"/>
        </w:rPr>
        <w:t>Competencies,</w:t>
      </w:r>
      <w:r w:rsidR="00FF30C2" w:rsidRPr="0058405C">
        <w:rPr>
          <w:rFonts w:ascii="Times New Roman" w:hAnsi="Times New Roman"/>
          <w:color w:val="000000" w:themeColor="text1"/>
          <w:sz w:val="24"/>
        </w:rPr>
        <w:t xml:space="preserve"> Management, and target </w:t>
      </w:r>
      <w:r w:rsidR="005D4004" w:rsidRPr="0058405C">
        <w:rPr>
          <w:rFonts w:ascii="Times New Roman" w:hAnsi="Times New Roman"/>
          <w:color w:val="000000" w:themeColor="text1"/>
          <w:sz w:val="24"/>
        </w:rPr>
        <w:t xml:space="preserve">customer. Here each segment plays a vital role in </w:t>
      </w:r>
      <w:r w:rsidR="00D22F4B" w:rsidRPr="0058405C">
        <w:rPr>
          <w:rFonts w:ascii="Times New Roman" w:hAnsi="Times New Roman"/>
          <w:color w:val="000000" w:themeColor="text1"/>
          <w:sz w:val="24"/>
        </w:rPr>
        <w:t xml:space="preserve">shaping the overall structure and success of the </w:t>
      </w:r>
      <w:r w:rsidR="00790FC3" w:rsidRPr="0058405C">
        <w:rPr>
          <w:rFonts w:ascii="Times New Roman" w:hAnsi="Times New Roman"/>
          <w:color w:val="000000" w:themeColor="text1"/>
          <w:sz w:val="24"/>
        </w:rPr>
        <w:t>business</w:t>
      </w:r>
      <w:r w:rsidR="00570D56" w:rsidRPr="0058405C">
        <w:rPr>
          <w:rFonts w:ascii="Times New Roman" w:hAnsi="Times New Roman"/>
          <w:color w:val="000000" w:themeColor="text1"/>
          <w:sz w:val="24"/>
        </w:rPr>
        <w:t xml:space="preserve"> (Meng, 2024)</w:t>
      </w:r>
      <w:r w:rsidR="00790FC3" w:rsidRPr="0058405C">
        <w:rPr>
          <w:rFonts w:ascii="Times New Roman" w:hAnsi="Times New Roman"/>
          <w:color w:val="000000" w:themeColor="text1"/>
          <w:sz w:val="24"/>
        </w:rPr>
        <w:t>. These</w:t>
      </w:r>
      <w:r w:rsidR="000E4D41" w:rsidRPr="0058405C">
        <w:rPr>
          <w:rFonts w:ascii="Times New Roman" w:hAnsi="Times New Roman"/>
          <w:color w:val="000000" w:themeColor="text1"/>
          <w:sz w:val="24"/>
        </w:rPr>
        <w:t xml:space="preserve"> elements define the company operations, value, and strategic </w:t>
      </w:r>
      <w:proofErr w:type="spellStart"/>
      <w:r w:rsidR="000E4D41" w:rsidRPr="0058405C">
        <w:rPr>
          <w:rFonts w:ascii="Times New Roman" w:hAnsi="Times New Roman"/>
          <w:color w:val="000000" w:themeColor="text1"/>
          <w:sz w:val="24"/>
        </w:rPr>
        <w:t>fordelivering</w:t>
      </w:r>
      <w:proofErr w:type="spellEnd"/>
      <w:r w:rsidR="00790FC3" w:rsidRPr="0058405C">
        <w:rPr>
          <w:rFonts w:ascii="Times New Roman" w:hAnsi="Times New Roman"/>
          <w:color w:val="000000" w:themeColor="text1"/>
          <w:sz w:val="24"/>
        </w:rPr>
        <w:t xml:space="preserve"> value to his customers. </w:t>
      </w:r>
      <w:r w:rsidR="005709B1" w:rsidRPr="0058405C">
        <w:rPr>
          <w:rFonts w:ascii="Times New Roman" w:hAnsi="Times New Roman"/>
          <w:color w:val="000000" w:themeColor="text1"/>
          <w:sz w:val="24"/>
        </w:rPr>
        <w:t>Tesco plc, with headquarters based in Hertfordshire, England, is one of the most goods retailers worldwide, focusing mostly on the grocery and general merchandise retail sectors</w:t>
      </w:r>
      <w:r w:rsidR="00565865">
        <w:rPr>
          <w:rFonts w:ascii="Times New Roman" w:hAnsi="Times New Roman"/>
          <w:color w:val="000000" w:themeColor="text1"/>
          <w:sz w:val="24"/>
        </w:rPr>
        <w:t xml:space="preserve"> (</w:t>
      </w:r>
      <w:proofErr w:type="spellStart"/>
      <w:r w:rsidR="00565865" w:rsidRPr="00565865">
        <w:rPr>
          <w:rFonts w:ascii="Times New Roman" w:hAnsi="Times New Roman"/>
          <w:color w:val="000000" w:themeColor="text1"/>
          <w:sz w:val="24"/>
        </w:rPr>
        <w:t>Catalão</w:t>
      </w:r>
      <w:proofErr w:type="spellEnd"/>
      <w:r w:rsidR="00565865" w:rsidRPr="00565865">
        <w:rPr>
          <w:rFonts w:ascii="Times New Roman" w:hAnsi="Times New Roman"/>
          <w:color w:val="000000" w:themeColor="text1"/>
          <w:sz w:val="24"/>
        </w:rPr>
        <w:t>, I.D.P., 2022</w:t>
      </w:r>
      <w:r w:rsidR="00565865">
        <w:rPr>
          <w:rFonts w:ascii="Times New Roman" w:hAnsi="Times New Roman"/>
          <w:color w:val="000000" w:themeColor="text1"/>
          <w:sz w:val="24"/>
        </w:rPr>
        <w:t>)</w:t>
      </w:r>
      <w:r w:rsidR="005709B1" w:rsidRPr="0058405C">
        <w:rPr>
          <w:rFonts w:ascii="Times New Roman" w:hAnsi="Times New Roman"/>
          <w:color w:val="000000" w:themeColor="text1"/>
          <w:sz w:val="24"/>
        </w:rPr>
        <w:t xml:space="preserve">. Found in 1919 by John Cohen in a market stall in London's East End, Tesco has since expanded into multi-national corporation with operations in a number of other countries. </w:t>
      </w:r>
    </w:p>
    <w:p w:rsidR="00890783" w:rsidRPr="0058405C" w:rsidRDefault="005709B1"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lastRenderedPageBreak/>
        <w:t>Market Position:</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w:t>
      </w:r>
      <w:proofErr w:type="spellStart"/>
      <w:r w:rsidRPr="0058405C">
        <w:rPr>
          <w:rFonts w:ascii="Times New Roman" w:hAnsi="Times New Roman"/>
          <w:color w:val="000000" w:themeColor="text1"/>
          <w:sz w:val="24"/>
        </w:rPr>
        <w:t>Auten</w:t>
      </w:r>
      <w:proofErr w:type="spellEnd"/>
      <w:r w:rsidRPr="0058405C">
        <w:rPr>
          <w:rFonts w:ascii="Times New Roman" w:hAnsi="Times New Roman"/>
          <w:color w:val="000000" w:themeColor="text1"/>
          <w:sz w:val="24"/>
        </w:rPr>
        <w:t xml:space="preserve"> and Splinter (2019), the top spot belongs to Tesco in the UK retail sector, commonly identified as one of the "Big Four" ‘supermarket chains” alongside Asda, Sainsbury's and Morrisons. Furthermore, Tesco has broadened its scope of operations by venturing into the international arena, with a focus on countries in Europe and Asia, such as Ireland, Hungary, Poland, Thailand, and Malaysia. Even competition from both traditional retailers and online ones, Tesco has still significant market share because of their reputable brand, diverse range of products distributed widely through the network of distribution and rich diversity</w:t>
      </w:r>
      <w:r w:rsidR="00565865">
        <w:rPr>
          <w:rFonts w:ascii="Times New Roman" w:hAnsi="Times New Roman"/>
          <w:color w:val="000000" w:themeColor="text1"/>
          <w:sz w:val="24"/>
        </w:rPr>
        <w:t xml:space="preserve"> (</w:t>
      </w:r>
      <w:r w:rsidR="00565865" w:rsidRPr="00565865">
        <w:rPr>
          <w:rFonts w:ascii="Times New Roman" w:hAnsi="Times New Roman"/>
          <w:color w:val="000000" w:themeColor="text1"/>
          <w:sz w:val="24"/>
        </w:rPr>
        <w:t>Watson, R.T., 2023</w:t>
      </w:r>
      <w:r w:rsidR="00565865">
        <w:rPr>
          <w:rFonts w:ascii="Times New Roman" w:hAnsi="Times New Roman"/>
          <w:color w:val="000000" w:themeColor="text1"/>
          <w:sz w:val="24"/>
        </w:rPr>
        <w:t>)</w:t>
      </w:r>
      <w:r w:rsidRPr="0058405C">
        <w:rPr>
          <w:rFonts w:ascii="Times New Roman" w:hAnsi="Times New Roman"/>
          <w:color w:val="000000" w:themeColor="text1"/>
          <w:sz w:val="24"/>
        </w:rPr>
        <w:t>.</w:t>
      </w:r>
    </w:p>
    <w:p w:rsidR="00890783" w:rsidRPr="0058405C" w:rsidRDefault="005709B1"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Major Competitors:</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Tesco has a context with rivals from throughout the retail industry such as the multiple channels and online shops. undefined</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J Sainsbury plc: Sainsbury’s is yet another major supermarket chain in the UK, which offers roughly the same array of products and services as that of Tesco. It </w:t>
      </w:r>
      <w:proofErr w:type="gramStart"/>
      <w:r w:rsidRPr="0058405C">
        <w:rPr>
          <w:rFonts w:ascii="Times New Roman" w:hAnsi="Times New Roman"/>
          <w:color w:val="000000" w:themeColor="text1"/>
          <w:sz w:val="24"/>
        </w:rPr>
        <w:t>function</w:t>
      </w:r>
      <w:proofErr w:type="gramEnd"/>
      <w:r w:rsidRPr="0058405C">
        <w:rPr>
          <w:rFonts w:ascii="Times New Roman" w:hAnsi="Times New Roman"/>
          <w:color w:val="000000" w:themeColor="text1"/>
          <w:sz w:val="24"/>
        </w:rPr>
        <w:t xml:space="preserve"> through supermarket, convenience stores, and the online platform.</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Walmart Inc. (Asda): Alongside that, Asda is also among the biggest supermarkets in the UK being owned by Walmart. It tangles neck-to-neck with Tesco in the areas of pricing, product variety, and marketing appearance.</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Aldi and Lidl: Low price discount supermarket chains in the country have gained lots of the market share in the past years they are challenging traditional firms which used to dominate the market with their offers of low prices and limited product ranges (Acheampong, 2019).</w:t>
      </w:r>
    </w:p>
    <w:p w:rsidR="00890783" w:rsidRPr="0058405C" w:rsidRDefault="005709B1"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Recent Events:</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2019: Tesco started a strategic alliance for the exchange of information to better deals with their suppliers for their improved market competitiveness with Carrefour of France.</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2020: The coronavirus (COVID-19) pandemic saw Tesco record a significant increase in shoppers bought necessities hence a significant increase in sales but also the need to manage supply chains and maintaining the safety of customers and staff arose.</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2021: Tesco appointed a new CEO, Ken Murphy, he succeeds Dave Lewis who had been leading the company through a period of major organizational overhaul and recovery after a large accounting scandal that happened in 2014.</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2022: Tesco declared plans to estimate online grocery delivery and develop technology to enhance customer shopping services with the goal of tapping the growing market segment of online shopping.</w:t>
      </w:r>
    </w:p>
    <w:p w:rsidR="00890783"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2023: Tesco was criticized for its environmental policies which mainly aimed at the use of plastic along with food waste. The company responded by coming up with ambitious sustainability goals to cut down on carbon footprint and support responsible sourcing.</w:t>
      </w:r>
    </w:p>
    <w:p w:rsidR="005709B1" w:rsidRPr="0058405C" w:rsidRDefault="005709B1"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The mentioned examples emphasize Tesco's ability to evolve in the marketplace, to deal with specific operational difficulties and strive for sustainable long-term strategies.</w:t>
      </w:r>
    </w:p>
    <w:p w:rsidR="00121D72"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Bradshaw, Liao and Ma (2019), the pioneer corporation in the retail industry Tesco plc has grown and transformed </w:t>
      </w:r>
      <w:proofErr w:type="gramStart"/>
      <w:r w:rsidRPr="0058405C">
        <w:rPr>
          <w:rFonts w:ascii="Times New Roman" w:hAnsi="Times New Roman"/>
          <w:color w:val="000000" w:themeColor="text1"/>
          <w:sz w:val="24"/>
        </w:rPr>
        <w:t>since ,</w:t>
      </w:r>
      <w:proofErr w:type="gramEnd"/>
      <w:r w:rsidRPr="0058405C">
        <w:rPr>
          <w:rFonts w:ascii="Times New Roman" w:hAnsi="Times New Roman"/>
          <w:color w:val="000000" w:themeColor="text1"/>
          <w:sz w:val="24"/>
        </w:rPr>
        <w:t xml:space="preserve"> its inception in 1919, when it began as a small market stall in the East End of London. Over the years, Tesco’s growth has turned it into a global retailing giant with its presence being felt in many countries and, through that, providing a broad spectrum of goods and services to the consumers. The company's business model is highly focused on product quality at affordable prices with the aid of its massive network of brick-and-mortar stores and online platforms enabling it to serve varied consumer needs. In the UK market, in addition to the Big Four like Asda, Sainsbury and Morrisons, Tesco also holds a share level due to its nationwide coverage and large market share. This predominance overstretches outside the UK as the company makes strong in-roads into major markets such as Europe and Asia as well. While the company's market standing is fortified, it faces extensive competition from existing sectoral players and innovative online store models. Among the several competitors of Tesco, J Sainsbury plc stands out as one of the main players in UK retail industry providing </w:t>
      </w:r>
      <w:r w:rsidRPr="0058405C">
        <w:rPr>
          <w:rFonts w:ascii="Times New Roman" w:hAnsi="Times New Roman"/>
          <w:color w:val="000000" w:themeColor="text1"/>
          <w:sz w:val="24"/>
        </w:rPr>
        <w:lastRenderedPageBreak/>
        <w:t xml:space="preserve">similar kinds of products and services with various formats. The cut-throat competition between Tesco and Sainsbury's portrays the extremely competitive nature of the supermarket industry to which both the brands are playing a cat and mouse game by offering appealing prices and exciting options. On top of that Tesco shares the market with Walmart-owned Asda, and the appeal of discount supermarket chains Aldi and Lidl, that have upset the market with their main focus on low price rates and downsizing their product lines. </w:t>
      </w:r>
    </w:p>
    <w:p w:rsidR="00890783" w:rsidRPr="0058405C" w:rsidRDefault="00890783" w:rsidP="00890783">
      <w:pPr>
        <w:pStyle w:val="Heading1"/>
        <w:jc w:val="both"/>
      </w:pPr>
      <w:bookmarkStart w:id="2" w:name="_Toc164765083"/>
      <w:r w:rsidRPr="0058405C">
        <w:t>Part B</w:t>
      </w:r>
      <w:bookmarkEnd w:id="2"/>
    </w:p>
    <w:p w:rsidR="00890783" w:rsidRPr="0058405C" w:rsidRDefault="00890783" w:rsidP="00890783">
      <w:pPr>
        <w:pStyle w:val="Heading2"/>
        <w:jc w:val="both"/>
      </w:pPr>
      <w:bookmarkStart w:id="3" w:name="_Toc164765084"/>
      <w:r w:rsidRPr="0058405C">
        <w:t>Financial Performance Analysis</w:t>
      </w:r>
      <w:bookmarkEnd w:id="3"/>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Liquidity Ratios:</w:t>
      </w:r>
    </w:p>
    <w:p w:rsidR="00E82CC8" w:rsidRPr="0058405C" w:rsidRDefault="00E82CC8" w:rsidP="00E82CC8">
      <w:pPr>
        <w:spacing w:line="360" w:lineRule="auto"/>
        <w:jc w:val="both"/>
        <w:rPr>
          <w:rFonts w:ascii="Times New Roman" w:hAnsi="Times New Roman" w:cs="Times New Roman"/>
          <w:b/>
          <w:bCs/>
          <w:color w:val="000000" w:themeColor="text1"/>
          <w:sz w:val="24"/>
          <w:szCs w:val="24"/>
        </w:rPr>
      </w:pPr>
      <w:r w:rsidRPr="0058405C">
        <w:rPr>
          <w:noProof/>
          <w:color w:val="000000" w:themeColor="text1"/>
        </w:rPr>
        <w:drawing>
          <wp:inline distT="0" distB="0" distL="0" distR="0">
            <wp:extent cx="5943600" cy="2232660"/>
            <wp:effectExtent l="0" t="0" r="0" b="0"/>
            <wp:docPr id="12506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6298" name=""/>
                    <pic:cNvPicPr/>
                  </pic:nvPicPr>
                  <pic:blipFill>
                    <a:blip r:embed="rId10"/>
                    <a:stretch>
                      <a:fillRect/>
                    </a:stretch>
                  </pic:blipFill>
                  <pic:spPr>
                    <a:xfrm>
                      <a:off x="0" y="0"/>
                      <a:ext cx="5943600" cy="2232660"/>
                    </a:xfrm>
                    <a:prstGeom prst="rect">
                      <a:avLst/>
                    </a:prstGeom>
                  </pic:spPr>
                </pic:pic>
              </a:graphicData>
            </a:graphic>
          </wp:inline>
        </w:drawing>
      </w:r>
    </w:p>
    <w:p w:rsidR="00E82CC8" w:rsidRPr="0058405C" w:rsidRDefault="00E82CC8" w:rsidP="00E82CC8">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Figure 1: Liquidity Ratios</w:t>
      </w:r>
    </w:p>
    <w:p w:rsidR="00E82CC8" w:rsidRPr="0058405C" w:rsidRDefault="00E82CC8" w:rsidP="00E82CC8">
      <w:pPr>
        <w:spacing w:line="360" w:lineRule="auto"/>
        <w:jc w:val="center"/>
        <w:rPr>
          <w:rFonts w:ascii="Times New Roman" w:hAnsi="Times New Roman" w:cs="Times New Roman"/>
          <w:color w:val="000000" w:themeColor="text1"/>
          <w:sz w:val="24"/>
          <w:szCs w:val="24"/>
        </w:rPr>
      </w:pPr>
      <w:r w:rsidRPr="0058405C">
        <w:rPr>
          <w:rFonts w:ascii="Times New Roman" w:hAnsi="Times New Roman" w:cs="Times New Roman"/>
          <w:color w:val="000000" w:themeColor="text1"/>
          <w:sz w:val="24"/>
          <w:szCs w:val="24"/>
        </w:rPr>
        <w:t>(Source: Excel)</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Liquidity ratios are key markers of a company's capacity of meeting its short–term debt obligations and liabilities. Through examining the correlation between current assets and current liabilities, liquidity ratios disclose to the overall health of the business and how well it can handle day-to-day activates. Now, it's time to conduct the analysis in terms of liquidity ratio with the given numbers in Tesco plc and J Sainsbury (Berry, 2019).</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Current Ratio:</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As stated by Coram and Wang (2021), the present ratio is drawn up to show the coverage of current assets by current liabilities. In the year 2023, it turns out that the current ratio of Tesco was standing at 0.72, implying that the company had £0.72 in current assets for every £1 in current liabilities. Over the past five years, the current ratio of Tesco has been getting low. It was 0.60 in 2019 and then 0.72 in 2023. Moreover, J Sainsbury shows the way down of the current ratio, where the current ratio amounts to 0.68 in 2023.</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Quick Ratio (or Acid Test Ratio):</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With the quick ratio, a narrower measure of liquidity is obtained, as the inventory is excluded from current assets. The quick ratio for Tesco in 2023 is 0.58, which means a cash supply amounting to £0.58 for every £1 in current liabilities. The quick ratio of J Sainsbury for 2023 was 0.52 as well. Both businesses demonstrate an annual decline in quick ratio in the past 5 years, indicating their difficulties in ensuring their bills being paid from sales instead of relying on inventory (Cochrane, 2023).</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Cash Ratio:</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w:t>
      </w:r>
      <w:proofErr w:type="spellStart"/>
      <w:r w:rsidRPr="0058405C">
        <w:rPr>
          <w:rFonts w:ascii="Times New Roman" w:hAnsi="Times New Roman"/>
          <w:color w:val="000000" w:themeColor="text1"/>
          <w:sz w:val="24"/>
        </w:rPr>
        <w:t>Dyball</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Seethamraju</w:t>
      </w:r>
      <w:proofErr w:type="spellEnd"/>
      <w:r w:rsidRPr="0058405C">
        <w:rPr>
          <w:rFonts w:ascii="Times New Roman" w:hAnsi="Times New Roman"/>
          <w:color w:val="000000" w:themeColor="text1"/>
          <w:sz w:val="24"/>
        </w:rPr>
        <w:t xml:space="preserve"> (2022), the cash ratio is a measure of a company's capability to entirely repay current liabilities out of cash at hand. Tesco's cash ratio in 2023 is 0.14, suggesting that it has an amount of cash equal to £0.14 for each £1 worth of current liabilities. the cash ratio for J Sainsbury in 2023 is 0.11. Both the companies have experienced a trend of decreasing cash ratio in the last five years, which can be interpreted as fewer liquid reserves for covering the liabilities.</w:t>
      </w:r>
    </w:p>
    <w:p w:rsidR="00890783" w:rsidRPr="0058405C" w:rsidRDefault="00121D72"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Analysis:</w:t>
      </w:r>
    </w:p>
    <w:p w:rsidR="00171D53" w:rsidRPr="0058405C" w:rsidRDefault="00121D72"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The liquidity ratio analysis demonstrates that both Tesco plc and J Sainsbury face difficulties over the liquidity retention period during the last five years. The falling trend in the current ratio, quick ratio, and cash ratio indicates that they are facing some issues of liquidity since it is difficult for them to satisfy their short-term obligations. In some occasions, an increase in current obligations or a decrease in current tangibles will affect such negative trends. On top of this, the </w:t>
      </w:r>
      <w:r w:rsidRPr="0058405C">
        <w:rPr>
          <w:rFonts w:ascii="Times New Roman" w:hAnsi="Times New Roman"/>
          <w:color w:val="000000" w:themeColor="text1"/>
          <w:sz w:val="24"/>
        </w:rPr>
        <w:lastRenderedPageBreak/>
        <w:t xml:space="preserve">issue can be worsened through the capital financing or nonoptimal use of the working capital (Demir </w:t>
      </w:r>
      <w:r w:rsidR="00DF6C3D" w:rsidRPr="0058405C">
        <w:rPr>
          <w:rFonts w:ascii="Times New Roman" w:hAnsi="Times New Roman"/>
          <w:i/>
          <w:iCs/>
          <w:color w:val="000000" w:themeColor="text1"/>
          <w:sz w:val="24"/>
        </w:rPr>
        <w:t>et al</w:t>
      </w:r>
      <w:r w:rsidRPr="0058405C">
        <w:rPr>
          <w:rFonts w:ascii="Times New Roman" w:hAnsi="Times New Roman"/>
          <w:color w:val="000000" w:themeColor="text1"/>
          <w:sz w:val="24"/>
        </w:rPr>
        <w:t>., 2022).</w:t>
      </w:r>
    </w:p>
    <w:p w:rsidR="00171D53" w:rsidRPr="0058405C" w:rsidRDefault="00171D53"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Recommendations:</w:t>
      </w:r>
    </w:p>
    <w:p w:rsidR="00171D53" w:rsidRPr="0058405C" w:rsidRDefault="00171D53"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Eun</w:t>
      </w:r>
      <w:proofErr w:type="spellEnd"/>
      <w:r w:rsidRPr="0058405C">
        <w:rPr>
          <w:rFonts w:ascii="Times New Roman" w:hAnsi="Times New Roman"/>
          <w:color w:val="000000" w:themeColor="text1"/>
          <w:sz w:val="24"/>
        </w:rPr>
        <w:t xml:space="preserve">, Resnick and </w:t>
      </w:r>
      <w:proofErr w:type="spellStart"/>
      <w:r w:rsidRPr="0058405C">
        <w:rPr>
          <w:rFonts w:ascii="Times New Roman" w:hAnsi="Times New Roman"/>
          <w:color w:val="000000" w:themeColor="text1"/>
          <w:sz w:val="24"/>
        </w:rPr>
        <w:t>Chuluun</w:t>
      </w:r>
      <w:proofErr w:type="spellEnd"/>
      <w:r w:rsidRPr="0058405C">
        <w:rPr>
          <w:rFonts w:ascii="Times New Roman" w:hAnsi="Times New Roman"/>
          <w:color w:val="000000" w:themeColor="text1"/>
          <w:sz w:val="24"/>
        </w:rPr>
        <w:t xml:space="preserve"> (2021), during the cash flow difficulties, the management of Tesco and C Sainsbury should look into the working capital management which includes among others the aspects of inventory control, accounts receivable and accounts payable. In addition, they should ensure that this is done by reducing the level at which debts are used and propose different ways which can be used to raise the financial reserves. </w:t>
      </w:r>
    </w:p>
    <w:p w:rsidR="00171D53" w:rsidRPr="0058405C" w:rsidRDefault="00171D53" w:rsidP="00171D5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Profitability Ratios:</w:t>
      </w:r>
    </w:p>
    <w:p w:rsidR="00312497" w:rsidRPr="0058405C" w:rsidRDefault="00312497" w:rsidP="00312497">
      <w:pPr>
        <w:spacing w:line="360" w:lineRule="auto"/>
        <w:jc w:val="both"/>
        <w:rPr>
          <w:rFonts w:ascii="Times New Roman" w:hAnsi="Times New Roman" w:cs="Times New Roman"/>
          <w:b/>
          <w:bCs/>
          <w:color w:val="000000" w:themeColor="text1"/>
          <w:sz w:val="24"/>
          <w:szCs w:val="24"/>
        </w:rPr>
      </w:pPr>
      <w:r w:rsidRPr="0058405C">
        <w:rPr>
          <w:noProof/>
          <w:color w:val="000000" w:themeColor="text1"/>
        </w:rPr>
        <w:drawing>
          <wp:inline distT="0" distB="0" distL="0" distR="0">
            <wp:extent cx="5943600" cy="2255520"/>
            <wp:effectExtent l="0" t="0" r="0" b="0"/>
            <wp:docPr id="1729998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998385" name=""/>
                    <pic:cNvPicPr/>
                  </pic:nvPicPr>
                  <pic:blipFill>
                    <a:blip r:embed="rId11"/>
                    <a:stretch>
                      <a:fillRect/>
                    </a:stretch>
                  </pic:blipFill>
                  <pic:spPr>
                    <a:xfrm>
                      <a:off x="0" y="0"/>
                      <a:ext cx="5943600" cy="2255520"/>
                    </a:xfrm>
                    <a:prstGeom prst="rect">
                      <a:avLst/>
                    </a:prstGeom>
                  </pic:spPr>
                </pic:pic>
              </a:graphicData>
            </a:graphic>
          </wp:inline>
        </w:drawing>
      </w:r>
    </w:p>
    <w:p w:rsidR="00312497" w:rsidRPr="0058405C" w:rsidRDefault="00312497" w:rsidP="00312497">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Figure 2: Profitability Ratios</w:t>
      </w:r>
    </w:p>
    <w:p w:rsidR="00312497" w:rsidRPr="0058405C" w:rsidRDefault="00312497" w:rsidP="00312497">
      <w:pPr>
        <w:spacing w:line="360" w:lineRule="auto"/>
        <w:jc w:val="center"/>
        <w:rPr>
          <w:rFonts w:ascii="Times New Roman" w:hAnsi="Times New Roman" w:cs="Times New Roman"/>
          <w:color w:val="000000" w:themeColor="text1"/>
          <w:sz w:val="24"/>
          <w:szCs w:val="24"/>
        </w:rPr>
      </w:pPr>
      <w:r w:rsidRPr="0058405C">
        <w:rPr>
          <w:rFonts w:ascii="Times New Roman" w:hAnsi="Times New Roman" w:cs="Times New Roman"/>
          <w:color w:val="000000" w:themeColor="text1"/>
          <w:sz w:val="24"/>
          <w:szCs w:val="24"/>
        </w:rPr>
        <w:t>(Source: Excel)</w:t>
      </w:r>
    </w:p>
    <w:p w:rsidR="00171D53" w:rsidRPr="0058405C" w:rsidRDefault="00171D53"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The profitability ratios are the fundamental indices by the company in terms of its asset turnover, as well as equity and capital position. These ratios let us assess the various profitability factors and give us the information of how the company's operations and management are performing. It is now time to consider the profitability ratios of Tesco plc and J Sainsbury plc. We will do so by presenting the figures along the way (</w:t>
      </w:r>
      <w:proofErr w:type="spellStart"/>
      <w:r w:rsidRPr="0058405C">
        <w:rPr>
          <w:rFonts w:ascii="Times New Roman" w:hAnsi="Times New Roman"/>
          <w:color w:val="000000" w:themeColor="text1"/>
          <w:sz w:val="24"/>
        </w:rPr>
        <w:t>Faulkender</w:t>
      </w:r>
      <w:proofErr w:type="spellEnd"/>
      <w:r w:rsidRPr="0058405C">
        <w:rPr>
          <w:rFonts w:ascii="Times New Roman" w:hAnsi="Times New Roman"/>
          <w:color w:val="000000" w:themeColor="text1"/>
          <w:sz w:val="24"/>
        </w:rPr>
        <w:t>, Hankins and Petersen, 2019).</w:t>
      </w:r>
    </w:p>
    <w:p w:rsidR="00171D53" w:rsidRPr="0058405C" w:rsidRDefault="00171D53"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Gross Margin:</w:t>
      </w:r>
    </w:p>
    <w:p w:rsidR="00890783" w:rsidRPr="0058405C" w:rsidRDefault="00171D53" w:rsidP="00171D5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 xml:space="preserve">According to Hugo </w:t>
      </w:r>
      <w:r w:rsidR="00DF6C3D" w:rsidRPr="0058405C">
        <w:rPr>
          <w:rFonts w:ascii="Times New Roman" w:hAnsi="Times New Roman"/>
          <w:i/>
          <w:iCs/>
          <w:color w:val="000000" w:themeColor="text1"/>
          <w:sz w:val="24"/>
        </w:rPr>
        <w:t>et al</w:t>
      </w:r>
      <w:r w:rsidRPr="0058405C">
        <w:rPr>
          <w:rFonts w:ascii="Times New Roman" w:hAnsi="Times New Roman"/>
          <w:color w:val="000000" w:themeColor="text1"/>
          <w:sz w:val="24"/>
        </w:rPr>
        <w:t>. (2019), gross margin is the proportion of the received total revenue that is greater than the cost for selling the inventory. Cum to 2023 Tesco has a gross margin of £0.30, meaning that it makes Dollar 0,30 profit for each sale of £1. Within the last five years, Tesco’s gross margin has been almost flat, which indicates the excellence of the management in controlling the cost of the goods sold. Going the other way, J Sainsbury is a company with a better gross margin of 0.62 in 2023 meaning that it shows more efficiency in controlling costs and generating profit.</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Operating Margin:</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The operating margin captures the percentage of revenue that is left over after eliminating the operating costs from the revenue. Although Tesco recorded an operating margin of 0.04 in 2023 meaning that it kept 0.04 in operating income for each £1 in revenue generated. Though it can fluctuate, the operating margin of Tesco remains the low one, so this company may face difficulties from the point of generating the profits out of the main business operations. </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Net Profit Margin:</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w:t>
      </w:r>
      <w:proofErr w:type="spellStart"/>
      <w:r w:rsidRPr="0058405C">
        <w:rPr>
          <w:rFonts w:ascii="Times New Roman" w:hAnsi="Times New Roman"/>
          <w:color w:val="000000" w:themeColor="text1"/>
          <w:sz w:val="24"/>
        </w:rPr>
        <w:t>Hasanudin</w:t>
      </w:r>
      <w:r w:rsidR="00DF6C3D" w:rsidRPr="0058405C">
        <w:rPr>
          <w:rFonts w:ascii="Times New Roman" w:hAnsi="Times New Roman"/>
          <w:i/>
          <w:iCs/>
          <w:color w:val="000000" w:themeColor="text1"/>
          <w:sz w:val="24"/>
        </w:rPr>
        <w:t>et</w:t>
      </w:r>
      <w:proofErr w:type="spellEnd"/>
      <w:r w:rsidR="00DF6C3D" w:rsidRPr="0058405C">
        <w:rPr>
          <w:rFonts w:ascii="Times New Roman" w:hAnsi="Times New Roman"/>
          <w:i/>
          <w:iCs/>
          <w:color w:val="000000" w:themeColor="text1"/>
          <w:sz w:val="24"/>
        </w:rPr>
        <w:t xml:space="preserve"> al</w:t>
      </w:r>
      <w:r w:rsidRPr="0058405C">
        <w:rPr>
          <w:rFonts w:ascii="Times New Roman" w:hAnsi="Times New Roman"/>
          <w:color w:val="000000" w:themeColor="text1"/>
          <w:sz w:val="24"/>
        </w:rPr>
        <w:t>. (2019), net profit margin declares the ratio of profit to revenue while the expenses and taxes are taken away. Tesco's net profit margin in 2023 is 0.01, meaning that it keeps £0.01 as net income for every £1 of net revenue. Similarly, J Sainsbury shows net profit margin rate of 0.01 in 2023. Both companies have EBITDA (earnings before interest, taxes, depreciation, and amortization) fluctuating in the previous five years, which indicates varying profitability depending on different factors.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Analysis:</w:t>
      </w:r>
    </w:p>
    <w:p w:rsidR="0006640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The profitability ration analysis demonstrates the contrast in the results of Tesco plc and J Sainsbury. Although the profitability ratios of Tesco can be described as stable, they are not notable compared with those of J Sainsbury. The lower gross margin, operating margin, and net profit margin for </w:t>
      </w:r>
      <w:proofErr w:type="spellStart"/>
      <w:r w:rsidRPr="0058405C">
        <w:rPr>
          <w:rFonts w:ascii="Times New Roman" w:hAnsi="Times New Roman"/>
          <w:color w:val="000000" w:themeColor="text1"/>
          <w:sz w:val="24"/>
        </w:rPr>
        <w:t>Telsy</w:t>
      </w:r>
      <w:proofErr w:type="spellEnd"/>
      <w:r w:rsidRPr="0058405C">
        <w:rPr>
          <w:rFonts w:ascii="Times New Roman" w:hAnsi="Times New Roman"/>
          <w:color w:val="000000" w:themeColor="text1"/>
          <w:sz w:val="24"/>
        </w:rPr>
        <w:t xml:space="preserve"> suggest problems of effective costs management and low profit generation from main business operations. On the other hand, J Sainsbury, on the other side, </w:t>
      </w:r>
      <w:r w:rsidRPr="0058405C">
        <w:rPr>
          <w:rFonts w:ascii="Times New Roman" w:hAnsi="Times New Roman"/>
          <w:color w:val="000000" w:themeColor="text1"/>
          <w:sz w:val="24"/>
        </w:rPr>
        <w:lastRenderedPageBreak/>
        <w:t>shows higher and more stable profitability ratios, meaning better operational effectiveness and financial results (</w:t>
      </w:r>
      <w:proofErr w:type="spellStart"/>
      <w:r w:rsidRPr="0058405C">
        <w:rPr>
          <w:rFonts w:ascii="Times New Roman" w:hAnsi="Times New Roman"/>
          <w:color w:val="000000" w:themeColor="text1"/>
          <w:sz w:val="24"/>
        </w:rPr>
        <w:t>Hacioglu</w:t>
      </w:r>
      <w:proofErr w:type="spellEnd"/>
      <w:r w:rsidRPr="0058405C">
        <w:rPr>
          <w:rFonts w:ascii="Times New Roman" w:hAnsi="Times New Roman"/>
          <w:color w:val="000000" w:themeColor="text1"/>
          <w:sz w:val="24"/>
        </w:rPr>
        <w:t xml:space="preserve"> and Aksoy, 2021).</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Recommendations:</w:t>
      </w:r>
    </w:p>
    <w:p w:rsidR="00890783" w:rsidRPr="0058405C" w:rsidRDefault="009B4DF6"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stated by Kimmel, Weygandt and </w:t>
      </w:r>
      <w:proofErr w:type="spellStart"/>
      <w:r w:rsidRPr="0058405C">
        <w:rPr>
          <w:rFonts w:ascii="Times New Roman" w:hAnsi="Times New Roman"/>
          <w:color w:val="000000" w:themeColor="text1"/>
          <w:sz w:val="24"/>
        </w:rPr>
        <w:t>Kieso</w:t>
      </w:r>
      <w:proofErr w:type="spellEnd"/>
      <w:r w:rsidRPr="0058405C">
        <w:rPr>
          <w:rFonts w:ascii="Times New Roman" w:hAnsi="Times New Roman"/>
          <w:color w:val="000000" w:themeColor="text1"/>
          <w:sz w:val="24"/>
        </w:rPr>
        <w:t xml:space="preserve"> (2020), </w:t>
      </w:r>
      <w:proofErr w:type="spellStart"/>
      <w:r w:rsidRPr="0058405C">
        <w:rPr>
          <w:rFonts w:ascii="Times New Roman" w:hAnsi="Times New Roman"/>
          <w:color w:val="000000" w:themeColor="text1"/>
          <w:sz w:val="24"/>
        </w:rPr>
        <w:t>tesco</w:t>
      </w:r>
      <w:proofErr w:type="spellEnd"/>
      <w:r w:rsidRPr="0058405C">
        <w:rPr>
          <w:rFonts w:ascii="Times New Roman" w:hAnsi="Times New Roman"/>
          <w:color w:val="000000" w:themeColor="text1"/>
          <w:sz w:val="24"/>
        </w:rPr>
        <w:t xml:space="preserve"> plc must focus on cost reduction, operational efficiency, and revenue growth to optimize profitability. That may entail streamlining procedure, rearranging supply, and exploring income opportunities. Tesco should also continually adjust their price, product selection, and marketing to remain competitive. Tesco will improve its financial performance and investor value if it fixes profitability difficulties and capitalizes on growth. In conclusion, Tesco and Sainsbury have earned profit, but Tesco has to improve operational efficiency and cost control. Both organizations may increase financial performance, sustainable development, and competitiveness by smartly implementing retail profit ideas.</w:t>
      </w:r>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Leverage Ratios:</w:t>
      </w:r>
    </w:p>
    <w:p w:rsidR="009B11B0" w:rsidRPr="0058405C" w:rsidRDefault="009B11B0" w:rsidP="009B11B0">
      <w:pPr>
        <w:spacing w:line="360" w:lineRule="auto"/>
        <w:jc w:val="both"/>
        <w:rPr>
          <w:rFonts w:ascii="Times New Roman" w:hAnsi="Times New Roman" w:cs="Times New Roman"/>
          <w:b/>
          <w:bCs/>
          <w:color w:val="000000" w:themeColor="text1"/>
          <w:sz w:val="24"/>
          <w:szCs w:val="24"/>
        </w:rPr>
      </w:pPr>
      <w:r w:rsidRPr="0058405C">
        <w:rPr>
          <w:noProof/>
          <w:color w:val="000000" w:themeColor="text1"/>
        </w:rPr>
        <w:drawing>
          <wp:inline distT="0" distB="0" distL="0" distR="0">
            <wp:extent cx="5943600" cy="2186940"/>
            <wp:effectExtent l="0" t="0" r="0" b="3810"/>
            <wp:docPr id="1946694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694447" name=""/>
                    <pic:cNvPicPr/>
                  </pic:nvPicPr>
                  <pic:blipFill>
                    <a:blip r:embed="rId12"/>
                    <a:stretch>
                      <a:fillRect/>
                    </a:stretch>
                  </pic:blipFill>
                  <pic:spPr>
                    <a:xfrm>
                      <a:off x="0" y="0"/>
                      <a:ext cx="5943600" cy="2186940"/>
                    </a:xfrm>
                    <a:prstGeom prst="rect">
                      <a:avLst/>
                    </a:prstGeom>
                  </pic:spPr>
                </pic:pic>
              </a:graphicData>
            </a:graphic>
          </wp:inline>
        </w:drawing>
      </w:r>
    </w:p>
    <w:p w:rsidR="009B11B0" w:rsidRPr="0058405C" w:rsidRDefault="009B11B0" w:rsidP="009B11B0">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 xml:space="preserve">Figure 3: </w:t>
      </w:r>
      <w:proofErr w:type="spellStart"/>
      <w:r w:rsidRPr="0058405C">
        <w:rPr>
          <w:rFonts w:ascii="Times New Roman" w:hAnsi="Times New Roman" w:cs="Times New Roman"/>
          <w:b/>
          <w:bCs/>
          <w:color w:val="000000" w:themeColor="text1"/>
          <w:sz w:val="24"/>
          <w:szCs w:val="24"/>
        </w:rPr>
        <w:t>Levarage</w:t>
      </w:r>
      <w:proofErr w:type="spellEnd"/>
      <w:r w:rsidRPr="0058405C">
        <w:rPr>
          <w:rFonts w:ascii="Times New Roman" w:hAnsi="Times New Roman" w:cs="Times New Roman"/>
          <w:b/>
          <w:bCs/>
          <w:color w:val="000000" w:themeColor="text1"/>
          <w:sz w:val="24"/>
          <w:szCs w:val="24"/>
        </w:rPr>
        <w:t xml:space="preserve"> Ratios</w:t>
      </w:r>
    </w:p>
    <w:p w:rsidR="009B11B0" w:rsidRPr="0058405C" w:rsidRDefault="009B11B0" w:rsidP="009B11B0">
      <w:pPr>
        <w:spacing w:line="360" w:lineRule="auto"/>
        <w:jc w:val="center"/>
        <w:rPr>
          <w:rFonts w:ascii="Times New Roman" w:hAnsi="Times New Roman" w:cs="Times New Roman"/>
          <w:color w:val="000000" w:themeColor="text1"/>
          <w:sz w:val="24"/>
          <w:szCs w:val="24"/>
        </w:rPr>
      </w:pPr>
      <w:r w:rsidRPr="0058405C">
        <w:rPr>
          <w:rFonts w:ascii="Times New Roman" w:hAnsi="Times New Roman" w:cs="Times New Roman"/>
          <w:color w:val="000000" w:themeColor="text1"/>
          <w:sz w:val="24"/>
          <w:szCs w:val="24"/>
        </w:rPr>
        <w:t>(Source: Excel)</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Leverage ratios, as such, give information about a company’s capital structure and its debt leveraged financing. The debt-to-equity ratio is one of the ratios determines the relationship </w:t>
      </w:r>
      <w:r w:rsidRPr="0058405C">
        <w:rPr>
          <w:rFonts w:ascii="Times New Roman" w:hAnsi="Times New Roman"/>
          <w:color w:val="000000" w:themeColor="text1"/>
          <w:sz w:val="24"/>
        </w:rPr>
        <w:lastRenderedPageBreak/>
        <w:t>between debt and equity, which measures a company's financial risk and stability level. As an example, we will look into the leverage ratios of Tesco plc and J Sainsbury in order to incorporate their numerical figures (Leonard, 2022).</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Debt/Equity Ratio:</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Mosteanu</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Faccia</w:t>
      </w:r>
      <w:proofErr w:type="spellEnd"/>
      <w:r w:rsidRPr="0058405C">
        <w:rPr>
          <w:rFonts w:ascii="Times New Roman" w:hAnsi="Times New Roman"/>
          <w:color w:val="000000" w:themeColor="text1"/>
          <w:sz w:val="24"/>
        </w:rPr>
        <w:t xml:space="preserve"> (2020), such ratio of debt/equity represents a percentage of finance obtained from debt rather than equity. In the year 2023 Tesco's debt/ equity ratio stands at 2.77 that implies debt value of £2.77 for every £1 of equity. Over a period of five years, Tesco's debt/equity ratio has displayed fluidity, but it shows a tendency to be high, indicating that the company uses debt financing extensively. Differently, Sainsbury has shown a lower debt/equity ratio of 2.64 in 2023, which is indicative of its less leveraged capital structure in relation to Tesco.</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Equity Multiplier:</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The equity multiplier serves to measure the amount of total assets which are covered by equity vs equity capital. A Tesco's equity multiplier of 3.77 in 2023 can be interpreted as the total assets being 3.77 times financed by the equity. Over the last five years, Tesco's equity multiplier has demonstrated some volatility and this continues to be a high level which implies much financial leverage. Moreover, J Sainsbury's equity multiplier for 2023 is 3.64 which is lower than Tesco's multiplier, suggesting that J Sainsbury is less leveraged than Tesco (</w:t>
      </w:r>
      <w:proofErr w:type="spellStart"/>
      <w:r w:rsidRPr="0058405C">
        <w:rPr>
          <w:rFonts w:ascii="Times New Roman" w:hAnsi="Times New Roman"/>
          <w:color w:val="000000" w:themeColor="text1"/>
          <w:sz w:val="24"/>
        </w:rPr>
        <w:t>Menkhoff</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Miethe</w:t>
      </w:r>
      <w:proofErr w:type="spellEnd"/>
      <w:r w:rsidRPr="0058405C">
        <w:rPr>
          <w:rFonts w:ascii="Times New Roman" w:hAnsi="Times New Roman"/>
          <w:color w:val="000000" w:themeColor="text1"/>
          <w:sz w:val="24"/>
        </w:rPr>
        <w:t>, 2019).</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Interest Coverage Ratio:</w:t>
      </w:r>
    </w:p>
    <w:p w:rsidR="0006640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Mochkabadi</w:t>
      </w:r>
      <w:proofErr w:type="spellEnd"/>
      <w:r w:rsidRPr="0058405C">
        <w:rPr>
          <w:rFonts w:ascii="Times New Roman" w:hAnsi="Times New Roman"/>
          <w:color w:val="000000" w:themeColor="text1"/>
          <w:sz w:val="24"/>
        </w:rPr>
        <w:t xml:space="preserve"> and Volkmann (2020), the debt service coverage ratio determines the capacity of a company to cover its interest expenses out of the operating income. The interest coverage ratio of Tesco was 4.05 for 2023, showing its ability of 4.05 times to bear interest of its operating income. Over the last five years, Tesco's interest coverage ratio has been fluctuating and is still quite low, indicating that operating income may not be sufficient to meet the needs of </w:t>
      </w:r>
      <w:r w:rsidRPr="0058405C">
        <w:rPr>
          <w:rFonts w:ascii="Times New Roman" w:hAnsi="Times New Roman"/>
          <w:color w:val="000000" w:themeColor="text1"/>
          <w:sz w:val="24"/>
        </w:rPr>
        <w:lastRenderedPageBreak/>
        <w:t>covering interests. On the other side, the J Sainsbury has a higher interest coverage ratio of 3.23 during 2023 compared to Tesco which points out to a better ability to cover the interest expenses.</w:t>
      </w:r>
    </w:p>
    <w:p w:rsidR="00CF0C2F" w:rsidRPr="0058405C" w:rsidRDefault="00CF0C2F"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Analysis: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The leverage ratio, therefore, indicates the distinct capital structures and financial risks for Tesco plc and J Sainsbury, the two companies. Tesco relies more on debt financing considering its higher value of the debt/equity ratio and low equity multiplier compared to the J Sainsbury. The increased level of indebtedness potentially leads a company to financial difficulties such as increasing interest payments and a harder time in returning debt. J Sainsbury in this circumstance stands out for having a less leveraged capital structure, demonstrated through lower debt/equity ratio and equity multiplier, implying a more conservative orientation towards financing (</w:t>
      </w:r>
      <w:proofErr w:type="spellStart"/>
      <w:r w:rsidRPr="0058405C">
        <w:rPr>
          <w:rFonts w:ascii="Times New Roman" w:hAnsi="Times New Roman"/>
          <w:color w:val="000000" w:themeColor="text1"/>
          <w:sz w:val="24"/>
        </w:rPr>
        <w:t>Secinaro</w:t>
      </w:r>
      <w:r w:rsidR="00DF6C3D" w:rsidRPr="0058405C">
        <w:rPr>
          <w:rFonts w:ascii="Times New Roman" w:hAnsi="Times New Roman"/>
          <w:i/>
          <w:iCs/>
          <w:color w:val="000000" w:themeColor="text1"/>
          <w:sz w:val="24"/>
        </w:rPr>
        <w:t>et</w:t>
      </w:r>
      <w:proofErr w:type="spellEnd"/>
      <w:r w:rsidR="00DF6C3D" w:rsidRPr="0058405C">
        <w:rPr>
          <w:rFonts w:ascii="Times New Roman" w:hAnsi="Times New Roman"/>
          <w:i/>
          <w:iCs/>
          <w:color w:val="000000" w:themeColor="text1"/>
          <w:sz w:val="24"/>
        </w:rPr>
        <w:t xml:space="preserve"> al</w:t>
      </w:r>
      <w:r w:rsidRPr="0058405C">
        <w:rPr>
          <w:rFonts w:ascii="Times New Roman" w:hAnsi="Times New Roman"/>
          <w:color w:val="000000" w:themeColor="text1"/>
          <w:sz w:val="24"/>
        </w:rPr>
        <w:t>., 2021).</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Recommendations:</w:t>
      </w:r>
    </w:p>
    <w:p w:rsidR="00223F9F" w:rsidRPr="0058405C" w:rsidRDefault="009B4DF6" w:rsidP="00223F9F">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Shaw </w:t>
      </w:r>
      <w:r w:rsidR="00DF6C3D" w:rsidRPr="0058405C">
        <w:rPr>
          <w:rFonts w:ascii="Times New Roman" w:hAnsi="Times New Roman"/>
          <w:i/>
          <w:iCs/>
          <w:color w:val="000000" w:themeColor="text1"/>
          <w:sz w:val="24"/>
        </w:rPr>
        <w:t>et al</w:t>
      </w:r>
      <w:r w:rsidRPr="0058405C">
        <w:rPr>
          <w:rFonts w:ascii="Times New Roman" w:hAnsi="Times New Roman"/>
          <w:color w:val="000000" w:themeColor="text1"/>
          <w:sz w:val="24"/>
        </w:rPr>
        <w:t>. (2019), capital structure deleveraging reduces existing debt financing leverage and financial risk and systemic stability. Debt rescheduling, capital allocation optimization, and working capital management may achieve this. Among the measures that Tesco may take is to have more shares issued and thus, follow the hierarchy of finance to reduce the debt ratio. Tesco manages to thrive in a recession and get more successful in long-term period by being careful about their cash flow. To co-summarize, both Tesco plc and J Sainsbury hold cash but the former has high disclosed debt risk. Tesco can withstand the difficult periods and seize the wind of progress by lowering borrowing and strengthening its money.</w:t>
      </w:r>
    </w:p>
    <w:p w:rsidR="00223F9F" w:rsidRPr="0058405C" w:rsidRDefault="00223F9F" w:rsidP="00223F9F">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Working Capital Ratios:</w:t>
      </w:r>
    </w:p>
    <w:p w:rsidR="00BA647D" w:rsidRPr="0058405C" w:rsidRDefault="00BA647D" w:rsidP="00BA647D">
      <w:pPr>
        <w:spacing w:line="360" w:lineRule="auto"/>
        <w:jc w:val="both"/>
        <w:rPr>
          <w:rFonts w:ascii="Times New Roman" w:hAnsi="Times New Roman" w:cs="Times New Roman"/>
          <w:b/>
          <w:bCs/>
          <w:color w:val="000000" w:themeColor="text1"/>
          <w:sz w:val="24"/>
          <w:szCs w:val="24"/>
        </w:rPr>
      </w:pPr>
      <w:r w:rsidRPr="0058405C">
        <w:rPr>
          <w:noProof/>
          <w:color w:val="000000" w:themeColor="text1"/>
        </w:rPr>
        <w:lastRenderedPageBreak/>
        <w:drawing>
          <wp:inline distT="0" distB="0" distL="0" distR="0">
            <wp:extent cx="5943600" cy="2125980"/>
            <wp:effectExtent l="0" t="0" r="0" b="7620"/>
            <wp:docPr id="819008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008490" name=""/>
                    <pic:cNvPicPr/>
                  </pic:nvPicPr>
                  <pic:blipFill>
                    <a:blip r:embed="rId13"/>
                    <a:stretch>
                      <a:fillRect/>
                    </a:stretch>
                  </pic:blipFill>
                  <pic:spPr>
                    <a:xfrm>
                      <a:off x="0" y="0"/>
                      <a:ext cx="5943600" cy="2125980"/>
                    </a:xfrm>
                    <a:prstGeom prst="rect">
                      <a:avLst/>
                    </a:prstGeom>
                  </pic:spPr>
                </pic:pic>
              </a:graphicData>
            </a:graphic>
          </wp:inline>
        </w:drawing>
      </w:r>
    </w:p>
    <w:p w:rsidR="00BA647D" w:rsidRPr="0058405C" w:rsidRDefault="00BA647D" w:rsidP="00BA647D">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Figure 4: working capital Ratios</w:t>
      </w:r>
    </w:p>
    <w:p w:rsidR="00BA647D" w:rsidRPr="0058405C" w:rsidRDefault="00BA647D" w:rsidP="00BA647D">
      <w:pPr>
        <w:spacing w:line="360" w:lineRule="auto"/>
        <w:jc w:val="center"/>
        <w:rPr>
          <w:rFonts w:ascii="Times New Roman" w:hAnsi="Times New Roman" w:cs="Times New Roman"/>
          <w:color w:val="000000" w:themeColor="text1"/>
          <w:sz w:val="24"/>
          <w:szCs w:val="24"/>
        </w:rPr>
      </w:pPr>
      <w:r w:rsidRPr="0058405C">
        <w:rPr>
          <w:rFonts w:ascii="Times New Roman" w:hAnsi="Times New Roman" w:cs="Times New Roman"/>
          <w:color w:val="000000" w:themeColor="text1"/>
          <w:sz w:val="24"/>
          <w:szCs w:val="24"/>
        </w:rPr>
        <w:t>(Source: Excel)</w:t>
      </w:r>
    </w:p>
    <w:p w:rsidR="00890783" w:rsidRPr="0058405C" w:rsidRDefault="00223F9F" w:rsidP="00223F9F">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Liquidity and solvency of the company are mirrored in the working capital ratio which is composed of the short-term obligations of the assets. These ratios give us a picture of the liquidity of a company and its efficiency of the operations; they show the relationship between the current assets and the current liabilities. Now, let's examine the working-capital ratios for Tesco plc and J Sainsbury, incorporating the numbers shown above (Schroeder, Clark and Cathey, 2022).</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Assets Turnover Ratio:</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stated by </w:t>
      </w:r>
      <w:proofErr w:type="spellStart"/>
      <w:r w:rsidRPr="0058405C">
        <w:rPr>
          <w:rFonts w:ascii="Times New Roman" w:hAnsi="Times New Roman"/>
          <w:color w:val="000000" w:themeColor="text1"/>
          <w:sz w:val="24"/>
        </w:rPr>
        <w:t>Torelli</w:t>
      </w:r>
      <w:proofErr w:type="spellEnd"/>
      <w:r w:rsidRPr="0058405C">
        <w:rPr>
          <w:rFonts w:ascii="Times New Roman" w:hAnsi="Times New Roman"/>
          <w:color w:val="000000" w:themeColor="text1"/>
          <w:sz w:val="24"/>
        </w:rPr>
        <w:t xml:space="preserve">, </w:t>
      </w:r>
      <w:proofErr w:type="spellStart"/>
      <w:r w:rsidRPr="0058405C">
        <w:rPr>
          <w:rFonts w:ascii="Times New Roman" w:hAnsi="Times New Roman"/>
          <w:color w:val="000000" w:themeColor="text1"/>
          <w:sz w:val="24"/>
        </w:rPr>
        <w:t>Balluchi</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Furlotti</w:t>
      </w:r>
      <w:proofErr w:type="spellEnd"/>
      <w:r w:rsidRPr="0058405C">
        <w:rPr>
          <w:rFonts w:ascii="Times New Roman" w:hAnsi="Times New Roman"/>
          <w:color w:val="000000" w:themeColor="text1"/>
          <w:sz w:val="24"/>
        </w:rPr>
        <w:t xml:space="preserve"> (2020), the assets turnover ratio shows how fast the company converts assets into income during the reporting period. Tesco's asset turnover ratio in 2023 is 1.43, and this signifies that for every £1 of total assets, the company generates £1.43 in revenue. In the last five years the TESCO's assets turnover ratio has demonstrated a fluctuating pattern but keeps at the consistent level overall. On the other hand, J. Sainsbury's asset turnover ratio represents a 0.68 in 2023, which is a proof of a lower efficiency in asset utilization, when comparing to Tesco.</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Account Receivable Days: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 xml:space="preserve">A metric that gauge’s accounts receivable days measures the average number of days it takes the company to collect payments from its customers. During the period 2023, Tesco’s accounts receivable days were 29.73 which means that the average days to collect the payment of the company’s customers is 29.73. For the recent five years, </w:t>
      </w:r>
      <w:proofErr w:type="spellStart"/>
      <w:r w:rsidRPr="0058405C">
        <w:rPr>
          <w:rFonts w:ascii="Times New Roman" w:hAnsi="Times New Roman"/>
          <w:color w:val="000000" w:themeColor="text1"/>
          <w:sz w:val="24"/>
        </w:rPr>
        <w:t>Tescov's</w:t>
      </w:r>
      <w:proofErr w:type="spellEnd"/>
      <w:r w:rsidRPr="0058405C">
        <w:rPr>
          <w:rFonts w:ascii="Times New Roman" w:hAnsi="Times New Roman"/>
          <w:color w:val="000000" w:themeColor="text1"/>
          <w:sz w:val="24"/>
        </w:rPr>
        <w:t xml:space="preserve"> A/R days have manifested some volatility but generally have remained within the range. Also, J Sainsbury (days of 301.64) in 2013 shows evidence of receivables days of a longer period compared to Tesco (Thomas and Ward, 2019).</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Account Payable Days: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stated by </w:t>
      </w:r>
      <w:proofErr w:type="spellStart"/>
      <w:r w:rsidRPr="0058405C">
        <w:rPr>
          <w:rFonts w:ascii="Times New Roman" w:hAnsi="Times New Roman"/>
          <w:color w:val="000000" w:themeColor="text1"/>
          <w:sz w:val="24"/>
        </w:rPr>
        <w:t>Hoa</w:t>
      </w:r>
      <w:proofErr w:type="spellEnd"/>
      <w:r w:rsidRPr="0058405C">
        <w:rPr>
          <w:rFonts w:ascii="Times New Roman" w:hAnsi="Times New Roman"/>
          <w:color w:val="000000" w:themeColor="text1"/>
          <w:sz w:val="24"/>
        </w:rPr>
        <w:t xml:space="preserve"> </w:t>
      </w:r>
      <w:r w:rsidR="00DF6C3D" w:rsidRPr="0058405C">
        <w:rPr>
          <w:rFonts w:ascii="Times New Roman" w:hAnsi="Times New Roman"/>
          <w:i/>
          <w:iCs/>
          <w:color w:val="000000" w:themeColor="text1"/>
          <w:sz w:val="24"/>
        </w:rPr>
        <w:t>et al</w:t>
      </w:r>
      <w:r w:rsidRPr="0058405C">
        <w:rPr>
          <w:rFonts w:ascii="Times New Roman" w:hAnsi="Times New Roman"/>
          <w:color w:val="000000" w:themeColor="text1"/>
          <w:sz w:val="24"/>
        </w:rPr>
        <w:t>. (2022), supplier payment days represent an average number of days the company usually pays its suppliers. Tesco's 2023 account payable days are 59.52, which indicates that, on average, it takes 59.52 days period to settle supplier payment. The last 5 years show variability on the number of days for Tesco to pay their accounts but the values remain relatively steady. Additionally, J Sainsbury shows the account payable days of 43.27 in 2023; it implies a shorter repayment period to suppliers than Tesco does.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Analysis:</w:t>
      </w:r>
    </w:p>
    <w:p w:rsidR="00087EC0" w:rsidRPr="0058405C" w:rsidRDefault="009B4DF6" w:rsidP="00087EC0">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Working capital ratios reveal Tesco plc and J Sainsbury vary in short-term financial obligation and asset management. Tesco has a greater asset turnover ratio than J Sainsbury, indicating better asset use. Tesco is experiencing a higher day in the account receivable period, indicating that consumer payments are delayed, and hence, will enable it to limit its cash flow. J Sainsbury is showing a worse asset turnover ratio and shorter account payable days, which can be explained as asset management and cash flow problems (</w:t>
      </w:r>
      <w:proofErr w:type="spellStart"/>
      <w:r w:rsidRPr="0058405C">
        <w:rPr>
          <w:rFonts w:ascii="Times New Roman" w:hAnsi="Times New Roman"/>
          <w:color w:val="000000" w:themeColor="text1"/>
          <w:sz w:val="24"/>
        </w:rPr>
        <w:t>Wahyuni</w:t>
      </w:r>
      <w:proofErr w:type="spellEnd"/>
      <w:r w:rsidRPr="0058405C">
        <w:rPr>
          <w:rFonts w:ascii="Times New Roman" w:hAnsi="Times New Roman"/>
          <w:color w:val="000000" w:themeColor="text1"/>
          <w:sz w:val="24"/>
        </w:rPr>
        <w:t xml:space="preserve">, </w:t>
      </w:r>
      <w:proofErr w:type="spellStart"/>
      <w:r w:rsidRPr="0058405C">
        <w:rPr>
          <w:rFonts w:ascii="Times New Roman" w:hAnsi="Times New Roman"/>
          <w:color w:val="000000" w:themeColor="text1"/>
          <w:sz w:val="24"/>
        </w:rPr>
        <w:t>Fahada</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Atmaja</w:t>
      </w:r>
      <w:proofErr w:type="spellEnd"/>
      <w:r w:rsidRPr="0058405C">
        <w:rPr>
          <w:rFonts w:ascii="Times New Roman" w:hAnsi="Times New Roman"/>
          <w:color w:val="000000" w:themeColor="text1"/>
          <w:sz w:val="24"/>
        </w:rPr>
        <w:t>, 2019).</w:t>
      </w:r>
    </w:p>
    <w:p w:rsidR="00087EC0" w:rsidRPr="0058405C" w:rsidRDefault="00087EC0" w:rsidP="00087EC0">
      <w:pPr>
        <w:spacing w:line="360" w:lineRule="auto"/>
        <w:jc w:val="both"/>
        <w:rPr>
          <w:rFonts w:ascii="Times New Roman" w:hAnsi="Times New Roman" w:cs="Times New Roman"/>
          <w:color w:val="000000" w:themeColor="text1"/>
          <w:sz w:val="24"/>
          <w:szCs w:val="24"/>
        </w:rPr>
      </w:pPr>
    </w:p>
    <w:p w:rsidR="00087EC0" w:rsidRPr="0058405C" w:rsidRDefault="00087EC0" w:rsidP="00087EC0">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Recommendations:</w:t>
      </w:r>
    </w:p>
    <w:p w:rsidR="00087EC0" w:rsidRPr="0058405C" w:rsidRDefault="00087EC0" w:rsidP="00087EC0">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Waitherero</w:t>
      </w:r>
      <w:proofErr w:type="spellEnd"/>
      <w:r w:rsidRPr="0058405C">
        <w:rPr>
          <w:rFonts w:ascii="Times New Roman" w:hAnsi="Times New Roman"/>
          <w:color w:val="000000" w:themeColor="text1"/>
          <w:sz w:val="24"/>
        </w:rPr>
        <w:t xml:space="preserve">, </w:t>
      </w:r>
      <w:proofErr w:type="spellStart"/>
      <w:r w:rsidRPr="0058405C">
        <w:rPr>
          <w:rFonts w:ascii="Times New Roman" w:hAnsi="Times New Roman"/>
          <w:color w:val="000000" w:themeColor="text1"/>
          <w:sz w:val="24"/>
        </w:rPr>
        <w:t>Muchina</w:t>
      </w:r>
      <w:proofErr w:type="spellEnd"/>
      <w:r w:rsidRPr="0058405C">
        <w:rPr>
          <w:rFonts w:ascii="Times New Roman" w:hAnsi="Times New Roman"/>
          <w:color w:val="000000" w:themeColor="text1"/>
          <w:sz w:val="24"/>
        </w:rPr>
        <w:t xml:space="preserve"> and Macharia (2021), formulating better cash management and faster debt collection from customers will lead to higher working capital for Tesco plc. Strengthening loan conditions, advancing early repayment, and technology utilization for </w:t>
      </w:r>
      <w:r w:rsidRPr="0058405C">
        <w:rPr>
          <w:rFonts w:ascii="Times New Roman" w:hAnsi="Times New Roman"/>
          <w:color w:val="000000" w:themeColor="text1"/>
          <w:sz w:val="24"/>
        </w:rPr>
        <w:lastRenderedPageBreak/>
        <w:t>invoicing automation and payment processing are possible solutions. In addition to this, Tesco has to deal with discounts and flexible payment periods with suppliers to increase accounts receivable and liquidity. Tesco can increase financial sustainability and organic growth by using working capital management more effectively. Tesco PLC and J Sainsbury share the objectives but they have different ideal working capital management methods. While asset turnover is higher, receivable days tend to be longer with the latter. Tesco may attain working capital and long-term financial success by using accounts receivable collection and payment management tactics in a highly competitive market.</w:t>
      </w:r>
    </w:p>
    <w:p w:rsidR="00087EC0" w:rsidRPr="0058405C" w:rsidRDefault="00087EC0" w:rsidP="00087EC0">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Investment Ratios:</w:t>
      </w:r>
    </w:p>
    <w:p w:rsidR="00D61B7C" w:rsidRPr="0058405C" w:rsidRDefault="00D61B7C" w:rsidP="00D61B7C">
      <w:pPr>
        <w:spacing w:line="360" w:lineRule="auto"/>
        <w:jc w:val="both"/>
        <w:rPr>
          <w:rFonts w:ascii="Times New Roman" w:hAnsi="Times New Roman" w:cs="Times New Roman"/>
          <w:b/>
          <w:bCs/>
          <w:color w:val="000000" w:themeColor="text1"/>
          <w:sz w:val="24"/>
          <w:szCs w:val="24"/>
        </w:rPr>
      </w:pPr>
      <w:r w:rsidRPr="0058405C">
        <w:rPr>
          <w:noProof/>
          <w:color w:val="000000" w:themeColor="text1"/>
        </w:rPr>
        <w:drawing>
          <wp:inline distT="0" distB="0" distL="0" distR="0">
            <wp:extent cx="5943600" cy="2080260"/>
            <wp:effectExtent l="0" t="0" r="0" b="0"/>
            <wp:docPr id="390192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92876" name=""/>
                    <pic:cNvPicPr/>
                  </pic:nvPicPr>
                  <pic:blipFill>
                    <a:blip r:embed="rId14"/>
                    <a:stretch>
                      <a:fillRect/>
                    </a:stretch>
                  </pic:blipFill>
                  <pic:spPr>
                    <a:xfrm>
                      <a:off x="0" y="0"/>
                      <a:ext cx="5943600" cy="2080260"/>
                    </a:xfrm>
                    <a:prstGeom prst="rect">
                      <a:avLst/>
                    </a:prstGeom>
                  </pic:spPr>
                </pic:pic>
              </a:graphicData>
            </a:graphic>
          </wp:inline>
        </w:drawing>
      </w:r>
    </w:p>
    <w:p w:rsidR="00D61B7C" w:rsidRPr="0058405C" w:rsidRDefault="00D61B7C" w:rsidP="00D61B7C">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Figure 5: Investment Ratios</w:t>
      </w:r>
    </w:p>
    <w:p w:rsidR="00D61B7C" w:rsidRPr="0058405C" w:rsidRDefault="00D61B7C" w:rsidP="00D61B7C">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(Source: Excel)</w:t>
      </w:r>
    </w:p>
    <w:p w:rsidR="00890783" w:rsidRPr="0058405C" w:rsidRDefault="00087EC0" w:rsidP="00087EC0">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Investment ratios pertain to giving stock in a company which is gauged by studying the several indicators such as earnings, market value, dividends and shareholders performance. These ratios help investors estimate the possible returns for the company in which they are considering investing, as well an assessment of the potential risks faced by the company. Here, we are going to look into the investment ratios for Tesco plc and J Sainsbury applying the numerical values indicated (Wang </w:t>
      </w:r>
      <w:r w:rsidR="00DF6C3D" w:rsidRPr="0058405C">
        <w:rPr>
          <w:rFonts w:ascii="Times New Roman" w:hAnsi="Times New Roman"/>
          <w:i/>
          <w:iCs/>
          <w:color w:val="000000" w:themeColor="text1"/>
          <w:sz w:val="24"/>
        </w:rPr>
        <w:t>et al</w:t>
      </w:r>
      <w:r w:rsidRPr="0058405C">
        <w:rPr>
          <w:rFonts w:ascii="Times New Roman" w:hAnsi="Times New Roman"/>
          <w:color w:val="000000" w:themeColor="text1"/>
          <w:sz w:val="24"/>
        </w:rPr>
        <w:t>., 2020).</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Earnings per Share (EPS):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 xml:space="preserve">According to Warren, Tayler and Learning (2020), </w:t>
      </w:r>
      <w:proofErr w:type="spellStart"/>
      <w:r w:rsidRPr="0058405C">
        <w:rPr>
          <w:rFonts w:ascii="Times New Roman" w:hAnsi="Times New Roman"/>
          <w:color w:val="000000" w:themeColor="text1"/>
          <w:sz w:val="24"/>
        </w:rPr>
        <w:t>ePS</w:t>
      </w:r>
      <w:proofErr w:type="spellEnd"/>
      <w:r w:rsidRPr="0058405C">
        <w:rPr>
          <w:rFonts w:ascii="Times New Roman" w:hAnsi="Times New Roman"/>
          <w:color w:val="000000" w:themeColor="text1"/>
          <w:sz w:val="24"/>
        </w:rPr>
        <w:t xml:space="preserve"> that is the earnings per share measures the corporative profit on a per-share basis. In the year 2023, the EPS of Tesco is accounted at £0.10, which means that the company generates the net income equal to £0.10 for each outstanding share. We can see volatility in Tesco’s earnings per share over the past five years, but the trend is fairly stable. In contrast, J Sainsbury has a higher EPS of £0.43 in 2023 than Tesco which proves that they are more profitable on a per-share basis.</w:t>
      </w:r>
    </w:p>
    <w:p w:rsidR="00890783" w:rsidRPr="0058405C" w:rsidRDefault="00066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Price/Earnings (P/E) Ratio:</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w:t>
      </w:r>
      <w:proofErr w:type="spellStart"/>
      <w:r w:rsidRPr="0058405C">
        <w:rPr>
          <w:rFonts w:ascii="Times New Roman" w:hAnsi="Times New Roman"/>
          <w:color w:val="000000" w:themeColor="text1"/>
          <w:sz w:val="24"/>
        </w:rPr>
        <w:t>Dyball</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Seethamraju</w:t>
      </w:r>
      <w:proofErr w:type="spellEnd"/>
      <w:r w:rsidRPr="0058405C">
        <w:rPr>
          <w:rFonts w:ascii="Times New Roman" w:hAnsi="Times New Roman"/>
          <w:color w:val="000000" w:themeColor="text1"/>
          <w:sz w:val="24"/>
        </w:rPr>
        <w:t xml:space="preserve"> (2022), the (P/E) = market price per share / earnings per share ratio is also one such measure. In 2023, Tesco's P/E ratio stood at 1081.76. This implies that the investors paid £1081.76 for each £1 of earnings per share. Tesco's P/E ratio over the past five years has shown excessive volatility due to fluctuations in market perceptions and pricing which resulted from the impact of these external factors. In a parallel fashion, J Sainsbury's P/E is 277.84 in 2023 which is quite lower than Tesco.</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Dividend Yield:</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Dividend yield expresses in percentages the amount distributed as dividend to shareholders relative to the current market price of this stock. In 2023 </w:t>
      </w:r>
      <w:proofErr w:type="spellStart"/>
      <w:r w:rsidRPr="0058405C">
        <w:rPr>
          <w:rFonts w:ascii="Times New Roman" w:hAnsi="Times New Roman"/>
          <w:color w:val="000000" w:themeColor="text1"/>
          <w:sz w:val="24"/>
        </w:rPr>
        <w:t>tescos</w:t>
      </w:r>
      <w:proofErr w:type="spellEnd"/>
      <w:r w:rsidRPr="0058405C">
        <w:rPr>
          <w:rFonts w:ascii="Times New Roman" w:hAnsi="Times New Roman"/>
          <w:color w:val="000000" w:themeColor="text1"/>
          <w:sz w:val="24"/>
        </w:rPr>
        <w:t xml:space="preserve"> dividend yields are 2.95%, which implies that they pay £2.95 in dividends per £100 of their current market price per share. Tesco's dividend yield for the past five years was always on a bumpy road, as its dividend payments were often inconsistent with the market price. Additionally, J Sainsbury manifests a 2.71 percent dividend yield in 2023 (Thomas and Ward, 2019).</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Analysis:</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Investment ratio analysis testifies to the fact that Tesco plc is more investment attractive than J Sainsbury. Tesco for the current year has shown lower EPS and a higher P/E ratio than J Sainsbury, but has relatively a higher dividend yield. The elevated price-earnings ratio of Tesco (P/E ratio) indicates that investors are ready to pay high prices for the company’s earnings that can be justified by favorable market sentiments and growth expectations among investors. Still, J </w:t>
      </w:r>
      <w:r w:rsidRPr="0058405C">
        <w:rPr>
          <w:rFonts w:ascii="Times New Roman" w:hAnsi="Times New Roman"/>
          <w:color w:val="000000" w:themeColor="text1"/>
          <w:sz w:val="24"/>
        </w:rPr>
        <w:lastRenderedPageBreak/>
        <w:t>Sainsbury is lowering its P/E ratio and increasing its EPS, thus possibly superior value to investors (Hassan and Marston, 2019).</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Recommendations:</w:t>
      </w:r>
    </w:p>
    <w:p w:rsidR="00796330"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Tesco plc should focus on strong earnings growth and profitability to justify its higher P/E ratio and attract investors. This approach may include operational efficiency, market share increase, and revenue diversification. To entice income-seeking investors, Tesco should pay dividends consistently. J Sainsbury must attract value-seeking investors with its reduced P/E ratio and better EPS. J Sainsbury can attract investors with clear and thorough financial reporting that </w:t>
      </w:r>
      <w:proofErr w:type="spellStart"/>
      <w:r w:rsidRPr="0058405C">
        <w:rPr>
          <w:rFonts w:ascii="Times New Roman" w:hAnsi="Times New Roman"/>
          <w:color w:val="000000" w:themeColor="text1"/>
          <w:sz w:val="24"/>
        </w:rPr>
        <w:t>emphasises</w:t>
      </w:r>
      <w:proofErr w:type="spellEnd"/>
      <w:r w:rsidRPr="0058405C">
        <w:rPr>
          <w:rFonts w:ascii="Times New Roman" w:hAnsi="Times New Roman"/>
          <w:color w:val="000000" w:themeColor="text1"/>
          <w:sz w:val="24"/>
        </w:rPr>
        <w:t xml:space="preserve"> growth potential and financial soundness (</w:t>
      </w:r>
      <w:proofErr w:type="spellStart"/>
      <w:r w:rsidRPr="0058405C">
        <w:rPr>
          <w:rFonts w:ascii="Times New Roman" w:hAnsi="Times New Roman"/>
          <w:color w:val="000000" w:themeColor="text1"/>
          <w:sz w:val="24"/>
        </w:rPr>
        <w:t>Menkhoff</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Miethe</w:t>
      </w:r>
      <w:proofErr w:type="spellEnd"/>
      <w:r w:rsidRPr="0058405C">
        <w:rPr>
          <w:rFonts w:ascii="Times New Roman" w:hAnsi="Times New Roman"/>
          <w:color w:val="000000" w:themeColor="text1"/>
          <w:sz w:val="24"/>
        </w:rPr>
        <w:t>, 2019).</w:t>
      </w:r>
    </w:p>
    <w:p w:rsidR="00890783"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As stated by Coram and Wang (2021), in the end, Tesco plc and J Sainsbury propose investment ratios that may appeal to investors with different risk tolerances and aims. Tesco's P/E and dividend yield reflect growth and income potential. However, J Sainsbury's low P/E and high EPS indicate value-oriented investments. Investors may create ideal portfolios by understanding these investing ratios and their significance.</w:t>
      </w:r>
    </w:p>
    <w:p w:rsidR="00890783" w:rsidRPr="0058405C" w:rsidRDefault="00890783" w:rsidP="00890783">
      <w:pPr>
        <w:pStyle w:val="Heading1"/>
        <w:jc w:val="both"/>
      </w:pPr>
      <w:bookmarkStart w:id="4" w:name="_Toc164765085"/>
      <w:r w:rsidRPr="0058405C">
        <w:t>Part C</w:t>
      </w:r>
      <w:bookmarkEnd w:id="4"/>
    </w:p>
    <w:p w:rsidR="00890783" w:rsidRPr="0058405C" w:rsidRDefault="00890783" w:rsidP="00890783">
      <w:pPr>
        <w:pStyle w:val="Heading2"/>
        <w:jc w:val="both"/>
      </w:pPr>
      <w:bookmarkStart w:id="5" w:name="_Toc164765086"/>
      <w:r w:rsidRPr="0058405C">
        <w:t>Investment Appraisal Techniques</w:t>
      </w:r>
      <w:bookmarkEnd w:id="5"/>
    </w:p>
    <w:p w:rsidR="00254E64"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Project Evaluation</w:t>
      </w:r>
    </w:p>
    <w:p w:rsidR="001D4CA3" w:rsidRPr="0058405C" w:rsidRDefault="001D4CA3" w:rsidP="001D4CA3">
      <w:pPr>
        <w:spacing w:line="360" w:lineRule="auto"/>
        <w:jc w:val="both"/>
        <w:rPr>
          <w:rFonts w:ascii="Times New Roman" w:hAnsi="Times New Roman" w:cs="Times New Roman"/>
          <w:b/>
          <w:bCs/>
          <w:color w:val="000000" w:themeColor="text1"/>
          <w:sz w:val="24"/>
          <w:szCs w:val="24"/>
        </w:rPr>
      </w:pPr>
      <w:r w:rsidRPr="0058405C">
        <w:rPr>
          <w:noProof/>
          <w:color w:val="000000" w:themeColor="text1"/>
        </w:rPr>
        <w:lastRenderedPageBreak/>
        <w:drawing>
          <wp:inline distT="0" distB="0" distL="0" distR="0">
            <wp:extent cx="5943600" cy="3696970"/>
            <wp:effectExtent l="0" t="0" r="0" b="0"/>
            <wp:docPr id="129872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72594" name=""/>
                    <pic:cNvPicPr/>
                  </pic:nvPicPr>
                  <pic:blipFill>
                    <a:blip r:embed="rId15"/>
                    <a:stretch>
                      <a:fillRect/>
                    </a:stretch>
                  </pic:blipFill>
                  <pic:spPr>
                    <a:xfrm>
                      <a:off x="0" y="0"/>
                      <a:ext cx="5943600" cy="3696970"/>
                    </a:xfrm>
                    <a:prstGeom prst="rect">
                      <a:avLst/>
                    </a:prstGeom>
                  </pic:spPr>
                </pic:pic>
              </a:graphicData>
            </a:graphic>
          </wp:inline>
        </w:drawing>
      </w:r>
    </w:p>
    <w:p w:rsidR="001D4CA3" w:rsidRPr="0058405C" w:rsidRDefault="001D4CA3" w:rsidP="001D4CA3">
      <w:pPr>
        <w:spacing w:line="360" w:lineRule="auto"/>
        <w:jc w:val="center"/>
        <w:rPr>
          <w:rFonts w:ascii="Times New Roman" w:hAnsi="Times New Roman" w:cs="Times New Roman"/>
          <w:b/>
          <w:bCs/>
          <w:color w:val="000000" w:themeColor="text1"/>
          <w:sz w:val="24"/>
          <w:szCs w:val="24"/>
        </w:rPr>
      </w:pPr>
      <w:r w:rsidRPr="0058405C">
        <w:rPr>
          <w:rFonts w:ascii="Times New Roman" w:hAnsi="Times New Roman" w:cs="Times New Roman"/>
          <w:b/>
          <w:bCs/>
          <w:color w:val="000000" w:themeColor="text1"/>
          <w:sz w:val="24"/>
          <w:szCs w:val="24"/>
        </w:rPr>
        <w:t>Figure 6: NPV, ARR, PP</w:t>
      </w:r>
    </w:p>
    <w:p w:rsidR="001D4CA3" w:rsidRPr="0058405C" w:rsidRDefault="001D4CA3" w:rsidP="001D4CA3">
      <w:pPr>
        <w:spacing w:line="360" w:lineRule="auto"/>
        <w:jc w:val="center"/>
        <w:rPr>
          <w:rFonts w:ascii="Times New Roman" w:hAnsi="Times New Roman" w:cs="Times New Roman"/>
          <w:color w:val="000000" w:themeColor="text1"/>
          <w:sz w:val="24"/>
          <w:szCs w:val="24"/>
        </w:rPr>
      </w:pPr>
      <w:r w:rsidRPr="0058405C">
        <w:rPr>
          <w:rFonts w:ascii="Times New Roman" w:hAnsi="Times New Roman" w:cs="Times New Roman"/>
          <w:color w:val="000000" w:themeColor="text1"/>
          <w:sz w:val="24"/>
          <w:szCs w:val="24"/>
        </w:rPr>
        <w:t>(Source: Excel)</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Starting from £100, project A has a yearly net inflow of £100, for the first three years and £200 in the fourth. The NPV with the discount rate of 7.5% is £10.29, and the payback period is equal to one year. ARR of the Project A is not revealed. While project A cost £100 at the beginning and generated a cash flow of £1000 at the first year, £-500 at the second, £-100 at the third and £-310 at the fourth. Project B with a 7.5% rate, the NPVI is £84.94 and the payback period will be approximately 4.03 years. The cashflow of the Project B is projected to have an ARR of 22.50%. </w:t>
      </w:r>
    </w:p>
    <w:p w:rsidR="00890783" w:rsidRPr="0058405C" w:rsidRDefault="00254E64"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Evaluation and Recommendation:</w:t>
      </w:r>
    </w:p>
    <w:p w:rsidR="00890783" w:rsidRPr="0058405C" w:rsidRDefault="00254E6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By looking at the NPVs, we can see that Project B has a big higher NPV than Project A, which means project B is more profitable. But on the other hand, Project B has a shorter payback period than Project A. However, it is good to note that the ARR for Project A is not provided, which </w:t>
      </w:r>
      <w:r w:rsidRPr="0058405C">
        <w:rPr>
          <w:rFonts w:ascii="Times New Roman" w:hAnsi="Times New Roman"/>
          <w:color w:val="000000" w:themeColor="text1"/>
          <w:sz w:val="24"/>
        </w:rPr>
        <w:lastRenderedPageBreak/>
        <w:t>makes a coherent comparison tricky. Nevertheless, these two indicators, NPV and payback period, seem Project B to be the current choice (</w:t>
      </w:r>
      <w:proofErr w:type="spellStart"/>
      <w:r w:rsidRPr="0058405C">
        <w:rPr>
          <w:rFonts w:ascii="Times New Roman" w:hAnsi="Times New Roman"/>
          <w:color w:val="000000" w:themeColor="text1"/>
          <w:sz w:val="24"/>
        </w:rPr>
        <w:t>Hacioglu</w:t>
      </w:r>
      <w:proofErr w:type="spellEnd"/>
      <w:r w:rsidRPr="0058405C">
        <w:rPr>
          <w:rFonts w:ascii="Times New Roman" w:hAnsi="Times New Roman"/>
          <w:color w:val="000000" w:themeColor="text1"/>
          <w:sz w:val="24"/>
        </w:rPr>
        <w:t xml:space="preserve"> and Aksoy, 2021).</w:t>
      </w:r>
    </w:p>
    <w:p w:rsidR="00890783" w:rsidRPr="0058405C" w:rsidRDefault="00254E64"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Sensitivity Analysis</w:t>
      </w:r>
    </w:p>
    <w:p w:rsidR="00254E64"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stated by </w:t>
      </w:r>
      <w:proofErr w:type="spellStart"/>
      <w:r w:rsidRPr="0058405C">
        <w:rPr>
          <w:rFonts w:ascii="Times New Roman" w:hAnsi="Times New Roman"/>
          <w:color w:val="000000" w:themeColor="text1"/>
          <w:sz w:val="24"/>
        </w:rPr>
        <w:t>Torelli</w:t>
      </w:r>
      <w:proofErr w:type="spellEnd"/>
      <w:r w:rsidRPr="0058405C">
        <w:rPr>
          <w:rFonts w:ascii="Times New Roman" w:hAnsi="Times New Roman"/>
          <w:color w:val="000000" w:themeColor="text1"/>
          <w:sz w:val="24"/>
        </w:rPr>
        <w:t xml:space="preserve">, </w:t>
      </w:r>
      <w:proofErr w:type="spellStart"/>
      <w:r w:rsidRPr="0058405C">
        <w:rPr>
          <w:rFonts w:ascii="Times New Roman" w:hAnsi="Times New Roman"/>
          <w:color w:val="000000" w:themeColor="text1"/>
          <w:sz w:val="24"/>
        </w:rPr>
        <w:t>Balluchi</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Furlotti</w:t>
      </w:r>
      <w:proofErr w:type="spellEnd"/>
      <w:r w:rsidRPr="0058405C">
        <w:rPr>
          <w:rFonts w:ascii="Times New Roman" w:hAnsi="Times New Roman"/>
          <w:color w:val="000000" w:themeColor="text1"/>
          <w:sz w:val="24"/>
        </w:rPr>
        <w:t xml:space="preserve"> (2020), with reworked start-up money and financial flows, both projects would show resilience. However, the data do not disclose the modifications, making sensitivity analysis problematic. Unfortunately, the data only shows how the discount rate was derived and its rationale. Sensitivity analysis involves modifying the discount rate within a suitable range and monitoring NPV changes. The research will improve by addressing cash flow dynamics with irregular revenues, expenses, and market circumstances.</w:t>
      </w:r>
    </w:p>
    <w:p w:rsidR="00CF0C2F" w:rsidRPr="0058405C" w:rsidRDefault="00CF0C2F"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Risk Considerations:</w:t>
      </w:r>
    </w:p>
    <w:p w:rsidR="00890783"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Risk assessment is crucial to investment decision-making and helps build confidence. Project B has a larger NPV, which may signal bigger return, but also more risk. Project C's negative cash flows in Years 2, 3, and 4 suggest expected cash flow discrepancies. Along with the industry's nature, market competitiveness, regulatory environment, and technological advancement, another risk may need to be addressed (Thomas and Ward, 2019).</w:t>
      </w:r>
    </w:p>
    <w:p w:rsidR="00890783" w:rsidRPr="0058405C" w:rsidRDefault="003F740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Qualitative Factors:</w:t>
      </w:r>
    </w:p>
    <w:p w:rsidR="00890783"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Mochkabadi</w:t>
      </w:r>
      <w:proofErr w:type="spellEnd"/>
      <w:r w:rsidRPr="0058405C">
        <w:rPr>
          <w:rFonts w:ascii="Times New Roman" w:hAnsi="Times New Roman"/>
          <w:color w:val="000000" w:themeColor="text1"/>
          <w:sz w:val="24"/>
        </w:rPr>
        <w:t xml:space="preserve"> and Volkmann (2020), by including qualitative aspects into investment decision-making, one may acquire a broad appraisal. Consider strategic alignment with firm objectives, fit with current resources and competencies, and innovation and differentiation chances. Consider environmental, social, and stakeholder costs. In this case, project B will better fit the company's long-term growth plan or increase synergy.</w:t>
      </w:r>
    </w:p>
    <w:p w:rsidR="00890783" w:rsidRPr="0058405C" w:rsidRDefault="003F740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Long-Term Viability:</w:t>
      </w:r>
    </w:p>
    <w:p w:rsidR="003F7403" w:rsidRPr="0058405C" w:rsidRDefault="00796330"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Mosteanu</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Faccia</w:t>
      </w:r>
      <w:proofErr w:type="spellEnd"/>
      <w:r w:rsidRPr="0058405C">
        <w:rPr>
          <w:rFonts w:ascii="Times New Roman" w:hAnsi="Times New Roman"/>
          <w:color w:val="000000" w:themeColor="text1"/>
          <w:sz w:val="24"/>
        </w:rPr>
        <w:t xml:space="preserve"> (2020), although NPV and payback time measure short-term financial success, long-term feasibility and sustainability of projects must also be considered. A project with a high NPV and fast payback period may not be the ideal option if it contradicts </w:t>
      </w:r>
      <w:r w:rsidRPr="0058405C">
        <w:rPr>
          <w:rFonts w:ascii="Times New Roman" w:hAnsi="Times New Roman"/>
          <w:color w:val="000000" w:themeColor="text1"/>
          <w:sz w:val="24"/>
        </w:rPr>
        <w:lastRenderedPageBreak/>
        <w:t>with the organization's long-term strategic objectives or future profitability. Thus, initiatives must be thoroughly examined for alignment with the company's vision, purpose, and values.</w:t>
      </w:r>
    </w:p>
    <w:p w:rsidR="00890783" w:rsidRPr="0058405C" w:rsidRDefault="003F740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Stakeholder Engagement:</w:t>
      </w:r>
    </w:p>
    <w:p w:rsidR="00890783" w:rsidRPr="0058405C" w:rsidRDefault="003F7403"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According to </w:t>
      </w:r>
      <w:proofErr w:type="spellStart"/>
      <w:r w:rsidRPr="0058405C">
        <w:rPr>
          <w:rFonts w:ascii="Times New Roman" w:hAnsi="Times New Roman"/>
          <w:color w:val="000000" w:themeColor="text1"/>
          <w:sz w:val="24"/>
        </w:rPr>
        <w:t>Hasanudin</w:t>
      </w:r>
      <w:r w:rsidR="00DF6C3D" w:rsidRPr="0058405C">
        <w:rPr>
          <w:rFonts w:ascii="Times New Roman" w:hAnsi="Times New Roman"/>
          <w:i/>
          <w:iCs/>
          <w:color w:val="000000" w:themeColor="text1"/>
          <w:sz w:val="24"/>
        </w:rPr>
        <w:t>et</w:t>
      </w:r>
      <w:proofErr w:type="spellEnd"/>
      <w:r w:rsidR="00DF6C3D" w:rsidRPr="0058405C">
        <w:rPr>
          <w:rFonts w:ascii="Times New Roman" w:hAnsi="Times New Roman"/>
          <w:i/>
          <w:iCs/>
          <w:color w:val="000000" w:themeColor="text1"/>
          <w:sz w:val="24"/>
        </w:rPr>
        <w:t xml:space="preserve"> al</w:t>
      </w:r>
      <w:r w:rsidRPr="0058405C">
        <w:rPr>
          <w:rFonts w:ascii="Times New Roman" w:hAnsi="Times New Roman"/>
          <w:color w:val="000000" w:themeColor="text1"/>
          <w:sz w:val="24"/>
        </w:rPr>
        <w:t>. (2019), engagement of the core stakeholders including investors, employees, customers, and regulators during the decision making adds the essence of transparency, accountability and support. By engaging stakeholders, we ensure that not only different views are taken into account but also possible concerns are solved and decision-making becomes for the good of all stakeholders. Additionally, the skillful communication of investment decisions and their reasoning helps in building trust and confidence in the company's management which strengthens investor's relationships.</w:t>
      </w:r>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Advantages and Shortcomings of Capital Budgeting Techniques</w:t>
      </w:r>
    </w:p>
    <w:p w:rsidR="00890783" w:rsidRPr="0058405C" w:rsidRDefault="000F45C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stated by Kimmel, Weygandt and </w:t>
      </w:r>
      <w:proofErr w:type="spellStart"/>
      <w:r w:rsidRPr="0058405C">
        <w:rPr>
          <w:rFonts w:ascii="Times New Roman" w:hAnsi="Times New Roman"/>
          <w:color w:val="000000" w:themeColor="text1"/>
          <w:sz w:val="24"/>
        </w:rPr>
        <w:t>Kieso</w:t>
      </w:r>
      <w:proofErr w:type="spellEnd"/>
      <w:r w:rsidRPr="0058405C">
        <w:rPr>
          <w:rFonts w:ascii="Times New Roman" w:hAnsi="Times New Roman"/>
          <w:color w:val="000000" w:themeColor="text1"/>
          <w:sz w:val="24"/>
        </w:rPr>
        <w:t xml:space="preserve"> (2020), </w:t>
      </w:r>
      <w:proofErr w:type="spellStart"/>
      <w:r w:rsidRPr="0058405C">
        <w:rPr>
          <w:rFonts w:ascii="Times New Roman" w:hAnsi="Times New Roman"/>
          <w:color w:val="000000" w:themeColor="text1"/>
          <w:sz w:val="24"/>
        </w:rPr>
        <w:t>rOI</w:t>
      </w:r>
      <w:proofErr w:type="spellEnd"/>
      <w:r w:rsidRPr="0058405C">
        <w:rPr>
          <w:rFonts w:ascii="Times New Roman" w:hAnsi="Times New Roman"/>
          <w:color w:val="000000" w:themeColor="text1"/>
          <w:sz w:val="24"/>
        </w:rPr>
        <w:t xml:space="preserve"> measures original investment recovery. Time value of money and cash flows beyond payback period are ignored in the former. The accounting rate of return (ARR) measures the average yearly return on an investment without including the time value of money after the first year. NPV (Net Present Value) uses time value of money to estimate project viability. It must also choose a discount rate and presume correct projections.</w:t>
      </w:r>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Non-Financial Factors for Management Consideration</w:t>
      </w:r>
    </w:p>
    <w:p w:rsidR="000F45C4" w:rsidRPr="0058405C" w:rsidRDefault="000F45C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 xml:space="preserve">As per </w:t>
      </w:r>
      <w:proofErr w:type="spellStart"/>
      <w:r w:rsidRPr="0058405C">
        <w:rPr>
          <w:rFonts w:ascii="Times New Roman" w:hAnsi="Times New Roman"/>
          <w:color w:val="000000" w:themeColor="text1"/>
          <w:sz w:val="24"/>
        </w:rPr>
        <w:t>Mosteanu</w:t>
      </w:r>
      <w:proofErr w:type="spellEnd"/>
      <w:r w:rsidRPr="0058405C">
        <w:rPr>
          <w:rFonts w:ascii="Times New Roman" w:hAnsi="Times New Roman"/>
          <w:color w:val="000000" w:themeColor="text1"/>
          <w:sz w:val="24"/>
        </w:rPr>
        <w:t xml:space="preserve"> and </w:t>
      </w:r>
      <w:proofErr w:type="spellStart"/>
      <w:r w:rsidRPr="0058405C">
        <w:rPr>
          <w:rFonts w:ascii="Times New Roman" w:hAnsi="Times New Roman"/>
          <w:color w:val="000000" w:themeColor="text1"/>
          <w:sz w:val="24"/>
        </w:rPr>
        <w:t>Faccia</w:t>
      </w:r>
      <w:proofErr w:type="spellEnd"/>
      <w:r w:rsidRPr="0058405C">
        <w:rPr>
          <w:rFonts w:ascii="Times New Roman" w:hAnsi="Times New Roman"/>
          <w:color w:val="000000" w:themeColor="text1"/>
          <w:sz w:val="24"/>
        </w:rPr>
        <w:t xml:space="preserve"> (2020), besides financial indicators, management should evaluate investment proposals using non-financial variables. Strategic alignment with firm goals, market demand, breakthrough technology, regulatory compliance, environmental impacts, and social problems may be considered. Failure to recognize these variables may lead to bad investment decisions and threaten long-term sustainability and competitiveness.</w:t>
      </w:r>
    </w:p>
    <w:p w:rsidR="000F45C4" w:rsidRPr="0058405C" w:rsidRDefault="000F45C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resources budgeting approaches include project assessment, enabling organizations rationally spend resources and optimize returns. However, each method has benefits and downsides that the decision-maker must weigh.</w:t>
      </w:r>
    </w:p>
    <w:p w:rsidR="000F45C4" w:rsidRPr="0058405C" w:rsidRDefault="000F45C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lastRenderedPageBreak/>
        <w:t>Payback period shows whether an investment gets paid. Its simplicity and verifiability make it a suitable ROI estimator for small projects or liquidity needs. The PBP technique ignores time value of money. It treats cash flows the same and ignores post-payback cash flows. This constraint may bias project selection as shorter payback periods are emphasized over longer term returns with larger returns (Acheampong, 2019).</w:t>
      </w:r>
    </w:p>
    <w:p w:rsidR="00890783" w:rsidRPr="0058405C" w:rsidRDefault="00890783" w:rsidP="00890783">
      <w:pPr>
        <w:spacing w:line="360" w:lineRule="auto"/>
        <w:jc w:val="both"/>
        <w:rPr>
          <w:rFonts w:ascii="Times New Roman" w:hAnsi="Times New Roman" w:cs="Times New Roman"/>
          <w:b/>
          <w:bCs/>
          <w:color w:val="000000" w:themeColor="text1"/>
          <w:sz w:val="24"/>
          <w:szCs w:val="24"/>
        </w:rPr>
      </w:pPr>
      <w:r w:rsidRPr="0058405C">
        <w:rPr>
          <w:rFonts w:ascii="Times New Roman" w:hAnsi="Times New Roman"/>
          <w:b/>
          <w:bCs/>
          <w:color w:val="000000" w:themeColor="text1"/>
          <w:sz w:val="24"/>
        </w:rPr>
        <w:t>Non-Financial Factors for Management Consideration:</w:t>
      </w:r>
    </w:p>
    <w:p w:rsidR="00890783" w:rsidRPr="0058405C" w:rsidRDefault="000F45C4" w:rsidP="00890783">
      <w:pPr>
        <w:spacing w:line="360" w:lineRule="auto"/>
        <w:jc w:val="both"/>
        <w:rPr>
          <w:rFonts w:ascii="Times New Roman" w:hAnsi="Times New Roman" w:cs="Times New Roman"/>
          <w:color w:val="000000" w:themeColor="text1"/>
          <w:sz w:val="24"/>
          <w:szCs w:val="24"/>
        </w:rPr>
      </w:pPr>
      <w:r w:rsidRPr="0058405C">
        <w:rPr>
          <w:rFonts w:ascii="Times New Roman" w:hAnsi="Times New Roman"/>
          <w:color w:val="000000" w:themeColor="text1"/>
          <w:sz w:val="24"/>
        </w:rPr>
        <w:t>According to Bradshaw, Liao and Ma (2019), management must consider non-financial variables as well as financial measures when assessing investment projects. All of these variables are crucial to the long-term viability of any venture. Strategic alignment of corporate objectives must be two-way as investments must support the firm's purpose and vision. Understanding market demand and customer interests helps identify gaps and stay ahead of competition. These technical advances may also affect investment choices as corporations leverage technology for efficiency and growth.</w:t>
      </w:r>
    </w:p>
    <w:p w:rsidR="00890783" w:rsidRPr="0058405C" w:rsidRDefault="00890783" w:rsidP="00496774">
      <w:pPr>
        <w:pStyle w:val="Heading1"/>
        <w:rPr>
          <w:rFonts w:cs="Times New Roman"/>
          <w:bCs/>
          <w:szCs w:val="24"/>
        </w:rPr>
      </w:pPr>
      <w:bookmarkStart w:id="6" w:name="_Toc164765087"/>
      <w:r w:rsidRPr="0058405C">
        <w:t>Conclusion</w:t>
      </w:r>
      <w:bookmarkEnd w:id="6"/>
    </w:p>
    <w:p w:rsidR="004C029A" w:rsidRPr="0058405C" w:rsidRDefault="00890783" w:rsidP="00890783">
      <w:pPr>
        <w:spacing w:line="360" w:lineRule="auto"/>
        <w:jc w:val="both"/>
        <w:rPr>
          <w:color w:val="000000" w:themeColor="text1"/>
        </w:rPr>
      </w:pPr>
      <w:r w:rsidRPr="0058405C">
        <w:rPr>
          <w:rFonts w:ascii="Times New Roman" w:hAnsi="Times New Roman"/>
          <w:color w:val="000000" w:themeColor="text1"/>
          <w:sz w:val="24"/>
        </w:rPr>
        <w:t xml:space="preserve">In conclusion, Due to its higher NPV and shorter payback time, Project B is the best option financially. However, a thorough review of financial and non-financial aspects will ensure plan alignment and long-term viability. Management should understand the pros and cons of capital budgeting and do sensitivity analysis to compare project firmness to indefiniteness. The balanced approach to investment evaluation helps the firm assess its existing status and future steps to maximize shareholder value and maintain development. NPV and payback time are significant financial measurements of investment project appraisal, but they must be paired with qualitative analysis, risk assessment, and stakeholder input to make a good conclusion. </w:t>
      </w:r>
    </w:p>
    <w:p w:rsidR="00EA6859" w:rsidRPr="0058405C" w:rsidRDefault="0000290C">
      <w:pPr>
        <w:rPr>
          <w:color w:val="000000" w:themeColor="text1"/>
        </w:rPr>
      </w:pPr>
      <w:r w:rsidRPr="0058405C">
        <w:rPr>
          <w:color w:val="000000" w:themeColor="text1"/>
        </w:rPr>
        <w:br w:type="page"/>
      </w:r>
    </w:p>
    <w:p w:rsidR="00EA6859" w:rsidRPr="0058405C" w:rsidRDefault="0000290C" w:rsidP="00496774">
      <w:pPr>
        <w:pStyle w:val="Heading1"/>
      </w:pPr>
      <w:bookmarkStart w:id="7" w:name="_Toc164765088"/>
      <w:r w:rsidRPr="0058405C">
        <w:lastRenderedPageBreak/>
        <w:t>Reference List</w:t>
      </w:r>
      <w:bookmarkEnd w:id="7"/>
    </w:p>
    <w:p w:rsidR="00565865" w:rsidRDefault="00565865">
      <w:pPr>
        <w:spacing w:line="360" w:lineRule="auto"/>
        <w:jc w:val="both"/>
        <w:rPr>
          <w:rFonts w:ascii="Times New Roman" w:hAnsi="Times New Roman"/>
          <w:color w:val="000000" w:themeColor="text1"/>
          <w:sz w:val="24"/>
        </w:rPr>
      </w:pPr>
      <w:r w:rsidRPr="00565865">
        <w:rPr>
          <w:rFonts w:ascii="Times New Roman" w:hAnsi="Times New Roman"/>
          <w:color w:val="000000" w:themeColor="text1"/>
          <w:sz w:val="24"/>
        </w:rPr>
        <w:t>Simons, R., 1994. How new top managers use control systems as levers of strategic renewal. </w:t>
      </w:r>
      <w:r w:rsidRPr="00565865">
        <w:rPr>
          <w:rFonts w:ascii="Times New Roman" w:hAnsi="Times New Roman"/>
          <w:i/>
          <w:iCs/>
          <w:color w:val="000000" w:themeColor="text1"/>
          <w:sz w:val="24"/>
        </w:rPr>
        <w:t>Strategic management journal</w:t>
      </w:r>
      <w:r w:rsidRPr="00565865">
        <w:rPr>
          <w:rFonts w:ascii="Times New Roman" w:hAnsi="Times New Roman"/>
          <w:color w:val="000000" w:themeColor="text1"/>
          <w:sz w:val="24"/>
        </w:rPr>
        <w:t>, </w:t>
      </w:r>
      <w:r w:rsidRPr="00565865">
        <w:rPr>
          <w:rFonts w:ascii="Times New Roman" w:hAnsi="Times New Roman"/>
          <w:i/>
          <w:iCs/>
          <w:color w:val="000000" w:themeColor="text1"/>
          <w:sz w:val="24"/>
        </w:rPr>
        <w:t>15</w:t>
      </w:r>
      <w:r w:rsidRPr="00565865">
        <w:rPr>
          <w:rFonts w:ascii="Times New Roman" w:hAnsi="Times New Roman"/>
          <w:color w:val="000000" w:themeColor="text1"/>
          <w:sz w:val="24"/>
        </w:rPr>
        <w:t>(3), pp.169-189.</w:t>
      </w:r>
    </w:p>
    <w:p w:rsidR="002E181B"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Acheampong, A.O., 2019. </w:t>
      </w:r>
      <w:r w:rsidRPr="0058405C">
        <w:rPr>
          <w:rFonts w:ascii="Times New Roman" w:hAnsi="Times New Roman"/>
          <w:i/>
          <w:color w:val="000000" w:themeColor="text1"/>
          <w:sz w:val="24"/>
        </w:rPr>
        <w:t xml:space="preserve">Modelling for insight: does financial development improve environmental </w:t>
      </w:r>
      <w:proofErr w:type="gramStart"/>
      <w:r w:rsidRPr="0058405C">
        <w:rPr>
          <w:rFonts w:ascii="Times New Roman" w:hAnsi="Times New Roman"/>
          <w:i/>
          <w:color w:val="000000" w:themeColor="text1"/>
          <w:sz w:val="24"/>
        </w:rPr>
        <w:t>quality?</w:t>
      </w:r>
      <w:r w:rsidRPr="0058405C">
        <w:rPr>
          <w:rFonts w:ascii="Times New Roman" w:hAnsi="Times New Roman"/>
          <w:color w:val="000000" w:themeColor="text1"/>
          <w:sz w:val="24"/>
        </w:rPr>
        <w:t>.</w:t>
      </w:r>
      <w:proofErr w:type="gramEnd"/>
      <w:r w:rsidRPr="0058405C">
        <w:rPr>
          <w:rFonts w:ascii="Times New Roman" w:hAnsi="Times New Roman"/>
          <w:color w:val="000000" w:themeColor="text1"/>
          <w:sz w:val="24"/>
        </w:rPr>
        <w:t> Energy Economics, 83, pp.156-179.</w:t>
      </w:r>
    </w:p>
    <w:p w:rsidR="00565865" w:rsidRDefault="00565865">
      <w:pPr>
        <w:spacing w:line="360" w:lineRule="auto"/>
        <w:jc w:val="both"/>
        <w:rPr>
          <w:rFonts w:ascii="Times New Roman" w:hAnsi="Times New Roman"/>
          <w:color w:val="000000" w:themeColor="text1"/>
          <w:sz w:val="24"/>
        </w:rPr>
      </w:pPr>
      <w:proofErr w:type="spellStart"/>
      <w:r w:rsidRPr="00565865">
        <w:rPr>
          <w:rFonts w:ascii="Times New Roman" w:hAnsi="Times New Roman"/>
          <w:color w:val="000000" w:themeColor="text1"/>
          <w:sz w:val="24"/>
        </w:rPr>
        <w:t>Catalão</w:t>
      </w:r>
      <w:proofErr w:type="spellEnd"/>
      <w:r w:rsidRPr="00565865">
        <w:rPr>
          <w:rFonts w:ascii="Times New Roman" w:hAnsi="Times New Roman"/>
          <w:color w:val="000000" w:themeColor="text1"/>
          <w:sz w:val="24"/>
        </w:rPr>
        <w:t>, I.D.P., 2022. </w:t>
      </w:r>
      <w:r w:rsidRPr="00565865">
        <w:rPr>
          <w:rFonts w:ascii="Times New Roman" w:hAnsi="Times New Roman"/>
          <w:i/>
          <w:iCs/>
          <w:color w:val="000000" w:themeColor="text1"/>
          <w:sz w:val="24"/>
        </w:rPr>
        <w:t>Equity research-Tesco PLC</w:t>
      </w:r>
      <w:r w:rsidRPr="00565865">
        <w:rPr>
          <w:rFonts w:ascii="Times New Roman" w:hAnsi="Times New Roman"/>
          <w:color w:val="000000" w:themeColor="text1"/>
          <w:sz w:val="24"/>
        </w:rPr>
        <w:t xml:space="preserve"> (Doctoral dissertation, Instituto Superior de Economia e </w:t>
      </w:r>
      <w:proofErr w:type="spellStart"/>
      <w:r w:rsidRPr="00565865">
        <w:rPr>
          <w:rFonts w:ascii="Times New Roman" w:hAnsi="Times New Roman"/>
          <w:color w:val="000000" w:themeColor="text1"/>
          <w:sz w:val="24"/>
        </w:rPr>
        <w:t>Gestão</w:t>
      </w:r>
      <w:proofErr w:type="spellEnd"/>
      <w:r w:rsidRPr="00565865">
        <w:rPr>
          <w:rFonts w:ascii="Times New Roman" w:hAnsi="Times New Roman"/>
          <w:color w:val="000000" w:themeColor="text1"/>
          <w:sz w:val="24"/>
        </w:rPr>
        <w:t>).</w:t>
      </w:r>
    </w:p>
    <w:p w:rsidR="00565865" w:rsidRPr="0058405C" w:rsidRDefault="00565865">
      <w:pPr>
        <w:spacing w:line="360" w:lineRule="auto"/>
        <w:jc w:val="both"/>
        <w:rPr>
          <w:rFonts w:ascii="Times New Roman" w:hAnsi="Times New Roman"/>
          <w:color w:val="000000" w:themeColor="text1"/>
          <w:sz w:val="24"/>
        </w:rPr>
      </w:pPr>
      <w:r w:rsidRPr="00565865">
        <w:rPr>
          <w:rFonts w:ascii="Times New Roman" w:hAnsi="Times New Roman"/>
          <w:color w:val="000000" w:themeColor="text1"/>
          <w:sz w:val="24"/>
        </w:rPr>
        <w:t>Watson, R.T., 2023. Electronic commerce: The strategic perspective.</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Auten</w:t>
      </w:r>
      <w:proofErr w:type="spellEnd"/>
      <w:r w:rsidRPr="0058405C">
        <w:rPr>
          <w:rFonts w:ascii="Times New Roman" w:hAnsi="Times New Roman"/>
          <w:color w:val="000000" w:themeColor="text1"/>
          <w:sz w:val="24"/>
        </w:rPr>
        <w:t>, G. and Splinter, D., 2019. Income inequality in the United States: Using tax data to measure long-term trends.</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Berry, A., 2019. </w:t>
      </w:r>
      <w:r w:rsidRPr="0058405C">
        <w:rPr>
          <w:rFonts w:ascii="Times New Roman" w:hAnsi="Times New Roman"/>
          <w:i/>
          <w:color w:val="000000" w:themeColor="text1"/>
          <w:sz w:val="24"/>
        </w:rPr>
        <w:t>The distributional effects of a carbon tax and its impact on fuel poverty: A microsimulation study in the French context</w:t>
      </w:r>
      <w:r w:rsidRPr="0058405C">
        <w:rPr>
          <w:rFonts w:ascii="Times New Roman" w:hAnsi="Times New Roman"/>
          <w:color w:val="000000" w:themeColor="text1"/>
          <w:sz w:val="24"/>
        </w:rPr>
        <w:t>. Energy Policy, 124, pp.81-94.</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Bradshaw, M., Liao, G. and Ma, M.S., 2019. </w:t>
      </w:r>
      <w:r w:rsidRPr="0058405C">
        <w:rPr>
          <w:rFonts w:ascii="Times New Roman" w:hAnsi="Times New Roman"/>
          <w:i/>
          <w:color w:val="000000" w:themeColor="text1"/>
          <w:sz w:val="24"/>
        </w:rPr>
        <w:t>Agency costs and tax planning when the government is a major shareholder</w:t>
      </w:r>
      <w:r w:rsidRPr="0058405C">
        <w:rPr>
          <w:rFonts w:ascii="Times New Roman" w:hAnsi="Times New Roman"/>
          <w:color w:val="000000" w:themeColor="text1"/>
          <w:sz w:val="24"/>
        </w:rPr>
        <w:t>. Journal of Accounting and Economics, 67(2-3), pp.255-277.</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Cochrane, J.H., 2023. </w:t>
      </w:r>
      <w:r w:rsidRPr="0058405C">
        <w:rPr>
          <w:rFonts w:ascii="Times New Roman" w:hAnsi="Times New Roman"/>
          <w:i/>
          <w:color w:val="000000" w:themeColor="text1"/>
          <w:sz w:val="24"/>
        </w:rPr>
        <w:t>The fiscal theory of the price level</w:t>
      </w:r>
      <w:r w:rsidRPr="0058405C">
        <w:rPr>
          <w:rFonts w:ascii="Times New Roman" w:hAnsi="Times New Roman"/>
          <w:color w:val="000000" w:themeColor="text1"/>
          <w:sz w:val="24"/>
        </w:rPr>
        <w:t>. Princeton University Press.</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Coram, P.J. and Wang, L., 2021. The effect of disclosing key audit matters and accounting standard precision on the audit expectation gap. International Journal of Auditing, 25(2), pp.270-282.</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Demir, A., </w:t>
      </w:r>
      <w:proofErr w:type="spellStart"/>
      <w:r w:rsidRPr="0058405C">
        <w:rPr>
          <w:rFonts w:ascii="Times New Roman" w:hAnsi="Times New Roman"/>
          <w:color w:val="000000" w:themeColor="text1"/>
          <w:sz w:val="24"/>
        </w:rPr>
        <w:t>Pesqué-Cela</w:t>
      </w:r>
      <w:proofErr w:type="spellEnd"/>
      <w:r w:rsidRPr="0058405C">
        <w:rPr>
          <w:rFonts w:ascii="Times New Roman" w:hAnsi="Times New Roman"/>
          <w:color w:val="000000" w:themeColor="text1"/>
          <w:sz w:val="24"/>
        </w:rPr>
        <w:t xml:space="preserve">, V., </w:t>
      </w:r>
      <w:proofErr w:type="spellStart"/>
      <w:r w:rsidRPr="0058405C">
        <w:rPr>
          <w:rFonts w:ascii="Times New Roman" w:hAnsi="Times New Roman"/>
          <w:color w:val="000000" w:themeColor="text1"/>
          <w:sz w:val="24"/>
        </w:rPr>
        <w:t>Altunbas</w:t>
      </w:r>
      <w:proofErr w:type="spellEnd"/>
      <w:r w:rsidRPr="0058405C">
        <w:rPr>
          <w:rFonts w:ascii="Times New Roman" w:hAnsi="Times New Roman"/>
          <w:color w:val="000000" w:themeColor="text1"/>
          <w:sz w:val="24"/>
        </w:rPr>
        <w:t xml:space="preserve">, Y. and </w:t>
      </w:r>
      <w:proofErr w:type="spellStart"/>
      <w:r w:rsidRPr="0058405C">
        <w:rPr>
          <w:rFonts w:ascii="Times New Roman" w:hAnsi="Times New Roman"/>
          <w:color w:val="000000" w:themeColor="text1"/>
          <w:sz w:val="24"/>
        </w:rPr>
        <w:t>Murinde</w:t>
      </w:r>
      <w:proofErr w:type="spellEnd"/>
      <w:r w:rsidRPr="0058405C">
        <w:rPr>
          <w:rFonts w:ascii="Times New Roman" w:hAnsi="Times New Roman"/>
          <w:color w:val="000000" w:themeColor="text1"/>
          <w:sz w:val="24"/>
        </w:rPr>
        <w:t xml:space="preserve">, V., 2022. </w:t>
      </w:r>
      <w:r w:rsidRPr="0058405C">
        <w:rPr>
          <w:rFonts w:ascii="Times New Roman" w:hAnsi="Times New Roman"/>
          <w:i/>
          <w:color w:val="000000" w:themeColor="text1"/>
          <w:sz w:val="24"/>
        </w:rPr>
        <w:t>Fintech, financial inclusion and income inequality: a quantile regression approach</w:t>
      </w:r>
      <w:r w:rsidRPr="0058405C">
        <w:rPr>
          <w:rFonts w:ascii="Times New Roman" w:hAnsi="Times New Roman"/>
          <w:color w:val="000000" w:themeColor="text1"/>
          <w:sz w:val="24"/>
        </w:rPr>
        <w:t>. The European Journal of Finance, 28(1), pp.86-107.</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Dyball</w:t>
      </w:r>
      <w:proofErr w:type="spellEnd"/>
      <w:r w:rsidRPr="0058405C">
        <w:rPr>
          <w:rFonts w:ascii="Times New Roman" w:hAnsi="Times New Roman"/>
          <w:color w:val="000000" w:themeColor="text1"/>
          <w:sz w:val="24"/>
        </w:rPr>
        <w:t xml:space="preserve">, M.C. and </w:t>
      </w:r>
      <w:proofErr w:type="spellStart"/>
      <w:r w:rsidRPr="0058405C">
        <w:rPr>
          <w:rFonts w:ascii="Times New Roman" w:hAnsi="Times New Roman"/>
          <w:color w:val="000000" w:themeColor="text1"/>
          <w:sz w:val="24"/>
        </w:rPr>
        <w:t>Seethamraju</w:t>
      </w:r>
      <w:proofErr w:type="spellEnd"/>
      <w:r w:rsidRPr="0058405C">
        <w:rPr>
          <w:rFonts w:ascii="Times New Roman" w:hAnsi="Times New Roman"/>
          <w:color w:val="000000" w:themeColor="text1"/>
          <w:sz w:val="24"/>
        </w:rPr>
        <w:t>, R., 2022. Client use of blockchain technology: exploring its (potential) impact on financial statement audits of Australian accounting firms. Accounting, Auditing &amp; Accountability Journal, 35(7), pp.1656-1684.</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lastRenderedPageBreak/>
        <w:t>Eun</w:t>
      </w:r>
      <w:proofErr w:type="spellEnd"/>
      <w:r w:rsidRPr="0058405C">
        <w:rPr>
          <w:rFonts w:ascii="Times New Roman" w:hAnsi="Times New Roman"/>
          <w:color w:val="000000" w:themeColor="text1"/>
          <w:sz w:val="24"/>
        </w:rPr>
        <w:t xml:space="preserve">, C.S., Resnick, B.G. and </w:t>
      </w:r>
      <w:proofErr w:type="spellStart"/>
      <w:r w:rsidRPr="0058405C">
        <w:rPr>
          <w:rFonts w:ascii="Times New Roman" w:hAnsi="Times New Roman"/>
          <w:color w:val="000000" w:themeColor="text1"/>
          <w:sz w:val="24"/>
        </w:rPr>
        <w:t>Chuluun</w:t>
      </w:r>
      <w:proofErr w:type="spellEnd"/>
      <w:r w:rsidRPr="0058405C">
        <w:rPr>
          <w:rFonts w:ascii="Times New Roman" w:hAnsi="Times New Roman"/>
          <w:color w:val="000000" w:themeColor="text1"/>
          <w:sz w:val="24"/>
        </w:rPr>
        <w:t>, T., 2021. </w:t>
      </w:r>
      <w:r w:rsidRPr="0058405C">
        <w:rPr>
          <w:rFonts w:ascii="Times New Roman" w:hAnsi="Times New Roman"/>
          <w:i/>
          <w:color w:val="000000" w:themeColor="text1"/>
          <w:sz w:val="24"/>
        </w:rPr>
        <w:t>International financial management</w:t>
      </w:r>
      <w:r w:rsidRPr="0058405C">
        <w:rPr>
          <w:rFonts w:ascii="Times New Roman" w:hAnsi="Times New Roman"/>
          <w:color w:val="000000" w:themeColor="text1"/>
          <w:sz w:val="24"/>
        </w:rPr>
        <w:t>. McGraw-Hill.</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Faulkender</w:t>
      </w:r>
      <w:proofErr w:type="spellEnd"/>
      <w:r w:rsidRPr="0058405C">
        <w:rPr>
          <w:rFonts w:ascii="Times New Roman" w:hAnsi="Times New Roman"/>
          <w:color w:val="000000" w:themeColor="text1"/>
          <w:sz w:val="24"/>
        </w:rPr>
        <w:t xml:space="preserve">, M.W., Hankins, K.W. and Petersen, M.A., 2019. </w:t>
      </w:r>
      <w:r w:rsidRPr="0058405C">
        <w:rPr>
          <w:rFonts w:ascii="Times New Roman" w:hAnsi="Times New Roman"/>
          <w:i/>
          <w:color w:val="000000" w:themeColor="text1"/>
          <w:sz w:val="24"/>
        </w:rPr>
        <w:t>Understanding the rise in corporate cash: Precautionary savings or foreign taxes</w:t>
      </w:r>
      <w:r w:rsidRPr="0058405C">
        <w:rPr>
          <w:rFonts w:ascii="Times New Roman" w:hAnsi="Times New Roman"/>
          <w:color w:val="000000" w:themeColor="text1"/>
          <w:sz w:val="24"/>
        </w:rPr>
        <w:t>. The Review of Financial Studies, 32(9), pp.3299-3334.</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Hacioglu</w:t>
      </w:r>
      <w:proofErr w:type="spellEnd"/>
      <w:r w:rsidRPr="0058405C">
        <w:rPr>
          <w:rFonts w:ascii="Times New Roman" w:hAnsi="Times New Roman"/>
          <w:color w:val="000000" w:themeColor="text1"/>
          <w:sz w:val="24"/>
        </w:rPr>
        <w:t>, U. and Aksoy, T. eds., 2021. </w:t>
      </w:r>
      <w:r w:rsidRPr="0058405C">
        <w:rPr>
          <w:rFonts w:ascii="Times New Roman" w:hAnsi="Times New Roman"/>
          <w:i/>
          <w:color w:val="000000" w:themeColor="text1"/>
          <w:sz w:val="24"/>
        </w:rPr>
        <w:t>Financial Ecosystem and Strategy in the Digital Era</w:t>
      </w:r>
      <w:r w:rsidRPr="0058405C">
        <w:rPr>
          <w:rFonts w:ascii="Times New Roman" w:hAnsi="Times New Roman"/>
          <w:color w:val="000000" w:themeColor="text1"/>
          <w:sz w:val="24"/>
        </w:rPr>
        <w:t>: Global Approaches and New Opportunities. Springer Nature.</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Hasanudin</w:t>
      </w:r>
      <w:proofErr w:type="spellEnd"/>
      <w:r w:rsidRPr="0058405C">
        <w:rPr>
          <w:rFonts w:ascii="Times New Roman" w:hAnsi="Times New Roman"/>
          <w:color w:val="000000" w:themeColor="text1"/>
          <w:sz w:val="24"/>
        </w:rPr>
        <w:t xml:space="preserve">, M., </w:t>
      </w:r>
      <w:proofErr w:type="spellStart"/>
      <w:r w:rsidRPr="0058405C">
        <w:rPr>
          <w:rFonts w:ascii="Times New Roman" w:hAnsi="Times New Roman"/>
          <w:color w:val="000000" w:themeColor="text1"/>
          <w:sz w:val="24"/>
        </w:rPr>
        <w:t>Pinandhito</w:t>
      </w:r>
      <w:proofErr w:type="spellEnd"/>
      <w:r w:rsidRPr="0058405C">
        <w:rPr>
          <w:rFonts w:ascii="Times New Roman" w:hAnsi="Times New Roman"/>
          <w:color w:val="000000" w:themeColor="text1"/>
          <w:sz w:val="24"/>
        </w:rPr>
        <w:t xml:space="preserve">, K., </w:t>
      </w:r>
      <w:proofErr w:type="spellStart"/>
      <w:r w:rsidRPr="0058405C">
        <w:rPr>
          <w:rFonts w:ascii="Times New Roman" w:hAnsi="Times New Roman"/>
          <w:color w:val="000000" w:themeColor="text1"/>
          <w:sz w:val="24"/>
        </w:rPr>
        <w:t>Karyanti</w:t>
      </w:r>
      <w:proofErr w:type="spellEnd"/>
      <w:r w:rsidRPr="0058405C">
        <w:rPr>
          <w:rFonts w:ascii="Times New Roman" w:hAnsi="Times New Roman"/>
          <w:color w:val="000000" w:themeColor="text1"/>
          <w:sz w:val="24"/>
        </w:rPr>
        <w:t xml:space="preserve">, T.D. and </w:t>
      </w:r>
      <w:proofErr w:type="spellStart"/>
      <w:r w:rsidRPr="0058405C">
        <w:rPr>
          <w:rFonts w:ascii="Times New Roman" w:hAnsi="Times New Roman"/>
          <w:color w:val="000000" w:themeColor="text1"/>
          <w:sz w:val="24"/>
        </w:rPr>
        <w:t>Widyarti</w:t>
      </w:r>
      <w:proofErr w:type="spellEnd"/>
      <w:r w:rsidRPr="0058405C">
        <w:rPr>
          <w:rFonts w:ascii="Times New Roman" w:hAnsi="Times New Roman"/>
          <w:color w:val="000000" w:themeColor="text1"/>
          <w:sz w:val="24"/>
        </w:rPr>
        <w:t xml:space="preserve">, M.T.H., 2023, September. </w:t>
      </w:r>
      <w:r w:rsidRPr="0058405C">
        <w:rPr>
          <w:rFonts w:ascii="Times New Roman" w:hAnsi="Times New Roman"/>
          <w:i/>
          <w:color w:val="000000" w:themeColor="text1"/>
          <w:sz w:val="24"/>
        </w:rPr>
        <w:t>Development of Risk Management Model in Managerial Accounting Bachelor of Applied Science Study Program</w:t>
      </w:r>
      <w:r w:rsidRPr="0058405C">
        <w:rPr>
          <w:rFonts w:ascii="Times New Roman" w:hAnsi="Times New Roman"/>
          <w:color w:val="000000" w:themeColor="text1"/>
          <w:sz w:val="24"/>
        </w:rPr>
        <w:t>. In Fourth International Conference on Administrative Science (ICAS 2022) (pp. 557-580). Atlantis Press.</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Hassan, O.A. and Marston, C., 2019. Corporate financial disclosure measurement in the empirical accounting literature: A review article. The International Journal of Accounting, 54(02), p.1950006.</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Hugo, J., </w:t>
      </w:r>
      <w:proofErr w:type="spellStart"/>
      <w:r w:rsidRPr="0058405C">
        <w:rPr>
          <w:rFonts w:ascii="Times New Roman" w:hAnsi="Times New Roman"/>
          <w:color w:val="000000" w:themeColor="text1"/>
          <w:sz w:val="24"/>
        </w:rPr>
        <w:t>Sauerman</w:t>
      </w:r>
      <w:proofErr w:type="spellEnd"/>
      <w:r w:rsidRPr="0058405C">
        <w:rPr>
          <w:rFonts w:ascii="Times New Roman" w:hAnsi="Times New Roman"/>
          <w:color w:val="000000" w:themeColor="text1"/>
          <w:sz w:val="24"/>
        </w:rPr>
        <w:t xml:space="preserve">, R., Schutte, H., Schutte, D. and Van </w:t>
      </w:r>
      <w:proofErr w:type="spellStart"/>
      <w:r w:rsidRPr="0058405C">
        <w:rPr>
          <w:rFonts w:ascii="Times New Roman" w:hAnsi="Times New Roman"/>
          <w:color w:val="000000" w:themeColor="text1"/>
          <w:sz w:val="24"/>
        </w:rPr>
        <w:t>Eeden</w:t>
      </w:r>
      <w:proofErr w:type="spellEnd"/>
      <w:r w:rsidRPr="0058405C">
        <w:rPr>
          <w:rFonts w:ascii="Times New Roman" w:hAnsi="Times New Roman"/>
          <w:color w:val="000000" w:themeColor="text1"/>
          <w:sz w:val="24"/>
        </w:rPr>
        <w:t xml:space="preserve">, E., 2019. </w:t>
      </w:r>
      <w:r w:rsidRPr="0058405C">
        <w:rPr>
          <w:rFonts w:ascii="Times New Roman" w:hAnsi="Times New Roman"/>
          <w:i/>
          <w:color w:val="000000" w:themeColor="text1"/>
          <w:sz w:val="24"/>
        </w:rPr>
        <w:t>Managing a culturally diverse workforce: A managerial accountant perspective</w:t>
      </w:r>
      <w:r w:rsidRPr="0058405C">
        <w:rPr>
          <w:rFonts w:ascii="Times New Roman" w:hAnsi="Times New Roman"/>
          <w:color w:val="000000" w:themeColor="text1"/>
          <w:sz w:val="24"/>
        </w:rPr>
        <w:t>. International Journal of Management Excellence (ISSN: 2292-1648), 13(2), pp.1904-1909.</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Kimmel, P.D., Weygandt, J.J. and </w:t>
      </w:r>
      <w:proofErr w:type="spellStart"/>
      <w:r w:rsidRPr="0058405C">
        <w:rPr>
          <w:rFonts w:ascii="Times New Roman" w:hAnsi="Times New Roman"/>
          <w:color w:val="000000" w:themeColor="text1"/>
          <w:sz w:val="24"/>
        </w:rPr>
        <w:t>Kieso</w:t>
      </w:r>
      <w:proofErr w:type="spellEnd"/>
      <w:r w:rsidRPr="0058405C">
        <w:rPr>
          <w:rFonts w:ascii="Times New Roman" w:hAnsi="Times New Roman"/>
          <w:color w:val="000000" w:themeColor="text1"/>
          <w:sz w:val="24"/>
        </w:rPr>
        <w:t>, D.E., 2020. Financial accounting: tools for business decision-making. John Wiley &amp; Sons.</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Leonard, I.A., 2022. Books of the Brave: Being an Account of Books and of Men in the Spanish Conquest and Settlement of the Sixteenth-century New World. Univ of California Press.</w:t>
      </w:r>
    </w:p>
    <w:p w:rsidR="002E181B" w:rsidRPr="0058405C" w:rsidRDefault="002E181B" w:rsidP="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Meng, S., 2024. Operation Management of Grocery Retailer in the UK: A Case of Tesco. </w:t>
      </w:r>
      <w:r w:rsidRPr="0058405C">
        <w:rPr>
          <w:rFonts w:ascii="Times New Roman" w:hAnsi="Times New Roman"/>
          <w:i/>
          <w:iCs/>
          <w:color w:val="000000" w:themeColor="text1"/>
          <w:sz w:val="24"/>
        </w:rPr>
        <w:t>Pacific International Journal</w:t>
      </w:r>
      <w:r w:rsidRPr="0058405C">
        <w:rPr>
          <w:rFonts w:ascii="Times New Roman" w:hAnsi="Times New Roman"/>
          <w:color w:val="000000" w:themeColor="text1"/>
          <w:sz w:val="24"/>
        </w:rPr>
        <w:t>, </w:t>
      </w:r>
      <w:r w:rsidRPr="0058405C">
        <w:rPr>
          <w:rFonts w:ascii="Times New Roman" w:hAnsi="Times New Roman"/>
          <w:i/>
          <w:iCs/>
          <w:color w:val="000000" w:themeColor="text1"/>
          <w:sz w:val="24"/>
        </w:rPr>
        <w:t>7</w:t>
      </w:r>
      <w:r w:rsidRPr="0058405C">
        <w:rPr>
          <w:rFonts w:ascii="Times New Roman" w:hAnsi="Times New Roman"/>
          <w:color w:val="000000" w:themeColor="text1"/>
          <w:sz w:val="24"/>
        </w:rPr>
        <w:t>(2), pp.136-142.</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Menkhoff</w:t>
      </w:r>
      <w:proofErr w:type="spellEnd"/>
      <w:r w:rsidRPr="0058405C">
        <w:rPr>
          <w:rFonts w:ascii="Times New Roman" w:hAnsi="Times New Roman"/>
          <w:color w:val="000000" w:themeColor="text1"/>
          <w:sz w:val="24"/>
        </w:rPr>
        <w:t xml:space="preserve">, L. and </w:t>
      </w:r>
      <w:proofErr w:type="spellStart"/>
      <w:r w:rsidRPr="0058405C">
        <w:rPr>
          <w:rFonts w:ascii="Times New Roman" w:hAnsi="Times New Roman"/>
          <w:color w:val="000000" w:themeColor="text1"/>
          <w:sz w:val="24"/>
        </w:rPr>
        <w:t>Miethe</w:t>
      </w:r>
      <w:proofErr w:type="spellEnd"/>
      <w:r w:rsidRPr="0058405C">
        <w:rPr>
          <w:rFonts w:ascii="Times New Roman" w:hAnsi="Times New Roman"/>
          <w:color w:val="000000" w:themeColor="text1"/>
          <w:sz w:val="24"/>
        </w:rPr>
        <w:t xml:space="preserve">, J., 2019. </w:t>
      </w:r>
      <w:r w:rsidRPr="0058405C">
        <w:rPr>
          <w:rFonts w:ascii="Times New Roman" w:hAnsi="Times New Roman"/>
          <w:i/>
          <w:color w:val="000000" w:themeColor="text1"/>
          <w:sz w:val="24"/>
        </w:rPr>
        <w:t>Tax evasion in new disguise? Examining tax havens' international bank deposits</w:t>
      </w:r>
      <w:r w:rsidRPr="0058405C">
        <w:rPr>
          <w:rFonts w:ascii="Times New Roman" w:hAnsi="Times New Roman"/>
          <w:color w:val="000000" w:themeColor="text1"/>
          <w:sz w:val="24"/>
        </w:rPr>
        <w:t>. Journal of Public Economics, 176, pp.53-78.</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lastRenderedPageBreak/>
        <w:t>Mochkabadi</w:t>
      </w:r>
      <w:proofErr w:type="spellEnd"/>
      <w:r w:rsidRPr="0058405C">
        <w:rPr>
          <w:rFonts w:ascii="Times New Roman" w:hAnsi="Times New Roman"/>
          <w:color w:val="000000" w:themeColor="text1"/>
          <w:sz w:val="24"/>
        </w:rPr>
        <w:t xml:space="preserve">, K. and Volkmann, C.K., 2020. </w:t>
      </w:r>
      <w:r w:rsidRPr="0058405C">
        <w:rPr>
          <w:rFonts w:ascii="Times New Roman" w:hAnsi="Times New Roman"/>
          <w:i/>
          <w:color w:val="000000" w:themeColor="text1"/>
          <w:sz w:val="24"/>
        </w:rPr>
        <w:t>Equity crowdfunding: a systematic review of the literature</w:t>
      </w:r>
      <w:r w:rsidRPr="0058405C">
        <w:rPr>
          <w:rFonts w:ascii="Times New Roman" w:hAnsi="Times New Roman"/>
          <w:color w:val="000000" w:themeColor="text1"/>
          <w:sz w:val="24"/>
        </w:rPr>
        <w:t>. Small Business Economics, 54, pp.75-118.</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Mosteanu</w:t>
      </w:r>
      <w:proofErr w:type="spellEnd"/>
      <w:r w:rsidRPr="0058405C">
        <w:rPr>
          <w:rFonts w:ascii="Times New Roman" w:hAnsi="Times New Roman"/>
          <w:color w:val="000000" w:themeColor="text1"/>
          <w:sz w:val="24"/>
        </w:rPr>
        <w:t xml:space="preserve">, N.R. and </w:t>
      </w:r>
      <w:proofErr w:type="spellStart"/>
      <w:r w:rsidRPr="0058405C">
        <w:rPr>
          <w:rFonts w:ascii="Times New Roman" w:hAnsi="Times New Roman"/>
          <w:color w:val="000000" w:themeColor="text1"/>
          <w:sz w:val="24"/>
        </w:rPr>
        <w:t>Faccia</w:t>
      </w:r>
      <w:proofErr w:type="spellEnd"/>
      <w:r w:rsidRPr="0058405C">
        <w:rPr>
          <w:rFonts w:ascii="Times New Roman" w:hAnsi="Times New Roman"/>
          <w:color w:val="000000" w:themeColor="text1"/>
          <w:sz w:val="24"/>
        </w:rPr>
        <w:t>, A., 2020. Digital systems and new challenges of financial management–FinTech, XBRL, blockchain and cryptocurrencies. Quality–Access to Success, 21(174), pp.159-166.</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Schroeder, R.G., Clark, M.W. and Cathey, J.M., 2022. </w:t>
      </w:r>
      <w:r w:rsidRPr="0058405C">
        <w:rPr>
          <w:rFonts w:ascii="Times New Roman" w:hAnsi="Times New Roman"/>
          <w:i/>
          <w:color w:val="000000" w:themeColor="text1"/>
          <w:sz w:val="24"/>
        </w:rPr>
        <w:t>Financial accounting theory and analysis: text and cases</w:t>
      </w:r>
      <w:r w:rsidRPr="0058405C">
        <w:rPr>
          <w:rFonts w:ascii="Times New Roman" w:hAnsi="Times New Roman"/>
          <w:color w:val="000000" w:themeColor="text1"/>
          <w:sz w:val="24"/>
        </w:rPr>
        <w:t>. John Wiley &amp; Sons.</w:t>
      </w:r>
    </w:p>
    <w:p w:rsidR="002E181B" w:rsidRPr="0058405C" w:rsidRDefault="002E181B">
      <w:pPr>
        <w:spacing w:line="360" w:lineRule="auto"/>
        <w:jc w:val="both"/>
        <w:rPr>
          <w:rFonts w:ascii="Times New Roman" w:hAnsi="Times New Roman"/>
          <w:color w:val="000000" w:themeColor="text1"/>
          <w:sz w:val="24"/>
        </w:rPr>
      </w:pPr>
      <w:proofErr w:type="spellStart"/>
      <w:r w:rsidRPr="0058405C">
        <w:rPr>
          <w:rFonts w:ascii="Times New Roman" w:hAnsi="Times New Roman"/>
          <w:color w:val="000000" w:themeColor="text1"/>
          <w:sz w:val="24"/>
        </w:rPr>
        <w:t>Secinaro</w:t>
      </w:r>
      <w:proofErr w:type="spellEnd"/>
      <w:r w:rsidRPr="0058405C">
        <w:rPr>
          <w:rFonts w:ascii="Times New Roman" w:hAnsi="Times New Roman"/>
          <w:color w:val="000000" w:themeColor="text1"/>
          <w:sz w:val="24"/>
        </w:rPr>
        <w:t>, S., Dal Mas, F., Brescia, V. and Calandra, D., 2021. Blockchain in the accounting, auditing and accountability fields: a bibliometric and coding analysis. Accounting, Auditing &amp; Accountability Journal, 35(9), pp.168-203.</w:t>
      </w:r>
    </w:p>
    <w:p w:rsidR="002E181B" w:rsidRPr="0058405C" w:rsidRDefault="002E181B">
      <w:pPr>
        <w:spacing w:line="360" w:lineRule="auto"/>
        <w:jc w:val="both"/>
        <w:rPr>
          <w:rFonts w:ascii="Times New Roman" w:hAnsi="Times New Roman"/>
          <w:color w:val="000000" w:themeColor="text1"/>
          <w:sz w:val="24"/>
        </w:rPr>
      </w:pPr>
      <w:r w:rsidRPr="0058405C">
        <w:rPr>
          <w:rFonts w:ascii="Times New Roman" w:hAnsi="Times New Roman"/>
          <w:color w:val="000000" w:themeColor="text1"/>
          <w:sz w:val="24"/>
        </w:rPr>
        <w:t xml:space="preserve">Shaw, A.T., </w:t>
      </w:r>
      <w:proofErr w:type="spellStart"/>
      <w:r w:rsidRPr="0058405C">
        <w:rPr>
          <w:rFonts w:ascii="Times New Roman" w:hAnsi="Times New Roman"/>
          <w:color w:val="000000" w:themeColor="text1"/>
          <w:sz w:val="24"/>
        </w:rPr>
        <w:t>Riely</w:t>
      </w:r>
      <w:proofErr w:type="spellEnd"/>
      <w:r w:rsidRPr="0058405C">
        <w:rPr>
          <w:rFonts w:ascii="Times New Roman" w:hAnsi="Times New Roman"/>
          <w:color w:val="000000" w:themeColor="text1"/>
          <w:sz w:val="24"/>
        </w:rPr>
        <w:t xml:space="preserve">, G.J., Bang, Y.J., Kim, D.W., </w:t>
      </w:r>
      <w:proofErr w:type="spellStart"/>
      <w:r w:rsidRPr="0058405C">
        <w:rPr>
          <w:rFonts w:ascii="Times New Roman" w:hAnsi="Times New Roman"/>
          <w:color w:val="000000" w:themeColor="text1"/>
          <w:sz w:val="24"/>
        </w:rPr>
        <w:t>Camidge</w:t>
      </w:r>
      <w:proofErr w:type="spellEnd"/>
      <w:r w:rsidRPr="0058405C">
        <w:rPr>
          <w:rFonts w:ascii="Times New Roman" w:hAnsi="Times New Roman"/>
          <w:color w:val="000000" w:themeColor="text1"/>
          <w:sz w:val="24"/>
        </w:rPr>
        <w:t xml:space="preserve">, D.R., Solomon, B.J., </w:t>
      </w:r>
      <w:proofErr w:type="spellStart"/>
      <w:r w:rsidRPr="0058405C">
        <w:rPr>
          <w:rFonts w:ascii="Times New Roman" w:hAnsi="Times New Roman"/>
          <w:color w:val="000000" w:themeColor="text1"/>
          <w:sz w:val="24"/>
        </w:rPr>
        <w:t>Varella</w:t>
      </w:r>
      <w:proofErr w:type="spellEnd"/>
      <w:r w:rsidRPr="0058405C">
        <w:rPr>
          <w:rFonts w:ascii="Times New Roman" w:hAnsi="Times New Roman"/>
          <w:color w:val="000000" w:themeColor="text1"/>
          <w:sz w:val="24"/>
        </w:rPr>
        <w:t xml:space="preserve">-Garcia, M., </w:t>
      </w:r>
      <w:proofErr w:type="spellStart"/>
      <w:r w:rsidRPr="0058405C">
        <w:rPr>
          <w:rFonts w:ascii="Times New Roman" w:hAnsi="Times New Roman"/>
          <w:color w:val="000000" w:themeColor="text1"/>
          <w:sz w:val="24"/>
        </w:rPr>
        <w:t>Iafrate</w:t>
      </w:r>
      <w:proofErr w:type="spellEnd"/>
      <w:r w:rsidRPr="0058405C">
        <w:rPr>
          <w:rFonts w:ascii="Times New Roman" w:hAnsi="Times New Roman"/>
          <w:color w:val="000000" w:themeColor="text1"/>
          <w:sz w:val="24"/>
        </w:rPr>
        <w:t xml:space="preserve">, A.J., Shapiro, G.I., </w:t>
      </w:r>
      <w:proofErr w:type="spellStart"/>
      <w:r w:rsidRPr="0058405C">
        <w:rPr>
          <w:rFonts w:ascii="Times New Roman" w:hAnsi="Times New Roman"/>
          <w:color w:val="000000" w:themeColor="text1"/>
          <w:sz w:val="24"/>
        </w:rPr>
        <w:t>Usari</w:t>
      </w:r>
      <w:proofErr w:type="spellEnd"/>
      <w:r w:rsidRPr="0058405C">
        <w:rPr>
          <w:rFonts w:ascii="Times New Roman" w:hAnsi="Times New Roman"/>
          <w:color w:val="000000" w:themeColor="text1"/>
          <w:sz w:val="24"/>
        </w:rPr>
        <w:t xml:space="preserve">, T. and Wang, S.C., 2019. </w:t>
      </w:r>
      <w:proofErr w:type="spellStart"/>
      <w:r w:rsidRPr="0058405C">
        <w:rPr>
          <w:rFonts w:ascii="Times New Roman" w:hAnsi="Times New Roman"/>
          <w:i/>
          <w:color w:val="000000" w:themeColor="text1"/>
          <w:sz w:val="24"/>
        </w:rPr>
        <w:t>Crizotinib</w:t>
      </w:r>
      <w:proofErr w:type="spellEnd"/>
      <w:r w:rsidRPr="0058405C">
        <w:rPr>
          <w:rFonts w:ascii="Times New Roman" w:hAnsi="Times New Roman"/>
          <w:i/>
          <w:color w:val="000000" w:themeColor="text1"/>
          <w:sz w:val="24"/>
        </w:rPr>
        <w:t xml:space="preserve"> in ROS1-rearranged advanced non-small-cell lung cancer (NSCLC): updated results, including overall survival, from PROFILE 1001.</w:t>
      </w:r>
      <w:r w:rsidRPr="0058405C">
        <w:rPr>
          <w:rFonts w:ascii="Times New Roman" w:hAnsi="Times New Roman"/>
          <w:color w:val="000000" w:themeColor="text1"/>
          <w:sz w:val="24"/>
        </w:rPr>
        <w:t> Annals of oncology, 30(7), pp.1121-1126.</w:t>
      </w:r>
    </w:p>
    <w:sectPr w:rsidR="002E181B" w:rsidRPr="0058405C" w:rsidSect="00D01B8D">
      <w:headerReference w:type="default" r:id="rId16"/>
      <w:footerReference w:type="default" r:id="rId17"/>
      <w:headerReference w:type="firs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7672C" w:rsidRDefault="0067672C">
      <w:pPr>
        <w:spacing w:after="0" w:line="240" w:lineRule="auto"/>
      </w:pPr>
      <w:r>
        <w:separator/>
      </w:r>
    </w:p>
  </w:endnote>
  <w:endnote w:type="continuationSeparator" w:id="0">
    <w:p w:rsidR="0067672C" w:rsidRDefault="00676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A6859" w:rsidRPr="009D3A2C" w:rsidRDefault="00C45C1F">
    <w:pPr>
      <w:jc w:val="right"/>
      <w:rPr>
        <w:rFonts w:ascii="Times New Roman" w:hAnsi="Times New Roman" w:cs="Times New Roman"/>
        <w:sz w:val="20"/>
        <w:szCs w:val="20"/>
      </w:rPr>
    </w:pPr>
    <w:r w:rsidRPr="009D3A2C">
      <w:rPr>
        <w:rFonts w:ascii="Times New Roman" w:hAnsi="Times New Roman" w:cs="Times New Roman"/>
        <w:sz w:val="20"/>
        <w:szCs w:val="20"/>
      </w:rPr>
      <w:fldChar w:fldCharType="begin"/>
    </w:r>
    <w:r w:rsidR="0000290C" w:rsidRPr="009D3A2C">
      <w:rPr>
        <w:rFonts w:ascii="Times New Roman" w:hAnsi="Times New Roman" w:cs="Times New Roman"/>
        <w:sz w:val="20"/>
        <w:szCs w:val="20"/>
      </w:rPr>
      <w:instrText>PAGE</w:instrText>
    </w:r>
    <w:r w:rsidRPr="009D3A2C">
      <w:rPr>
        <w:rFonts w:ascii="Times New Roman" w:hAnsi="Times New Roman" w:cs="Times New Roman"/>
        <w:sz w:val="20"/>
        <w:szCs w:val="20"/>
      </w:rPr>
      <w:fldChar w:fldCharType="separate"/>
    </w:r>
    <w:r w:rsidR="0058405C">
      <w:rPr>
        <w:rFonts w:ascii="Times New Roman" w:hAnsi="Times New Roman" w:cs="Times New Roman"/>
        <w:noProof/>
        <w:sz w:val="20"/>
        <w:szCs w:val="20"/>
      </w:rPr>
      <w:t>5</w:t>
    </w:r>
    <w:r w:rsidRPr="009D3A2C">
      <w:rPr>
        <w:rFonts w:ascii="Times New Roman" w:hAnsi="Times New Roman" w:cs="Times New Roman"/>
        <w:sz w:val="20"/>
        <w:szCs w:val="20"/>
      </w:rPr>
      <w:fldChar w:fldCharType="end"/>
    </w:r>
    <w:r w:rsidRPr="009D3A2C">
      <w:rPr>
        <w:rFonts w:ascii="Times New Roman" w:hAnsi="Times New Roman" w:cs="Times New Roman"/>
        <w:sz w:val="20"/>
        <w:szCs w:val="20"/>
      </w:rPr>
      <w:fldChar w:fldCharType="begin"/>
    </w:r>
    <w:r w:rsidRPr="009D3A2C">
      <w:rPr>
        <w:rFonts w:ascii="Times New Roman" w:hAnsi="Times New Roman" w:cs="Times New Roman"/>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7672C" w:rsidRDefault="0067672C">
      <w:pPr>
        <w:spacing w:after="0" w:line="240" w:lineRule="auto"/>
      </w:pPr>
      <w:r>
        <w:separator/>
      </w:r>
    </w:p>
  </w:footnote>
  <w:footnote w:type="continuationSeparator" w:id="0">
    <w:p w:rsidR="0067672C" w:rsidRDefault="006767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E83DB1" w:rsidRDefault="00E83DB1">
    <w:pPr>
      <w:pStyle w:val="Header"/>
    </w:pPr>
    <w:r>
      <w:rPr>
        <w:noProof/>
      </w:rPr>
      <w:drawing>
        <wp:inline distT="0" distB="0" distL="0" distR="0">
          <wp:extent cx="1592580" cy="1104900"/>
          <wp:effectExtent l="0" t="0" r="7620" b="0"/>
          <wp:docPr id="1676744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44944" name=""/>
                  <pic:cNvPicPr/>
                </pic:nvPicPr>
                <pic:blipFill>
                  <a:blip r:embed="rId1"/>
                  <a:stretch>
                    <a:fillRect/>
                  </a:stretch>
                </pic:blipFill>
                <pic:spPr>
                  <a:xfrm>
                    <a:off x="0" y="0"/>
                    <a:ext cx="1592580" cy="1104900"/>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B31C1" w:rsidRDefault="009B31C1">
    <w:pPr>
      <w:pStyle w:val="Header"/>
    </w:pPr>
    <w:r>
      <w:rPr>
        <w:noProof/>
      </w:rPr>
      <w:drawing>
        <wp:inline distT="0" distB="0" distL="0" distR="0">
          <wp:extent cx="1592580" cy="1104900"/>
          <wp:effectExtent l="0" t="0" r="7620" b="0"/>
          <wp:docPr id="1166955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44944" name=""/>
                  <pic:cNvPicPr/>
                </pic:nvPicPr>
                <pic:blipFill>
                  <a:blip r:embed="rId1"/>
                  <a:stretch>
                    <a:fillRect/>
                  </a:stretch>
                </pic:blipFill>
                <pic:spPr>
                  <a:xfrm>
                    <a:off x="0" y="0"/>
                    <a:ext cx="1592580" cy="1104900"/>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F0C2F"/>
    <w:rsid w:val="0000290C"/>
    <w:rsid w:val="00033C4B"/>
    <w:rsid w:val="00066403"/>
    <w:rsid w:val="00087EC0"/>
    <w:rsid w:val="000B53D4"/>
    <w:rsid w:val="000D3F3E"/>
    <w:rsid w:val="000E4D41"/>
    <w:rsid w:val="000F367C"/>
    <w:rsid w:val="000F45C4"/>
    <w:rsid w:val="00121D72"/>
    <w:rsid w:val="00171D53"/>
    <w:rsid w:val="001D003D"/>
    <w:rsid w:val="001D4CA3"/>
    <w:rsid w:val="001F4706"/>
    <w:rsid w:val="00223F9F"/>
    <w:rsid w:val="00232E8D"/>
    <w:rsid w:val="00234CC7"/>
    <w:rsid w:val="00254E64"/>
    <w:rsid w:val="00261925"/>
    <w:rsid w:val="00270162"/>
    <w:rsid w:val="002958FF"/>
    <w:rsid w:val="002E181B"/>
    <w:rsid w:val="002E78CE"/>
    <w:rsid w:val="002F2B2E"/>
    <w:rsid w:val="00305922"/>
    <w:rsid w:val="00312497"/>
    <w:rsid w:val="003C6317"/>
    <w:rsid w:val="003C7E1C"/>
    <w:rsid w:val="003F7403"/>
    <w:rsid w:val="00444ED5"/>
    <w:rsid w:val="00496774"/>
    <w:rsid w:val="004973B1"/>
    <w:rsid w:val="004C029A"/>
    <w:rsid w:val="00565865"/>
    <w:rsid w:val="005709B1"/>
    <w:rsid w:val="00570D56"/>
    <w:rsid w:val="00574F98"/>
    <w:rsid w:val="0058405C"/>
    <w:rsid w:val="005D4004"/>
    <w:rsid w:val="00623D50"/>
    <w:rsid w:val="00630D9A"/>
    <w:rsid w:val="0067672C"/>
    <w:rsid w:val="00720E6F"/>
    <w:rsid w:val="00781B30"/>
    <w:rsid w:val="00790FC3"/>
    <w:rsid w:val="00796330"/>
    <w:rsid w:val="00810F04"/>
    <w:rsid w:val="00812E0C"/>
    <w:rsid w:val="00852A59"/>
    <w:rsid w:val="00886904"/>
    <w:rsid w:val="00890783"/>
    <w:rsid w:val="00897FA9"/>
    <w:rsid w:val="008B4237"/>
    <w:rsid w:val="008B4EFA"/>
    <w:rsid w:val="008E1CFB"/>
    <w:rsid w:val="0091629E"/>
    <w:rsid w:val="00964198"/>
    <w:rsid w:val="0099644B"/>
    <w:rsid w:val="009B11B0"/>
    <w:rsid w:val="009B31C1"/>
    <w:rsid w:val="009B4DF6"/>
    <w:rsid w:val="009C2F18"/>
    <w:rsid w:val="009D3A2C"/>
    <w:rsid w:val="00A65B1D"/>
    <w:rsid w:val="00AD17C8"/>
    <w:rsid w:val="00AE0713"/>
    <w:rsid w:val="00AE4E2B"/>
    <w:rsid w:val="00B16EA3"/>
    <w:rsid w:val="00B347B7"/>
    <w:rsid w:val="00B76F8D"/>
    <w:rsid w:val="00B90304"/>
    <w:rsid w:val="00BA647D"/>
    <w:rsid w:val="00BB422C"/>
    <w:rsid w:val="00BE5CA2"/>
    <w:rsid w:val="00C45C1F"/>
    <w:rsid w:val="00C8452A"/>
    <w:rsid w:val="00CA602F"/>
    <w:rsid w:val="00CA6040"/>
    <w:rsid w:val="00CB3649"/>
    <w:rsid w:val="00CF0C2F"/>
    <w:rsid w:val="00D01B8D"/>
    <w:rsid w:val="00D120BC"/>
    <w:rsid w:val="00D22F4B"/>
    <w:rsid w:val="00D61B7C"/>
    <w:rsid w:val="00DF6C3D"/>
    <w:rsid w:val="00E577D9"/>
    <w:rsid w:val="00E82CC8"/>
    <w:rsid w:val="00E83DB1"/>
    <w:rsid w:val="00E84950"/>
    <w:rsid w:val="00E91A00"/>
    <w:rsid w:val="00EA6859"/>
    <w:rsid w:val="00EB4097"/>
    <w:rsid w:val="00EC4963"/>
    <w:rsid w:val="00F57DA5"/>
    <w:rsid w:val="00F6711C"/>
    <w:rsid w:val="00FF30C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6A078"/>
  <w15:docId w15:val="{7C77EA28-C7CC-6143-8551-004FB72C8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C2F"/>
  </w:style>
  <w:style w:type="paragraph" w:styleId="Heading1">
    <w:name w:val="heading 1"/>
    <w:basedOn w:val="Normal"/>
    <w:next w:val="Normal"/>
    <w:link w:val="Heading1Char"/>
    <w:autoRedefine/>
    <w:uiPriority w:val="9"/>
    <w:qFormat/>
    <w:rsid w:val="00CF0C2F"/>
    <w:pPr>
      <w:keepNext/>
      <w:keepLines/>
      <w:spacing w:before="240" w:after="0" w:line="360" w:lineRule="auto"/>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CF0C2F"/>
    <w:pPr>
      <w:keepNext/>
      <w:keepLines/>
      <w:spacing w:before="40" w:after="0" w:line="360" w:lineRule="auto"/>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0C2F"/>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CF0C2F"/>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781B30"/>
    <w:pPr>
      <w:spacing w:line="259" w:lineRule="auto"/>
      <w:outlineLvl w:val="9"/>
    </w:pPr>
    <w:rPr>
      <w:rFonts w:asciiTheme="majorHAnsi" w:hAnsiTheme="majorHAnsi"/>
      <w:b w:val="0"/>
      <w:color w:val="2F5496" w:themeColor="accent1" w:themeShade="BF"/>
      <w:kern w:val="0"/>
      <w:sz w:val="32"/>
    </w:rPr>
  </w:style>
  <w:style w:type="paragraph" w:styleId="TOC1">
    <w:name w:val="toc 1"/>
    <w:basedOn w:val="Normal"/>
    <w:next w:val="Normal"/>
    <w:autoRedefine/>
    <w:uiPriority w:val="39"/>
    <w:unhideWhenUsed/>
    <w:rsid w:val="00781B30"/>
    <w:pPr>
      <w:spacing w:after="100"/>
    </w:pPr>
  </w:style>
  <w:style w:type="paragraph" w:styleId="TOC2">
    <w:name w:val="toc 2"/>
    <w:basedOn w:val="Normal"/>
    <w:next w:val="Normal"/>
    <w:autoRedefine/>
    <w:uiPriority w:val="39"/>
    <w:unhideWhenUsed/>
    <w:rsid w:val="00781B30"/>
    <w:pPr>
      <w:spacing w:after="100"/>
      <w:ind w:left="220"/>
    </w:pPr>
  </w:style>
  <w:style w:type="character" w:styleId="Hyperlink">
    <w:name w:val="Hyperlink"/>
    <w:basedOn w:val="DefaultParagraphFont"/>
    <w:uiPriority w:val="99"/>
    <w:unhideWhenUsed/>
    <w:rsid w:val="00781B30"/>
    <w:rPr>
      <w:color w:val="0563C1" w:themeColor="hyperlink"/>
      <w:u w:val="single"/>
    </w:rPr>
  </w:style>
  <w:style w:type="paragraph" w:styleId="Header">
    <w:name w:val="header"/>
    <w:basedOn w:val="Normal"/>
    <w:link w:val="HeaderChar"/>
    <w:uiPriority w:val="99"/>
    <w:unhideWhenUsed/>
    <w:rsid w:val="00E83D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DB1"/>
  </w:style>
  <w:style w:type="paragraph" w:styleId="Footer">
    <w:name w:val="footer"/>
    <w:basedOn w:val="Normal"/>
    <w:link w:val="FooterChar"/>
    <w:uiPriority w:val="99"/>
    <w:unhideWhenUsed/>
    <w:rsid w:val="00E83D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DB1"/>
  </w:style>
  <w:style w:type="paragraph" w:styleId="BalloonText">
    <w:name w:val="Balloon Text"/>
    <w:basedOn w:val="Normal"/>
    <w:link w:val="BalloonTextChar"/>
    <w:uiPriority w:val="99"/>
    <w:semiHidden/>
    <w:unhideWhenUsed/>
    <w:rsid w:val="004973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73B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183158">
      <w:bodyDiv w:val="1"/>
      <w:marLeft w:val="0"/>
      <w:marRight w:val="0"/>
      <w:marTop w:val="0"/>
      <w:marBottom w:val="0"/>
      <w:divBdr>
        <w:top w:val="none" w:sz="0" w:space="0" w:color="auto"/>
        <w:left w:val="none" w:sz="0" w:space="0" w:color="auto"/>
        <w:bottom w:val="none" w:sz="0" w:space="0" w:color="auto"/>
        <w:right w:val="none" w:sz="0" w:space="0" w:color="auto"/>
      </w:divBdr>
      <w:divsChild>
        <w:div w:id="473570232">
          <w:marLeft w:val="0"/>
          <w:marRight w:val="0"/>
          <w:marTop w:val="0"/>
          <w:marBottom w:val="0"/>
          <w:divBdr>
            <w:top w:val="single" w:sz="6" w:space="0" w:color="auto"/>
            <w:left w:val="single" w:sz="6" w:space="0" w:color="auto"/>
            <w:bottom w:val="single" w:sz="6" w:space="0" w:color="auto"/>
            <w:right w:val="single" w:sz="6" w:space="0" w:color="auto"/>
          </w:divBdr>
        </w:div>
      </w:divsChild>
    </w:div>
    <w:div w:id="99884469">
      <w:bodyDiv w:val="1"/>
      <w:marLeft w:val="0"/>
      <w:marRight w:val="0"/>
      <w:marTop w:val="0"/>
      <w:marBottom w:val="0"/>
      <w:divBdr>
        <w:top w:val="none" w:sz="0" w:space="0" w:color="auto"/>
        <w:left w:val="none" w:sz="0" w:space="0" w:color="auto"/>
        <w:bottom w:val="none" w:sz="0" w:space="0" w:color="auto"/>
        <w:right w:val="none" w:sz="0" w:space="0" w:color="auto"/>
      </w:divBdr>
      <w:divsChild>
        <w:div w:id="2019892544">
          <w:marLeft w:val="0"/>
          <w:marRight w:val="0"/>
          <w:marTop w:val="0"/>
          <w:marBottom w:val="0"/>
          <w:divBdr>
            <w:top w:val="single" w:sz="6" w:space="0" w:color="auto"/>
            <w:left w:val="single" w:sz="6" w:space="0" w:color="auto"/>
            <w:bottom w:val="single" w:sz="6" w:space="0" w:color="auto"/>
            <w:right w:val="single" w:sz="6" w:space="0" w:color="auto"/>
          </w:divBdr>
        </w:div>
      </w:divsChild>
    </w:div>
    <w:div w:id="195892296">
      <w:bodyDiv w:val="1"/>
      <w:marLeft w:val="0"/>
      <w:marRight w:val="0"/>
      <w:marTop w:val="0"/>
      <w:marBottom w:val="0"/>
      <w:divBdr>
        <w:top w:val="none" w:sz="0" w:space="0" w:color="auto"/>
        <w:left w:val="none" w:sz="0" w:space="0" w:color="auto"/>
        <w:bottom w:val="none" w:sz="0" w:space="0" w:color="auto"/>
        <w:right w:val="none" w:sz="0" w:space="0" w:color="auto"/>
      </w:divBdr>
      <w:divsChild>
        <w:div w:id="172378524">
          <w:marLeft w:val="0"/>
          <w:marRight w:val="0"/>
          <w:marTop w:val="0"/>
          <w:marBottom w:val="0"/>
          <w:divBdr>
            <w:top w:val="single" w:sz="6" w:space="0" w:color="auto"/>
            <w:left w:val="single" w:sz="6" w:space="0" w:color="auto"/>
            <w:bottom w:val="single" w:sz="6" w:space="0" w:color="auto"/>
            <w:right w:val="single" w:sz="6" w:space="0" w:color="auto"/>
          </w:divBdr>
        </w:div>
      </w:divsChild>
    </w:div>
    <w:div w:id="226499907">
      <w:bodyDiv w:val="1"/>
      <w:marLeft w:val="0"/>
      <w:marRight w:val="0"/>
      <w:marTop w:val="0"/>
      <w:marBottom w:val="0"/>
      <w:divBdr>
        <w:top w:val="none" w:sz="0" w:space="0" w:color="auto"/>
        <w:left w:val="none" w:sz="0" w:space="0" w:color="auto"/>
        <w:bottom w:val="none" w:sz="0" w:space="0" w:color="auto"/>
        <w:right w:val="none" w:sz="0" w:space="0" w:color="auto"/>
      </w:divBdr>
      <w:divsChild>
        <w:div w:id="1119567435">
          <w:marLeft w:val="0"/>
          <w:marRight w:val="0"/>
          <w:marTop w:val="0"/>
          <w:marBottom w:val="0"/>
          <w:divBdr>
            <w:top w:val="single" w:sz="6" w:space="0" w:color="auto"/>
            <w:left w:val="single" w:sz="6" w:space="0" w:color="auto"/>
            <w:bottom w:val="single" w:sz="6" w:space="0" w:color="auto"/>
            <w:right w:val="single" w:sz="6" w:space="0" w:color="auto"/>
          </w:divBdr>
        </w:div>
      </w:divsChild>
    </w:div>
    <w:div w:id="360938184">
      <w:bodyDiv w:val="1"/>
      <w:marLeft w:val="0"/>
      <w:marRight w:val="0"/>
      <w:marTop w:val="0"/>
      <w:marBottom w:val="0"/>
      <w:divBdr>
        <w:top w:val="none" w:sz="0" w:space="0" w:color="auto"/>
        <w:left w:val="none" w:sz="0" w:space="0" w:color="auto"/>
        <w:bottom w:val="none" w:sz="0" w:space="0" w:color="auto"/>
        <w:right w:val="none" w:sz="0" w:space="0" w:color="auto"/>
      </w:divBdr>
      <w:divsChild>
        <w:div w:id="1218511343">
          <w:marLeft w:val="0"/>
          <w:marRight w:val="0"/>
          <w:marTop w:val="0"/>
          <w:marBottom w:val="0"/>
          <w:divBdr>
            <w:top w:val="single" w:sz="6" w:space="0" w:color="auto"/>
            <w:left w:val="single" w:sz="6" w:space="0" w:color="auto"/>
            <w:bottom w:val="single" w:sz="6" w:space="0" w:color="auto"/>
            <w:right w:val="single" w:sz="6" w:space="0" w:color="auto"/>
          </w:divBdr>
        </w:div>
      </w:divsChild>
    </w:div>
    <w:div w:id="528379754">
      <w:bodyDiv w:val="1"/>
      <w:marLeft w:val="0"/>
      <w:marRight w:val="0"/>
      <w:marTop w:val="0"/>
      <w:marBottom w:val="0"/>
      <w:divBdr>
        <w:top w:val="none" w:sz="0" w:space="0" w:color="auto"/>
        <w:left w:val="none" w:sz="0" w:space="0" w:color="auto"/>
        <w:bottom w:val="none" w:sz="0" w:space="0" w:color="auto"/>
        <w:right w:val="none" w:sz="0" w:space="0" w:color="auto"/>
      </w:divBdr>
      <w:divsChild>
        <w:div w:id="7563584">
          <w:marLeft w:val="0"/>
          <w:marRight w:val="0"/>
          <w:marTop w:val="0"/>
          <w:marBottom w:val="0"/>
          <w:divBdr>
            <w:top w:val="single" w:sz="6" w:space="0" w:color="auto"/>
            <w:left w:val="single" w:sz="6" w:space="0" w:color="auto"/>
            <w:bottom w:val="single" w:sz="6" w:space="0" w:color="auto"/>
            <w:right w:val="single" w:sz="6" w:space="0" w:color="auto"/>
          </w:divBdr>
        </w:div>
      </w:divsChild>
    </w:div>
    <w:div w:id="581378843">
      <w:bodyDiv w:val="1"/>
      <w:marLeft w:val="0"/>
      <w:marRight w:val="0"/>
      <w:marTop w:val="0"/>
      <w:marBottom w:val="0"/>
      <w:divBdr>
        <w:top w:val="none" w:sz="0" w:space="0" w:color="auto"/>
        <w:left w:val="none" w:sz="0" w:space="0" w:color="auto"/>
        <w:bottom w:val="none" w:sz="0" w:space="0" w:color="auto"/>
        <w:right w:val="none" w:sz="0" w:space="0" w:color="auto"/>
      </w:divBdr>
      <w:divsChild>
        <w:div w:id="1752972047">
          <w:marLeft w:val="0"/>
          <w:marRight w:val="0"/>
          <w:marTop w:val="0"/>
          <w:marBottom w:val="0"/>
          <w:divBdr>
            <w:top w:val="single" w:sz="6" w:space="0" w:color="auto"/>
            <w:left w:val="single" w:sz="6" w:space="0" w:color="auto"/>
            <w:bottom w:val="single" w:sz="6" w:space="0" w:color="auto"/>
            <w:right w:val="single" w:sz="6" w:space="0" w:color="auto"/>
          </w:divBdr>
        </w:div>
      </w:divsChild>
    </w:div>
    <w:div w:id="1140465455">
      <w:bodyDiv w:val="1"/>
      <w:marLeft w:val="0"/>
      <w:marRight w:val="0"/>
      <w:marTop w:val="0"/>
      <w:marBottom w:val="0"/>
      <w:divBdr>
        <w:top w:val="none" w:sz="0" w:space="0" w:color="auto"/>
        <w:left w:val="none" w:sz="0" w:space="0" w:color="auto"/>
        <w:bottom w:val="none" w:sz="0" w:space="0" w:color="auto"/>
        <w:right w:val="none" w:sz="0" w:space="0" w:color="auto"/>
      </w:divBdr>
      <w:divsChild>
        <w:div w:id="299766856">
          <w:marLeft w:val="0"/>
          <w:marRight w:val="0"/>
          <w:marTop w:val="0"/>
          <w:marBottom w:val="0"/>
          <w:divBdr>
            <w:top w:val="single" w:sz="6" w:space="0" w:color="auto"/>
            <w:left w:val="single" w:sz="6" w:space="0" w:color="auto"/>
            <w:bottom w:val="single" w:sz="6" w:space="0" w:color="auto"/>
            <w:right w:val="single" w:sz="6" w:space="0" w:color="auto"/>
          </w:divBdr>
        </w:div>
      </w:divsChild>
    </w:div>
    <w:div w:id="1442726615">
      <w:bodyDiv w:val="1"/>
      <w:marLeft w:val="0"/>
      <w:marRight w:val="0"/>
      <w:marTop w:val="0"/>
      <w:marBottom w:val="0"/>
      <w:divBdr>
        <w:top w:val="none" w:sz="0" w:space="0" w:color="auto"/>
        <w:left w:val="none" w:sz="0" w:space="0" w:color="auto"/>
        <w:bottom w:val="none" w:sz="0" w:space="0" w:color="auto"/>
        <w:right w:val="none" w:sz="0" w:space="0" w:color="auto"/>
      </w:divBdr>
      <w:divsChild>
        <w:div w:id="1211843103">
          <w:marLeft w:val="0"/>
          <w:marRight w:val="0"/>
          <w:marTop w:val="0"/>
          <w:marBottom w:val="0"/>
          <w:divBdr>
            <w:top w:val="single" w:sz="6" w:space="0" w:color="auto"/>
            <w:left w:val="single" w:sz="6" w:space="0" w:color="auto"/>
            <w:bottom w:val="single" w:sz="6" w:space="0" w:color="auto"/>
            <w:right w:val="single" w:sz="6" w:space="0" w:color="auto"/>
          </w:divBdr>
        </w:div>
      </w:divsChild>
    </w:div>
    <w:div w:id="1548225992">
      <w:bodyDiv w:val="1"/>
      <w:marLeft w:val="0"/>
      <w:marRight w:val="0"/>
      <w:marTop w:val="0"/>
      <w:marBottom w:val="0"/>
      <w:divBdr>
        <w:top w:val="none" w:sz="0" w:space="0" w:color="auto"/>
        <w:left w:val="none" w:sz="0" w:space="0" w:color="auto"/>
        <w:bottom w:val="none" w:sz="0" w:space="0" w:color="auto"/>
        <w:right w:val="none" w:sz="0" w:space="0" w:color="auto"/>
      </w:divBdr>
      <w:divsChild>
        <w:div w:id="1949968961">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_rels/header2.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6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6DA5360-028B-4F99-B187-7DD79610C72C}">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DC6C06DC-DC22-4BC8-AA76-904C18DC2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5637</Words>
  <Characters>32134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ABHI</dc:creator>
  <cp:lastModifiedBy>Microsoft Office User</cp:lastModifiedBy>
  <cp:revision>3</cp:revision>
  <dcterms:created xsi:type="dcterms:W3CDTF">2024-04-26T10:44:00Z</dcterms:created>
  <dcterms:modified xsi:type="dcterms:W3CDTF">2024-04-26T11:02:00Z</dcterms:modified>
</cp:coreProperties>
</file>